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6EE1" w14:textId="7D662ED1" w:rsidR="007B1506" w:rsidRPr="007B1506" w:rsidRDefault="00671A2E" w:rsidP="007B1506">
      <w:pPr>
        <w:pStyle w:val="Title"/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5F98BEAF" wp14:editId="1CE46F51">
            <wp:simplePos x="0" y="0"/>
            <wp:positionH relativeFrom="column">
              <wp:posOffset>92653</wp:posOffset>
            </wp:positionH>
            <wp:positionV relativeFrom="page">
              <wp:posOffset>445674</wp:posOffset>
            </wp:positionV>
            <wp:extent cx="3218688" cy="1600768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0C8CAC" w14:textId="210ACCD9" w:rsidR="004B7C1C" w:rsidRDefault="004A6CD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00BE1D" wp14:editId="13F83149">
                <wp:simplePos x="0" y="0"/>
                <wp:positionH relativeFrom="column">
                  <wp:posOffset>3524250</wp:posOffset>
                </wp:positionH>
                <wp:positionV relativeFrom="page">
                  <wp:posOffset>904875</wp:posOffset>
                </wp:positionV>
                <wp:extent cx="3371850" cy="264795"/>
                <wp:effectExtent l="0" t="0" r="19050" b="2095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4795"/>
                        </a:xfrm>
                        <a:prstGeom prst="rect">
                          <a:avLst/>
                        </a:prstGeom>
                        <a:solidFill>
                          <a:srgbClr val="E26B2A"/>
                        </a:solidFill>
                        <a:ln w="9525">
                          <a:solidFill>
                            <a:srgbClr val="E26B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C7148" w14:textId="176D4A40" w:rsidR="00CD78C0" w:rsidRPr="00A37F7C" w:rsidRDefault="00A37F7C" w:rsidP="00075806">
                            <w:pPr>
                              <w:jc w:val="center"/>
                              <w:rPr>
                                <w:b/>
                                <w:color w:val="1B75BC"/>
                              </w:rPr>
                            </w:pPr>
                            <w:r w:rsidRPr="00A37F7C">
                              <w:rPr>
                                <w:b/>
                                <w:color w:val="FFFFFF" w:themeColor="background1"/>
                              </w:rPr>
                              <w:t xml:space="preserve">CTE STATE PLAN </w:t>
                            </w:r>
                            <w:r w:rsidR="00F90699">
                              <w:rPr>
                                <w:b/>
                                <w:color w:val="FFFFFF" w:themeColor="background1"/>
                              </w:rPr>
                              <w:t>ACCOMPLISHMENTS  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0B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7.5pt;margin-top:71.25pt;width:265.5pt;height:2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" fillcolor="#e26b2a" strokecolor="#e26b2a">
                <v:textbox>
                  <w:txbxContent>
                    <w:p w14:paraId="4D9C7148" w14:textId="176D4A40" w:rsidR="00CD78C0" w:rsidRPr="00A37F7C" w:rsidRDefault="00A37F7C" w:rsidP="00075806">
                      <w:pPr>
                        <w:jc w:val="center"/>
                        <w:rPr>
                          <w:b/>
                          <w:color w:val="1B75BC"/>
                        </w:rPr>
                      </w:pPr>
                      <w:r w:rsidRPr="00A37F7C">
                        <w:rPr>
                          <w:b/>
                          <w:color w:val="FFFFFF" w:themeColor="background1"/>
                        </w:rPr>
                        <w:t xml:space="preserve">CTE STATE PLAN </w:t>
                      </w:r>
                      <w:r w:rsidR="00F90699">
                        <w:rPr>
                          <w:b/>
                          <w:color w:val="FFFFFF" w:themeColor="background1"/>
                        </w:rPr>
                        <w:t>ACCOMPLISHMENTS   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7D81A4" w14:textId="77777777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05148" wp14:editId="0FD4F659">
                <wp:simplePos x="0" y="0"/>
                <wp:positionH relativeFrom="column">
                  <wp:posOffset>3819525</wp:posOffset>
                </wp:positionH>
                <wp:positionV relativeFrom="paragraph">
                  <wp:posOffset>41910</wp:posOffset>
                </wp:positionV>
                <wp:extent cx="2562225" cy="473075"/>
                <wp:effectExtent l="0" t="0" r="9525" b="317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C6A0" w14:textId="77777777" w:rsidR="00CD78C0" w:rsidRPr="00A37F7C" w:rsidRDefault="00A37F7C" w:rsidP="00CD78C0">
                            <w:pPr>
                              <w:rPr>
                                <w:b/>
                                <w:color w:val="E26B2A"/>
                                <w:sz w:val="52"/>
                                <w:szCs w:val="52"/>
                              </w:rPr>
                            </w:pPr>
                            <w:r w:rsidRPr="00A37F7C">
                              <w:rPr>
                                <w:b/>
                                <w:color w:val="E26B2A"/>
                                <w:sz w:val="52"/>
                                <w:szCs w:val="52"/>
                              </w:rPr>
                              <w:t>Flexible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5148" id="_x0000_s1027" type="#_x0000_t202" alt="&quot;&quot;" style="position:absolute;margin-left:300.75pt;margin-top:3.3pt;width:201.7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" stroked="f">
                <v:textbox>
                  <w:txbxContent>
                    <w:p w14:paraId="5456C6A0" w14:textId="77777777" w:rsidR="00CD78C0" w:rsidRPr="00A37F7C" w:rsidRDefault="00A37F7C" w:rsidP="00CD78C0">
                      <w:pPr>
                        <w:rPr>
                          <w:b/>
                          <w:color w:val="E26B2A"/>
                          <w:sz w:val="52"/>
                          <w:szCs w:val="52"/>
                        </w:rPr>
                      </w:pPr>
                      <w:r w:rsidRPr="00A37F7C">
                        <w:rPr>
                          <w:b/>
                          <w:color w:val="E26B2A"/>
                          <w:sz w:val="52"/>
                          <w:szCs w:val="52"/>
                        </w:rPr>
                        <w:t>Flexible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FE364A5" w14:textId="541EF685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4198CF5B" w14:textId="77777777" w:rsidR="00671A2E" w:rsidRPr="00A37F7C" w:rsidRDefault="00671A2E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1E579F7E" w14:textId="3DC14215" w:rsidR="00A37F7C" w:rsidRPr="00E00BD8" w:rsidRDefault="00A37F7C" w:rsidP="00CC1920">
      <w:pPr>
        <w:rPr>
          <w:rFonts w:eastAsia="Times New Roman" w:cs="Times New Roman"/>
          <w:i/>
        </w:rPr>
      </w:pPr>
      <w:r w:rsidRPr="00E00BD8">
        <w:rPr>
          <w:rFonts w:eastAsia="Times New Roman" w:cs="Arial"/>
          <w:i/>
          <w:color w:val="000000"/>
        </w:rPr>
        <w:t xml:space="preserve">The Oregon CTE State Plan is </w:t>
      </w:r>
      <w:proofErr w:type="gramStart"/>
      <w:r w:rsidRPr="00E00BD8">
        <w:rPr>
          <w:rFonts w:eastAsia="Times New Roman" w:cs="Arial"/>
          <w:i/>
          <w:color w:val="000000"/>
        </w:rPr>
        <w:t>a high level</w:t>
      </w:r>
      <w:proofErr w:type="gramEnd"/>
      <w:r w:rsidRPr="00E00BD8">
        <w:rPr>
          <w:rFonts w:eastAsia="Times New Roman" w:cs="Arial"/>
          <w:i/>
          <w:color w:val="000000"/>
        </w:rPr>
        <w:t>, four-year strategic plan that integrates state and federal priorities to implement the "Strengthening Career and Technical Education for the 21st Century Act" (commonly known as Perkins V).</w:t>
      </w:r>
      <w:r w:rsidRPr="00E00BD8">
        <w:rPr>
          <w:rFonts w:eastAsia="Times New Roman" w:cs="Arial"/>
          <w:i/>
          <w:iCs/>
          <w:color w:val="000000"/>
        </w:rPr>
        <w:t xml:space="preserve"> </w:t>
      </w:r>
      <w:r w:rsidRPr="00E00BD8">
        <w:rPr>
          <w:rFonts w:eastAsia="Times New Roman" w:cs="Arial"/>
          <w:b/>
          <w:i/>
          <w:iCs/>
          <w:color w:val="E26B2A"/>
        </w:rPr>
        <w:t>Providing myriad options for learners to access, experience, and complete critical CTE learning opportunities supports choice and career preparation across Oregon.</w:t>
      </w:r>
      <w:r w:rsidRPr="00E00BD8">
        <w:rPr>
          <w:rFonts w:eastAsia="Times New Roman" w:cs="Arial"/>
          <w:i/>
          <w:iCs/>
          <w:color w:val="000000"/>
        </w:rPr>
        <w:t xml:space="preserve"> </w:t>
      </w:r>
      <w:r w:rsidRPr="00E00BD8">
        <w:rPr>
          <w:rFonts w:eastAsia="Times New Roman" w:cs="Arial"/>
          <w:i/>
          <w:color w:val="000000"/>
        </w:rPr>
        <w:t xml:space="preserve">The following are Local and State accomplishments made around Flexible Learning goals during the </w:t>
      </w:r>
      <w:r w:rsidR="00E00BD8" w:rsidRPr="00E00BD8">
        <w:rPr>
          <w:rFonts w:eastAsia="Times New Roman" w:cs="Arial"/>
          <w:i/>
          <w:color w:val="000000"/>
        </w:rPr>
        <w:t>third</w:t>
      </w:r>
      <w:r w:rsidRPr="00E00BD8">
        <w:rPr>
          <w:rFonts w:eastAsia="Times New Roman" w:cs="Arial"/>
          <w:i/>
          <w:color w:val="000000"/>
        </w:rPr>
        <w:t xml:space="preserve"> year. </w:t>
      </w:r>
    </w:p>
    <w:p w14:paraId="0EE1ED9A" w14:textId="58FEBF1C" w:rsidR="00A5721C" w:rsidRDefault="00A5721C" w:rsidP="00A5721C">
      <w:pPr>
        <w:tabs>
          <w:tab w:val="left" w:pos="6088"/>
        </w:tabs>
        <w:jc w:val="center"/>
        <w:rPr>
          <w:rStyle w:val="jsgrdq"/>
          <w:b/>
          <w:color w:val="E26B2A"/>
          <w:sz w:val="32"/>
          <w:szCs w:val="32"/>
        </w:rPr>
      </w:pPr>
      <w:r w:rsidRPr="00A5721C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3D22944D" wp14:editId="203E554F">
            <wp:simplePos x="0" y="0"/>
            <wp:positionH relativeFrom="column">
              <wp:posOffset>50800</wp:posOffset>
            </wp:positionH>
            <wp:positionV relativeFrom="paragraph">
              <wp:posOffset>360045</wp:posOffset>
            </wp:positionV>
            <wp:extent cx="640080" cy="640080"/>
            <wp:effectExtent l="0" t="0" r="0" b="7620"/>
            <wp:wrapSquare wrapText="bothSides"/>
            <wp:docPr id="140073695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73695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9EF" w:rsidRPr="00A37F7C">
        <w:rPr>
          <w:rStyle w:val="jsgrdq"/>
          <w:b/>
          <w:color w:val="E26B2A"/>
          <w:sz w:val="32"/>
          <w:szCs w:val="32"/>
        </w:rPr>
        <w:t>202</w:t>
      </w:r>
      <w:r w:rsidR="0083306E">
        <w:rPr>
          <w:rStyle w:val="jsgrdq"/>
          <w:b/>
          <w:color w:val="E26B2A"/>
          <w:sz w:val="32"/>
          <w:szCs w:val="32"/>
        </w:rPr>
        <w:t>1-2022 ACCOMPLISHMENT HIGHLIGHTS</w:t>
      </w:r>
    </w:p>
    <w:p w14:paraId="71C17598" w14:textId="770CE1E3" w:rsidR="00E00BD8" w:rsidRDefault="00E00BD8" w:rsidP="00A5721C">
      <w:pPr>
        <w:tabs>
          <w:tab w:val="left" w:pos="6088"/>
        </w:tabs>
        <w:spacing w:after="0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A5721C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Provided eDynamic Learning opportunities, along with funding and a licensed eDynamic Learning teacher, so that students can take complete pathways in</w:t>
      </w:r>
      <w:r w:rsidR="00A5721C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to</w:t>
      </w:r>
      <w:r w:rsidRPr="00A5721C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health, computer science, and business.</w:t>
      </w:r>
    </w:p>
    <w:p w14:paraId="6F6B1D0E" w14:textId="77777777" w:rsidR="00A5721C" w:rsidRPr="00A5721C" w:rsidRDefault="00A5721C" w:rsidP="00A5721C">
      <w:pPr>
        <w:tabs>
          <w:tab w:val="left" w:pos="6088"/>
        </w:tabs>
        <w:spacing w:after="0"/>
        <w:rPr>
          <w:b/>
          <w:color w:val="E26B2A"/>
          <w:sz w:val="32"/>
          <w:szCs w:val="32"/>
        </w:rPr>
      </w:pPr>
    </w:p>
    <w:p w14:paraId="25C94580" w14:textId="4442AF29" w:rsidR="00E00BD8" w:rsidRP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E26B2A"/>
          <w:sz w:val="26"/>
          <w:szCs w:val="26"/>
        </w:rPr>
      </w:pPr>
      <w:r w:rsidRPr="00A5721C">
        <w:rPr>
          <w:rFonts w:ascii="Calibri" w:hAnsi="Calibri" w:cs="Calibri"/>
          <w:b/>
          <w:bCs/>
          <w:noProof/>
          <w:color w:val="E26B2A"/>
          <w:sz w:val="26"/>
          <w:szCs w:val="26"/>
        </w:rPr>
        <w:drawing>
          <wp:anchor distT="0" distB="0" distL="114300" distR="114300" simplePos="0" relativeHeight="251698176" behindDoc="0" locked="0" layoutInCell="1" allowOverlap="1" wp14:anchorId="5202275C" wp14:editId="125B7AFD">
            <wp:simplePos x="0" y="0"/>
            <wp:positionH relativeFrom="column">
              <wp:posOffset>819150</wp:posOffset>
            </wp:positionH>
            <wp:positionV relativeFrom="paragraph">
              <wp:posOffset>2540</wp:posOffset>
            </wp:positionV>
            <wp:extent cx="640080" cy="640080"/>
            <wp:effectExtent l="0" t="0" r="7620" b="0"/>
            <wp:wrapSquare wrapText="bothSides"/>
            <wp:docPr id="1608394258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394258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BD8" w:rsidRPr="00A5721C">
        <w:rPr>
          <w:rFonts w:ascii="Calibri" w:hAnsi="Calibri" w:cs="Calibri"/>
          <w:b/>
          <w:bCs/>
          <w:color w:val="E26B2A"/>
          <w:sz w:val="26"/>
          <w:szCs w:val="26"/>
        </w:rPr>
        <w:t>Overcame barriers resulting from COVID, fires, and teacher shortages by supporting virtual schools when traditional, bricks-n-mortar approaches presented accessibility issues.</w:t>
      </w:r>
    </w:p>
    <w:p w14:paraId="5CC7857E" w14:textId="77777777" w:rsidR="00A5721C" w:rsidRP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57C0DF3" w14:textId="578339E5" w:rsidR="00E00BD8" w:rsidRDefault="009E2CD5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A5721C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6CC8B292" wp14:editId="5A89F3BB">
            <wp:simplePos x="0" y="0"/>
            <wp:positionH relativeFrom="column">
              <wp:posOffset>50800</wp:posOffset>
            </wp:positionH>
            <wp:positionV relativeFrom="paragraph">
              <wp:posOffset>1270</wp:posOffset>
            </wp:positionV>
            <wp:extent cx="640080" cy="640080"/>
            <wp:effectExtent l="0" t="0" r="7620" b="0"/>
            <wp:wrapSquare wrapText="bothSides"/>
            <wp:docPr id="2016629028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629028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BD8" w:rsidRPr="00A5721C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Developed technology centers that support pre-apprenticeship training opportunities, combining flexible learning career education, with housing options for people displaced by wildfires.</w:t>
      </w:r>
    </w:p>
    <w:p w14:paraId="0DB5A428" w14:textId="23445CBE" w:rsidR="00A5721C" w:rsidRP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1178F16E" w14:textId="10A6A757" w:rsid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A5721C">
        <w:rPr>
          <w:rFonts w:ascii="Calibri" w:hAnsi="Calibri" w:cs="Calibr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43E618F0" wp14:editId="79583322">
            <wp:simplePos x="0" y="0"/>
            <wp:positionH relativeFrom="column">
              <wp:posOffset>850900</wp:posOffset>
            </wp:positionH>
            <wp:positionV relativeFrom="paragraph">
              <wp:posOffset>96520</wp:posOffset>
            </wp:positionV>
            <wp:extent cx="640080" cy="640080"/>
            <wp:effectExtent l="0" t="0" r="7620" b="0"/>
            <wp:wrapSquare wrapText="bothSides"/>
            <wp:docPr id="1739926201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26201" name="Graphic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003EF" w14:textId="64E71E0E" w:rsidR="00E00BD8" w:rsidRPr="00A24A9D" w:rsidRDefault="00E00BD8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E26B2A"/>
          <w:sz w:val="26"/>
          <w:szCs w:val="26"/>
        </w:rPr>
      </w:pPr>
      <w:r w:rsidRPr="00A24A9D">
        <w:rPr>
          <w:rFonts w:ascii="Calibri" w:hAnsi="Calibri" w:cs="Calibri"/>
          <w:b/>
          <w:bCs/>
          <w:color w:val="E26B2A"/>
          <w:sz w:val="26"/>
          <w:szCs w:val="26"/>
        </w:rPr>
        <w:t>Supported rural high schools by developing a Grow-Your-Own educator program that leverages the capabilities of a virtual charter school.</w:t>
      </w:r>
    </w:p>
    <w:p w14:paraId="7259FC5C" w14:textId="77777777" w:rsid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736FAA99" w14:textId="0C674F4D" w:rsid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A5721C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701248" behindDoc="0" locked="0" layoutInCell="1" allowOverlap="1" wp14:anchorId="2B5674DF" wp14:editId="0FC76C5F">
            <wp:simplePos x="0" y="0"/>
            <wp:positionH relativeFrom="column">
              <wp:posOffset>62230</wp:posOffset>
            </wp:positionH>
            <wp:positionV relativeFrom="paragraph">
              <wp:posOffset>263525</wp:posOffset>
            </wp:positionV>
            <wp:extent cx="640080" cy="640080"/>
            <wp:effectExtent l="0" t="0" r="0" b="7620"/>
            <wp:wrapSquare wrapText="bothSides"/>
            <wp:docPr id="593787718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87718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3CDCE" w14:textId="1EC6C4F0" w:rsidR="00E00BD8" w:rsidRDefault="00E00BD8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A5721C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Utilized the </w:t>
      </w:r>
      <w:r w:rsidRPr="00A5721C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AWS Think Big Space </w:t>
      </w:r>
      <w:r w:rsidRPr="00A5721C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to create opportunities for students from Engineering, Information &amp; Communications Technology, and Digital Arts programs to explore projects within their fields.</w:t>
      </w:r>
    </w:p>
    <w:p w14:paraId="278002DC" w14:textId="77777777" w:rsid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478C1AA6" w14:textId="77777777" w:rsidR="00A5721C" w:rsidRPr="00A5721C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6CB138D" w14:textId="74FE4EB4" w:rsidR="00E00BD8" w:rsidRPr="00A24A9D" w:rsidRDefault="00A5721C" w:rsidP="00A572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E26B2A"/>
          <w:sz w:val="26"/>
          <w:szCs w:val="26"/>
        </w:rPr>
      </w:pPr>
      <w:r w:rsidRPr="00A24A9D">
        <w:rPr>
          <w:rFonts w:ascii="Calibri" w:hAnsi="Calibri" w:cs="Calibri"/>
          <w:b/>
          <w:bCs/>
          <w:noProof/>
          <w:color w:val="E26B2A"/>
          <w:sz w:val="26"/>
          <w:szCs w:val="26"/>
          <w:shd w:val="clear" w:color="auto" w:fill="FFFFFF"/>
        </w:rPr>
        <w:drawing>
          <wp:anchor distT="0" distB="0" distL="114300" distR="114300" simplePos="0" relativeHeight="251702272" behindDoc="0" locked="0" layoutInCell="1" allowOverlap="1" wp14:anchorId="5B1E4BFF" wp14:editId="47AE9643">
            <wp:simplePos x="0" y="0"/>
            <wp:positionH relativeFrom="column">
              <wp:posOffset>863600</wp:posOffset>
            </wp:positionH>
            <wp:positionV relativeFrom="paragraph">
              <wp:posOffset>-3175</wp:posOffset>
            </wp:positionV>
            <wp:extent cx="640080" cy="640080"/>
            <wp:effectExtent l="0" t="0" r="7620" b="0"/>
            <wp:wrapSquare wrapText="bothSides"/>
            <wp:docPr id="1479248890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48890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BD8" w:rsidRPr="00A24A9D">
        <w:rPr>
          <w:rFonts w:ascii="Calibri" w:hAnsi="Calibri" w:cs="Calibri"/>
          <w:b/>
          <w:bCs/>
          <w:color w:val="E26B2A"/>
          <w:sz w:val="26"/>
          <w:szCs w:val="26"/>
          <w:shd w:val="clear" w:color="auto" w:fill="FFFFFF"/>
        </w:rPr>
        <w:t>Provided multiple options to obtain work experience placements, internships, or work-based learning opportunities, building diverse kinds of partnerships within the community.</w:t>
      </w:r>
    </w:p>
    <w:p w14:paraId="47F6183E" w14:textId="77777777" w:rsidR="00E00BD8" w:rsidRPr="0083306E" w:rsidRDefault="00E00BD8" w:rsidP="0083306E">
      <w:pPr>
        <w:tabs>
          <w:tab w:val="left" w:pos="6088"/>
        </w:tabs>
        <w:jc w:val="center"/>
        <w:rPr>
          <w:b/>
          <w:color w:val="E26B2A"/>
          <w:sz w:val="32"/>
          <w:szCs w:val="32"/>
        </w:rPr>
      </w:pPr>
    </w:p>
    <w:sectPr w:rsidR="00E00BD8" w:rsidRPr="0083306E" w:rsidSect="00A33CC3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B55D" w14:textId="77777777" w:rsidR="00694A18" w:rsidRDefault="00694A18" w:rsidP="0083306E">
      <w:pPr>
        <w:spacing w:after="0"/>
      </w:pPr>
      <w:r>
        <w:separator/>
      </w:r>
    </w:p>
  </w:endnote>
  <w:endnote w:type="continuationSeparator" w:id="0">
    <w:p w14:paraId="141C8929" w14:textId="77777777" w:rsidR="00694A18" w:rsidRDefault="00694A18" w:rsidP="00833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A937" w14:textId="77777777" w:rsidR="0083306E" w:rsidRPr="0083306E" w:rsidRDefault="0083306E">
    <w:pPr>
      <w:pStyle w:val="Footer"/>
      <w:rPr>
        <w:color w:val="A6A6A6" w:themeColor="background1" w:themeShade="A6"/>
        <w:sz w:val="16"/>
        <w:szCs w:val="16"/>
      </w:rPr>
    </w:pPr>
    <w:r w:rsidRPr="0083306E">
      <w:rPr>
        <w:color w:val="A6A6A6" w:themeColor="background1" w:themeShade="A6"/>
        <w:sz w:val="16"/>
        <w:szCs w:val="16"/>
      </w:rPr>
      <w:ptab w:relativeTo="margin" w:alignment="center" w:leader="none"/>
    </w:r>
    <w:r w:rsidRPr="0083306E">
      <w:rPr>
        <w:color w:val="A6A6A6" w:themeColor="background1" w:themeShade="A6"/>
        <w:sz w:val="16"/>
        <w:szCs w:val="16"/>
      </w:rPr>
      <w:ptab w:relativeTo="margin" w:alignment="right" w:leader="none"/>
    </w:r>
    <w:r w:rsidRPr="0083306E">
      <w:rPr>
        <w:color w:val="A6A6A6" w:themeColor="background1" w:themeShade="A6"/>
        <w:sz w:val="16"/>
        <w:szCs w:val="16"/>
      </w:rPr>
      <w:t>Oregon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AA17" w14:textId="77777777" w:rsidR="00694A18" w:rsidRDefault="00694A18" w:rsidP="0083306E">
      <w:pPr>
        <w:spacing w:after="0"/>
      </w:pPr>
      <w:r>
        <w:separator/>
      </w:r>
    </w:p>
  </w:footnote>
  <w:footnote w:type="continuationSeparator" w:id="0">
    <w:p w14:paraId="10DB62AE" w14:textId="77777777" w:rsidR="00694A18" w:rsidRDefault="00694A18" w:rsidP="008330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2C6"/>
    <w:multiLevelType w:val="hybridMultilevel"/>
    <w:tmpl w:val="3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D67"/>
    <w:multiLevelType w:val="hybridMultilevel"/>
    <w:tmpl w:val="E73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76F4"/>
    <w:multiLevelType w:val="hybridMultilevel"/>
    <w:tmpl w:val="88D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1F3B"/>
    <w:multiLevelType w:val="hybridMultilevel"/>
    <w:tmpl w:val="CA7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6448"/>
    <w:multiLevelType w:val="hybridMultilevel"/>
    <w:tmpl w:val="CB3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7E09"/>
    <w:multiLevelType w:val="hybridMultilevel"/>
    <w:tmpl w:val="040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3ECD"/>
    <w:multiLevelType w:val="hybridMultilevel"/>
    <w:tmpl w:val="A0C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88F"/>
    <w:multiLevelType w:val="hybridMultilevel"/>
    <w:tmpl w:val="B492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338CC"/>
    <w:multiLevelType w:val="multilevel"/>
    <w:tmpl w:val="6A3C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92916"/>
    <w:multiLevelType w:val="hybridMultilevel"/>
    <w:tmpl w:val="FD4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06F9"/>
    <w:multiLevelType w:val="hybridMultilevel"/>
    <w:tmpl w:val="5E98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1806">
    <w:abstractNumId w:val="4"/>
  </w:num>
  <w:num w:numId="2" w16cid:durableId="2116972442">
    <w:abstractNumId w:val="5"/>
  </w:num>
  <w:num w:numId="3" w16cid:durableId="1572736923">
    <w:abstractNumId w:val="9"/>
  </w:num>
  <w:num w:numId="4" w16cid:durableId="692220282">
    <w:abstractNumId w:val="0"/>
  </w:num>
  <w:num w:numId="5" w16cid:durableId="1969050067">
    <w:abstractNumId w:val="2"/>
  </w:num>
  <w:num w:numId="6" w16cid:durableId="1625229557">
    <w:abstractNumId w:val="6"/>
  </w:num>
  <w:num w:numId="7" w16cid:durableId="757363828">
    <w:abstractNumId w:val="10"/>
  </w:num>
  <w:num w:numId="8" w16cid:durableId="1261645706">
    <w:abstractNumId w:val="1"/>
  </w:num>
  <w:num w:numId="9" w16cid:durableId="851146085">
    <w:abstractNumId w:val="7"/>
  </w:num>
  <w:num w:numId="10" w16cid:durableId="2075811752">
    <w:abstractNumId w:val="3"/>
  </w:num>
  <w:num w:numId="11" w16cid:durableId="413282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C3"/>
    <w:rsid w:val="00057FD8"/>
    <w:rsid w:val="00075806"/>
    <w:rsid w:val="0009345E"/>
    <w:rsid w:val="000A5756"/>
    <w:rsid w:val="000C14A2"/>
    <w:rsid w:val="000C622D"/>
    <w:rsid w:val="000D36B7"/>
    <w:rsid w:val="000E7BC7"/>
    <w:rsid w:val="00181984"/>
    <w:rsid w:val="00187FD9"/>
    <w:rsid w:val="001E2626"/>
    <w:rsid w:val="0022037B"/>
    <w:rsid w:val="00223DAF"/>
    <w:rsid w:val="00266D84"/>
    <w:rsid w:val="00295954"/>
    <w:rsid w:val="002D37BB"/>
    <w:rsid w:val="00300E2F"/>
    <w:rsid w:val="003367CC"/>
    <w:rsid w:val="00346621"/>
    <w:rsid w:val="00356186"/>
    <w:rsid w:val="0038567A"/>
    <w:rsid w:val="003A5E26"/>
    <w:rsid w:val="003C731B"/>
    <w:rsid w:val="003E5AD4"/>
    <w:rsid w:val="003F6983"/>
    <w:rsid w:val="004024D8"/>
    <w:rsid w:val="004159AA"/>
    <w:rsid w:val="004447F4"/>
    <w:rsid w:val="00455F31"/>
    <w:rsid w:val="00465BAE"/>
    <w:rsid w:val="00481F4A"/>
    <w:rsid w:val="004A6CD0"/>
    <w:rsid w:val="004B38C1"/>
    <w:rsid w:val="004B7C1C"/>
    <w:rsid w:val="005110C4"/>
    <w:rsid w:val="00532D27"/>
    <w:rsid w:val="00550F51"/>
    <w:rsid w:val="00566102"/>
    <w:rsid w:val="00577D3A"/>
    <w:rsid w:val="005C6086"/>
    <w:rsid w:val="005F1295"/>
    <w:rsid w:val="00617A1A"/>
    <w:rsid w:val="00671A2E"/>
    <w:rsid w:val="00694A18"/>
    <w:rsid w:val="006B7F31"/>
    <w:rsid w:val="00712E0C"/>
    <w:rsid w:val="00744C27"/>
    <w:rsid w:val="007B1506"/>
    <w:rsid w:val="00803ED6"/>
    <w:rsid w:val="0083306E"/>
    <w:rsid w:val="009B20BF"/>
    <w:rsid w:val="009E2CD5"/>
    <w:rsid w:val="00A00D35"/>
    <w:rsid w:val="00A1287D"/>
    <w:rsid w:val="00A149EF"/>
    <w:rsid w:val="00A24A9D"/>
    <w:rsid w:val="00A33CC3"/>
    <w:rsid w:val="00A37F7C"/>
    <w:rsid w:val="00A5721C"/>
    <w:rsid w:val="00AB351A"/>
    <w:rsid w:val="00AD1307"/>
    <w:rsid w:val="00AD4812"/>
    <w:rsid w:val="00B00F77"/>
    <w:rsid w:val="00B01343"/>
    <w:rsid w:val="00B04F92"/>
    <w:rsid w:val="00B11DE1"/>
    <w:rsid w:val="00B140BB"/>
    <w:rsid w:val="00B35935"/>
    <w:rsid w:val="00B3764B"/>
    <w:rsid w:val="00B556B7"/>
    <w:rsid w:val="00B56B6A"/>
    <w:rsid w:val="00BA7544"/>
    <w:rsid w:val="00C10699"/>
    <w:rsid w:val="00C26B6D"/>
    <w:rsid w:val="00CB1057"/>
    <w:rsid w:val="00CB56F4"/>
    <w:rsid w:val="00CC1920"/>
    <w:rsid w:val="00CD776F"/>
    <w:rsid w:val="00CD78C0"/>
    <w:rsid w:val="00D31C53"/>
    <w:rsid w:val="00D93014"/>
    <w:rsid w:val="00DD212E"/>
    <w:rsid w:val="00E00BD8"/>
    <w:rsid w:val="00E13D62"/>
    <w:rsid w:val="00E70EDF"/>
    <w:rsid w:val="00E73AC0"/>
    <w:rsid w:val="00E90494"/>
    <w:rsid w:val="00EB7AE6"/>
    <w:rsid w:val="00F27DCD"/>
    <w:rsid w:val="00F828B0"/>
    <w:rsid w:val="00F90699"/>
    <w:rsid w:val="00FA7A4A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2F40"/>
  <w15:chartTrackingRefBased/>
  <w15:docId w15:val="{D458AF4F-7804-47FE-AFBF-4396D52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5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566102"/>
  </w:style>
  <w:style w:type="paragraph" w:styleId="NormalWeb">
    <w:name w:val="Normal (Web)"/>
    <w:basedOn w:val="Normal"/>
    <w:uiPriority w:val="99"/>
    <w:semiHidden/>
    <w:unhideWhenUsed/>
    <w:rsid w:val="00566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1A2E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577D3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330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06E"/>
  </w:style>
  <w:style w:type="paragraph" w:styleId="Footer">
    <w:name w:val="footer"/>
    <w:basedOn w:val="Normal"/>
    <w:link w:val="FooterChar"/>
    <w:uiPriority w:val="99"/>
    <w:unhideWhenUsed/>
    <w:rsid w:val="008330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2024-03-05T21:51:41+00:00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EEFF2EEF-FCFD-40A2-8DCC-F72C2E477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26D0C-E882-46A4-A758-6EAB187AE655}"/>
</file>

<file path=customXml/itemProps3.xml><?xml version="1.0" encoding="utf-8"?>
<ds:datastoreItem xmlns:ds="http://schemas.openxmlformats.org/officeDocument/2006/customXml" ds:itemID="{B3648013-C179-443B-A762-01E6A9ED3C96}"/>
</file>

<file path=customXml/itemProps4.xml><?xml version="1.0" encoding="utf-8"?>
<ds:datastoreItem xmlns:ds="http://schemas.openxmlformats.org/officeDocument/2006/customXml" ds:itemID="{6E4F716D-2D94-4544-BC33-62A946CCB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BEACHY Jennifer * ODE</dc:creator>
  <cp:keywords/>
  <dc:description/>
  <cp:lastModifiedBy>CATTERALL Linda * ODE</cp:lastModifiedBy>
  <cp:revision>3</cp:revision>
  <dcterms:created xsi:type="dcterms:W3CDTF">2024-03-05T18:41:00Z</dcterms:created>
  <dcterms:modified xsi:type="dcterms:W3CDTF">2024-03-05T18:42:00Z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2023-12-13T20:42:59Z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710e293a-fabf-4bec-8a4a-e54c10a4dbe8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