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62"/>
        <w:gridCol w:w="2723"/>
        <w:gridCol w:w="2722"/>
        <w:gridCol w:w="2723"/>
      </w:tblGrid>
      <w:tr w:rsidR="2AADD8C1" w14:paraId="0A279D72" w14:textId="77777777" w:rsidTr="00EB209B">
        <w:trPr>
          <w:tblHeader/>
        </w:trPr>
        <w:tc>
          <w:tcPr>
            <w:tcW w:w="2160" w:type="dxa"/>
            <w:vAlign w:val="center"/>
          </w:tcPr>
          <w:p w14:paraId="331A0426" w14:textId="77777777" w:rsidR="2AADD8C1" w:rsidRDefault="2AADD8C1" w:rsidP="00F318C1">
            <w:pPr>
              <w:jc w:val="center"/>
              <w:rPr>
                <w:rFonts w:eastAsia="Arial"/>
                <w:b/>
                <w:bCs/>
                <w:color w:val="082A75"/>
                <w:sz w:val="36"/>
                <w:szCs w:val="36"/>
              </w:rPr>
            </w:pPr>
            <w:bookmarkStart w:id="0" w:name="_GoBack"/>
            <w:bookmarkEnd w:id="0"/>
            <w:r>
              <w:rPr>
                <w:noProof/>
              </w:rPr>
              <w:drawing>
                <wp:inline distT="0" distB="0" distL="0" distR="0" wp14:anchorId="6EF6DB7A" wp14:editId="03025689">
                  <wp:extent cx="1051560" cy="1115568"/>
                  <wp:effectExtent l="0" t="0" r="0" b="8890"/>
                  <wp:docPr id="1744985551"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51560" cy="1115568"/>
                          </a:xfrm>
                          <a:prstGeom prst="rect">
                            <a:avLst/>
                          </a:prstGeom>
                        </pic:spPr>
                      </pic:pic>
                    </a:graphicData>
                  </a:graphic>
                </wp:inline>
              </w:drawing>
            </w:r>
          </w:p>
        </w:tc>
        <w:tc>
          <w:tcPr>
            <w:tcW w:w="8730" w:type="dxa"/>
            <w:gridSpan w:val="4"/>
            <w:vAlign w:val="center"/>
          </w:tcPr>
          <w:p w14:paraId="494055C8" w14:textId="77777777" w:rsidR="2AADD8C1" w:rsidRPr="00502B50" w:rsidRDefault="2AADD8C1" w:rsidP="00F318C1">
            <w:pPr>
              <w:pStyle w:val="Title"/>
              <w:spacing w:after="200"/>
              <w:jc w:val="center"/>
              <w:rPr>
                <w:rFonts w:asciiTheme="minorHAnsi" w:eastAsia="Arial" w:hAnsiTheme="minorHAnsi" w:cstheme="minorBidi"/>
                <w:b/>
                <w:bCs/>
                <w:color w:val="1B75BC"/>
                <w:sz w:val="48"/>
                <w:szCs w:val="48"/>
              </w:rPr>
            </w:pPr>
            <w:r w:rsidRPr="00502B50">
              <w:rPr>
                <w:rFonts w:asciiTheme="minorHAnsi" w:eastAsia="Arial" w:hAnsiTheme="minorHAnsi" w:cstheme="minorBidi"/>
                <w:b/>
                <w:bCs/>
                <w:color w:val="1B75BC"/>
                <w:sz w:val="48"/>
                <w:szCs w:val="48"/>
              </w:rPr>
              <w:t>State Performance Plan (SPP)</w:t>
            </w:r>
          </w:p>
          <w:p w14:paraId="791D0C8C" w14:textId="4B3797DB" w:rsidR="2AADD8C1" w:rsidRPr="00502B50" w:rsidRDefault="2AADD8C1" w:rsidP="00F318C1">
            <w:pPr>
              <w:pStyle w:val="Title"/>
              <w:spacing w:after="200"/>
              <w:jc w:val="center"/>
              <w:rPr>
                <w:rFonts w:asciiTheme="minorHAnsi" w:eastAsia="Arial" w:hAnsiTheme="minorHAnsi" w:cstheme="minorBidi"/>
                <w:b/>
                <w:bCs/>
                <w:color w:val="1B75BC"/>
                <w:sz w:val="48"/>
                <w:szCs w:val="48"/>
              </w:rPr>
            </w:pPr>
            <w:r w:rsidRPr="00502B50">
              <w:rPr>
                <w:rFonts w:asciiTheme="minorHAnsi" w:eastAsia="Arial" w:hAnsiTheme="minorHAnsi" w:cstheme="minorBidi"/>
                <w:b/>
                <w:bCs/>
                <w:color w:val="1B75BC"/>
                <w:sz w:val="48"/>
                <w:szCs w:val="48"/>
              </w:rPr>
              <w:t>Fact Sheet</w:t>
            </w:r>
          </w:p>
          <w:p w14:paraId="0EBDB1B3" w14:textId="71B592F1" w:rsidR="2AADD8C1" w:rsidRDefault="2AADD8C1" w:rsidP="00F318C1">
            <w:pPr>
              <w:pStyle w:val="Title"/>
              <w:spacing w:after="200"/>
              <w:jc w:val="center"/>
              <w:rPr>
                <w:rFonts w:asciiTheme="minorHAnsi" w:eastAsia="Arial" w:hAnsiTheme="minorHAnsi" w:cstheme="minorBidi"/>
                <w:b/>
                <w:bCs/>
                <w:color w:val="082A75"/>
                <w:sz w:val="32"/>
                <w:szCs w:val="32"/>
              </w:rPr>
            </w:pPr>
            <w:r w:rsidRPr="00502B50">
              <w:rPr>
                <w:rFonts w:asciiTheme="minorHAnsi" w:eastAsia="Arial" w:hAnsiTheme="minorHAnsi" w:cstheme="minorBidi"/>
                <w:b/>
                <w:bCs/>
                <w:color w:val="1B75BC"/>
                <w:sz w:val="32"/>
                <w:szCs w:val="32"/>
              </w:rPr>
              <w:t>Indicator B14: Post-School Outcomes</w:t>
            </w:r>
          </w:p>
        </w:tc>
      </w:tr>
      <w:tr w:rsidR="2AADD8C1" w14:paraId="3A60F4DA" w14:textId="77777777" w:rsidTr="00B03719">
        <w:trPr>
          <w:trHeight w:val="72"/>
        </w:trPr>
        <w:tc>
          <w:tcPr>
            <w:tcW w:w="2722" w:type="dxa"/>
            <w:gridSpan w:val="2"/>
            <w:shd w:val="clear" w:color="auto" w:fill="9F2065"/>
          </w:tcPr>
          <w:p w14:paraId="577B592E" w14:textId="77777777" w:rsidR="2AADD8C1" w:rsidRDefault="2AADD8C1" w:rsidP="00F318C1">
            <w:pPr>
              <w:rPr>
                <w:noProof/>
              </w:rPr>
            </w:pPr>
          </w:p>
        </w:tc>
        <w:tc>
          <w:tcPr>
            <w:tcW w:w="2723" w:type="dxa"/>
            <w:shd w:val="clear" w:color="auto" w:fill="E26B2A"/>
          </w:tcPr>
          <w:p w14:paraId="1426738B" w14:textId="77777777" w:rsidR="2AADD8C1" w:rsidRDefault="2AADD8C1" w:rsidP="00F318C1">
            <w:pPr>
              <w:pStyle w:val="Title"/>
              <w:rPr>
                <w:rFonts w:asciiTheme="minorHAnsi" w:eastAsia="Arial" w:hAnsiTheme="minorHAnsi" w:cstheme="minorBidi"/>
                <w:b/>
                <w:bCs/>
                <w:color w:val="082974"/>
                <w:sz w:val="22"/>
                <w:szCs w:val="22"/>
              </w:rPr>
            </w:pPr>
          </w:p>
        </w:tc>
        <w:tc>
          <w:tcPr>
            <w:tcW w:w="2722" w:type="dxa"/>
            <w:shd w:val="clear" w:color="auto" w:fill="1B75BC"/>
          </w:tcPr>
          <w:p w14:paraId="66F60772" w14:textId="77777777" w:rsidR="2AADD8C1" w:rsidRDefault="2AADD8C1" w:rsidP="00F318C1">
            <w:pPr>
              <w:pStyle w:val="Title"/>
              <w:rPr>
                <w:rFonts w:asciiTheme="minorHAnsi" w:eastAsia="Arial" w:hAnsiTheme="minorHAnsi" w:cstheme="minorBidi"/>
                <w:b/>
                <w:bCs/>
                <w:color w:val="082974"/>
                <w:sz w:val="22"/>
                <w:szCs w:val="22"/>
              </w:rPr>
            </w:pPr>
          </w:p>
        </w:tc>
        <w:tc>
          <w:tcPr>
            <w:tcW w:w="2723" w:type="dxa"/>
            <w:shd w:val="clear" w:color="auto" w:fill="408740"/>
          </w:tcPr>
          <w:p w14:paraId="7530F4DE" w14:textId="46579079" w:rsidR="2AADD8C1" w:rsidRDefault="2AADD8C1" w:rsidP="00F318C1">
            <w:pPr>
              <w:pStyle w:val="Title"/>
              <w:rPr>
                <w:rFonts w:asciiTheme="minorHAnsi" w:eastAsia="Arial" w:hAnsiTheme="minorHAnsi" w:cstheme="minorBidi"/>
                <w:b/>
                <w:bCs/>
                <w:color w:val="082974"/>
                <w:sz w:val="22"/>
                <w:szCs w:val="22"/>
              </w:rPr>
            </w:pPr>
          </w:p>
        </w:tc>
      </w:tr>
    </w:tbl>
    <w:p w14:paraId="2A80E646" w14:textId="518138F7" w:rsidR="7CAC3AE1" w:rsidRPr="008C295F" w:rsidRDefault="7CAC3AE1" w:rsidP="00F318C1">
      <w:pPr>
        <w:pStyle w:val="Heading1"/>
        <w:spacing w:before="120" w:line="240" w:lineRule="auto"/>
        <w:rPr>
          <w:rFonts w:ascii="Calibri" w:eastAsia="Calibri" w:hAnsi="Calibri" w:cs="Calibri"/>
          <w:color w:val="1B75BC"/>
        </w:rPr>
      </w:pPr>
      <w:r w:rsidRPr="008C295F">
        <w:rPr>
          <w:rFonts w:ascii="Calibri" w:eastAsia="Calibri" w:hAnsi="Calibri" w:cs="Calibri"/>
          <w:b/>
          <w:bCs/>
          <w:color w:val="1B75BC"/>
        </w:rPr>
        <w:t>Oregon State Performance Plan</w:t>
      </w:r>
    </w:p>
    <w:p w14:paraId="64A1B65B" w14:textId="6A70A622" w:rsidR="7CAC3AE1" w:rsidRDefault="7CAC3AE1" w:rsidP="00F318C1">
      <w:pPr>
        <w:spacing w:after="0" w:line="240" w:lineRule="auto"/>
        <w:rPr>
          <w:rFonts w:ascii="Calibri" w:eastAsia="Calibri" w:hAnsi="Calibri" w:cs="Calibri"/>
          <w:color w:val="000000" w:themeColor="text1"/>
        </w:rPr>
      </w:pPr>
      <w:r w:rsidRPr="70986129">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w:t>
      </w:r>
      <w:r w:rsidR="005B4DF4">
        <w:rPr>
          <w:rFonts w:ascii="Calibri" w:eastAsia="Calibri" w:hAnsi="Calibri" w:cs="Calibri"/>
          <w:color w:val="000000" w:themeColor="text1"/>
        </w:rPr>
        <w:t xml:space="preserve">Programs </w:t>
      </w:r>
      <w:r w:rsidRPr="70986129">
        <w:rPr>
          <w:rFonts w:ascii="Calibri" w:eastAsia="Calibri" w:hAnsi="Calibri" w:cs="Calibri"/>
          <w:color w:val="000000" w:themeColor="text1"/>
        </w:rPr>
        <w:t xml:space="preserve">(OSEP).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Please see the </w:t>
      </w:r>
      <w:hyperlink r:id="rId11">
        <w:r w:rsidRPr="70986129">
          <w:rPr>
            <w:rStyle w:val="Hyperlink"/>
            <w:rFonts w:ascii="Calibri" w:eastAsia="Calibri" w:hAnsi="Calibri" w:cs="Calibri"/>
          </w:rPr>
          <w:t>ODE State Performance Plan and Annual Reports for Special Education webpage</w:t>
        </w:r>
      </w:hyperlink>
      <w:r w:rsidRPr="70986129">
        <w:rPr>
          <w:rFonts w:ascii="Calibri" w:eastAsia="Calibri" w:hAnsi="Calibri" w:cs="Calibri"/>
          <w:color w:val="000000" w:themeColor="text1"/>
        </w:rPr>
        <w:t xml:space="preserve"> for more information</w:t>
      </w:r>
      <w:r w:rsidR="47655737" w:rsidRPr="70986129">
        <w:rPr>
          <w:rFonts w:ascii="Calibri" w:eastAsia="Calibri" w:hAnsi="Calibri" w:cs="Calibri"/>
          <w:color w:val="000000" w:themeColor="text1"/>
        </w:rPr>
        <w:t xml:space="preserve"> and to register for the public input session. You can also provide input without attending the session through </w:t>
      </w:r>
      <w:hyperlink r:id="rId12" w:history="1">
        <w:r w:rsidR="47655737" w:rsidRPr="00484AB3">
          <w:rPr>
            <w:rStyle w:val="Hyperlink"/>
            <w:rFonts w:ascii="Calibri" w:eastAsia="Calibri" w:hAnsi="Calibri" w:cs="Calibri"/>
          </w:rPr>
          <w:t>this survey</w:t>
        </w:r>
      </w:hyperlink>
      <w:r w:rsidR="47655737" w:rsidRPr="70986129">
        <w:rPr>
          <w:rFonts w:ascii="Calibri" w:eastAsia="Calibri" w:hAnsi="Calibri" w:cs="Calibri"/>
          <w:color w:val="000000" w:themeColor="text1"/>
        </w:rPr>
        <w:t>.</w:t>
      </w:r>
    </w:p>
    <w:p w14:paraId="4B73E1C3" w14:textId="0BC52818" w:rsidR="000E4FA0" w:rsidRPr="008C295F" w:rsidRDefault="00CA3BE5" w:rsidP="00F318C1">
      <w:pPr>
        <w:pStyle w:val="Heading1"/>
        <w:spacing w:before="120" w:line="240" w:lineRule="auto"/>
        <w:rPr>
          <w:rFonts w:asciiTheme="minorHAnsi" w:hAnsiTheme="minorHAnsi" w:cstheme="minorBidi"/>
          <w:b/>
          <w:bCs/>
          <w:color w:val="1B75BC"/>
        </w:rPr>
      </w:pPr>
      <w:r w:rsidRPr="008C295F">
        <w:rPr>
          <w:rFonts w:asciiTheme="minorHAnsi" w:hAnsiTheme="minorHAnsi" w:cstheme="minorBidi"/>
          <w:b/>
          <w:bCs/>
          <w:color w:val="1B75BC"/>
        </w:rPr>
        <w:t>What does this indicator measure</w:t>
      </w:r>
      <w:r w:rsidR="0ECBA6C1" w:rsidRPr="008C295F">
        <w:rPr>
          <w:rFonts w:asciiTheme="minorHAnsi" w:hAnsiTheme="minorHAnsi" w:cstheme="minorBidi"/>
          <w:b/>
          <w:bCs/>
          <w:color w:val="1B75BC"/>
        </w:rPr>
        <w:t xml:space="preserve"> and why is it important</w:t>
      </w:r>
      <w:r w:rsidRPr="008C295F">
        <w:rPr>
          <w:rFonts w:asciiTheme="minorHAnsi" w:hAnsiTheme="minorHAnsi" w:cstheme="minorBidi"/>
          <w:b/>
          <w:bCs/>
          <w:color w:val="1B75BC"/>
        </w:rPr>
        <w:t>?</w:t>
      </w:r>
    </w:p>
    <w:p w14:paraId="7D485964" w14:textId="66E7CEB0" w:rsidR="11B8660A" w:rsidRDefault="00CF5502" w:rsidP="00F318C1">
      <w:pPr>
        <w:spacing w:after="0" w:line="240" w:lineRule="auto"/>
        <w:rPr>
          <w:rFonts w:eastAsiaTheme="minorEastAsia"/>
        </w:rPr>
      </w:pPr>
      <w:r>
        <w:t xml:space="preserve">Indicator </w:t>
      </w:r>
      <w:r w:rsidR="11B8660A">
        <w:t xml:space="preserve">B14 addresses </w:t>
      </w:r>
      <w:r w:rsidR="155C44BC" w:rsidRPr="70986129">
        <w:rPr>
          <w:rFonts w:ascii="Calibri" w:eastAsia="Calibri" w:hAnsi="Calibri" w:cs="Calibri"/>
          <w:color w:val="000000" w:themeColor="text1"/>
        </w:rPr>
        <w:t>a Free Appropriate Public Education (FAPE) in the Least Restrictive Environment (LRE)</w:t>
      </w:r>
      <w:r w:rsidR="11B8660A">
        <w:t xml:space="preserve"> by measuring p</w:t>
      </w:r>
      <w:r w:rsidR="11B8660A" w:rsidRPr="70986129">
        <w:rPr>
          <w:rFonts w:eastAsiaTheme="minorEastAsia"/>
        </w:rPr>
        <w:t>ost-school outcomes</w:t>
      </w:r>
      <w:r w:rsidR="009E0F91">
        <w:rPr>
          <w:rFonts w:eastAsiaTheme="minorEastAsia"/>
        </w:rPr>
        <w:t xml:space="preserve"> (PSO)</w:t>
      </w:r>
      <w:r w:rsidR="11B8660A" w:rsidRPr="70986129">
        <w:rPr>
          <w:rFonts w:eastAsiaTheme="minorEastAsia"/>
        </w:rPr>
        <w:t>: Percent of youth who are no longer in secondary school, had IEPs in effect at the time they left school, and were:</w:t>
      </w:r>
    </w:p>
    <w:p w14:paraId="0DB1E771" w14:textId="1D536693" w:rsidR="11B8660A" w:rsidRDefault="711BC9C9" w:rsidP="00F318C1">
      <w:pPr>
        <w:pStyle w:val="ListParagraph"/>
        <w:numPr>
          <w:ilvl w:val="0"/>
          <w:numId w:val="2"/>
        </w:numPr>
        <w:spacing w:line="240" w:lineRule="auto"/>
        <w:rPr>
          <w:rFonts w:eastAsiaTheme="minorEastAsia"/>
        </w:rPr>
      </w:pPr>
      <w:r w:rsidRPr="255BAFEA">
        <w:rPr>
          <w:rFonts w:eastAsiaTheme="minorEastAsia"/>
        </w:rPr>
        <w:t xml:space="preserve">A. </w:t>
      </w:r>
      <w:r w:rsidR="11B8660A" w:rsidRPr="255BAFEA">
        <w:rPr>
          <w:rFonts w:eastAsiaTheme="minorEastAsia"/>
        </w:rPr>
        <w:t>Enrolled in higher education within one year of leaving high school.</w:t>
      </w:r>
    </w:p>
    <w:p w14:paraId="200C04E3" w14:textId="569C8F32" w:rsidR="11B8660A" w:rsidRDefault="41427122" w:rsidP="00F318C1">
      <w:pPr>
        <w:pStyle w:val="ListParagraph"/>
        <w:numPr>
          <w:ilvl w:val="0"/>
          <w:numId w:val="2"/>
        </w:numPr>
        <w:spacing w:line="240" w:lineRule="auto"/>
        <w:rPr>
          <w:rFonts w:eastAsiaTheme="minorEastAsia"/>
        </w:rPr>
      </w:pPr>
      <w:r w:rsidRPr="255BAFEA">
        <w:rPr>
          <w:rFonts w:eastAsiaTheme="minorEastAsia"/>
        </w:rPr>
        <w:t xml:space="preserve">B. </w:t>
      </w:r>
      <w:r w:rsidR="11B8660A" w:rsidRPr="255BAFEA">
        <w:rPr>
          <w:rFonts w:eastAsiaTheme="minorEastAsia"/>
        </w:rPr>
        <w:t>Enrolled in higher education or competitively employed within one year of leaving high school.</w:t>
      </w:r>
    </w:p>
    <w:p w14:paraId="353B9B86" w14:textId="2D14996F" w:rsidR="11B8660A" w:rsidRDefault="2F622D3C" w:rsidP="00F318C1">
      <w:pPr>
        <w:pStyle w:val="ListParagraph"/>
        <w:numPr>
          <w:ilvl w:val="0"/>
          <w:numId w:val="2"/>
        </w:numPr>
        <w:spacing w:after="80" w:line="240" w:lineRule="auto"/>
        <w:rPr>
          <w:rFonts w:eastAsiaTheme="minorEastAsia"/>
        </w:rPr>
      </w:pPr>
      <w:r w:rsidRPr="70986129">
        <w:rPr>
          <w:rFonts w:eastAsiaTheme="minorEastAsia"/>
        </w:rPr>
        <w:t xml:space="preserve">C. </w:t>
      </w:r>
      <w:r w:rsidR="11B8660A" w:rsidRPr="70986129">
        <w:rPr>
          <w:rFonts w:eastAsiaTheme="minorEastAsia"/>
        </w:rPr>
        <w:t>Enrolled in higher education or in some other postsecondary education or training program; or competitively employed or in some other employment within one year of leaving high school.</w:t>
      </w:r>
    </w:p>
    <w:p w14:paraId="165D8FD5" w14:textId="530E9666" w:rsidR="5DDA8368" w:rsidRDefault="20A9E5D0" w:rsidP="00F318C1">
      <w:pPr>
        <w:spacing w:after="80" w:line="240" w:lineRule="auto"/>
        <w:rPr>
          <w:rFonts w:eastAsiaTheme="minorEastAsia"/>
        </w:rPr>
      </w:pPr>
      <w:r w:rsidRPr="70986129">
        <w:rPr>
          <w:rFonts w:eastAsiaTheme="minorEastAsia"/>
        </w:rPr>
        <w:t xml:space="preserve">This </w:t>
      </w:r>
      <w:r w:rsidR="00CF5502">
        <w:rPr>
          <w:rFonts w:eastAsiaTheme="minorEastAsia"/>
        </w:rPr>
        <w:t>i</w:t>
      </w:r>
      <w:r w:rsidRPr="70986129">
        <w:rPr>
          <w:rFonts w:eastAsiaTheme="minorEastAsia"/>
        </w:rPr>
        <w:t>ndicator informs the development of more effective special education and secondary transition programs for future students with disabilities.</w:t>
      </w:r>
    </w:p>
    <w:p w14:paraId="21AABC0C" w14:textId="1D2468F7" w:rsidR="6CBDC2CC" w:rsidRPr="008C295F" w:rsidRDefault="00356BE5" w:rsidP="00F318C1">
      <w:pPr>
        <w:pStyle w:val="Heading1"/>
        <w:spacing w:before="120" w:line="240" w:lineRule="auto"/>
        <w:rPr>
          <w:rFonts w:asciiTheme="minorHAnsi" w:hAnsiTheme="minorHAnsi" w:cstheme="minorBidi"/>
          <w:b/>
          <w:bCs/>
          <w:color w:val="1B75BC"/>
        </w:rPr>
      </w:pPr>
      <w:r w:rsidRPr="008C295F">
        <w:rPr>
          <w:rFonts w:asciiTheme="minorHAnsi" w:hAnsiTheme="minorHAnsi" w:cstheme="minorBidi"/>
          <w:b/>
          <w:bCs/>
          <w:color w:val="1B75BC"/>
        </w:rPr>
        <w:t>What is the data source?</w:t>
      </w:r>
    </w:p>
    <w:p w14:paraId="660218ED" w14:textId="54FCBADE" w:rsidR="00C06C4E" w:rsidRPr="00C06C4E" w:rsidRDefault="47BCFA9B" w:rsidP="00F318C1">
      <w:pPr>
        <w:spacing w:after="80" w:line="240" w:lineRule="auto"/>
        <w:rPr>
          <w:rFonts w:eastAsiaTheme="minorEastAsia"/>
        </w:rPr>
      </w:pPr>
      <w:r w:rsidRPr="70986129">
        <w:rPr>
          <w:rFonts w:eastAsiaTheme="minorEastAsia"/>
          <w:sz w:val="21"/>
          <w:szCs w:val="21"/>
        </w:rPr>
        <w:t xml:space="preserve">Districts </w:t>
      </w:r>
      <w:r w:rsidR="009E0F91">
        <w:rPr>
          <w:rFonts w:eastAsiaTheme="minorEastAsia"/>
          <w:sz w:val="21"/>
          <w:szCs w:val="21"/>
        </w:rPr>
        <w:t>conduct</w:t>
      </w:r>
      <w:r w:rsidRPr="70986129">
        <w:rPr>
          <w:rFonts w:eastAsiaTheme="minorEastAsia"/>
          <w:sz w:val="21"/>
          <w:szCs w:val="21"/>
        </w:rPr>
        <w:t xml:space="preserve"> PSO interviews with students who left special education the pre</w:t>
      </w:r>
      <w:r w:rsidR="009E0F91">
        <w:rPr>
          <w:rFonts w:eastAsiaTheme="minorEastAsia"/>
          <w:sz w:val="21"/>
          <w:szCs w:val="21"/>
        </w:rPr>
        <w:t>vious school year and submit</w:t>
      </w:r>
      <w:r w:rsidRPr="70986129">
        <w:rPr>
          <w:rFonts w:eastAsiaTheme="minorEastAsia"/>
          <w:sz w:val="21"/>
          <w:szCs w:val="21"/>
        </w:rPr>
        <w:t xml:space="preserve"> data</w:t>
      </w:r>
      <w:r w:rsidR="009E0F91">
        <w:rPr>
          <w:rFonts w:eastAsiaTheme="minorEastAsia"/>
          <w:sz w:val="21"/>
          <w:szCs w:val="21"/>
        </w:rPr>
        <w:t xml:space="preserve"> from those interviews to ODE</w:t>
      </w:r>
      <w:r w:rsidRPr="70986129">
        <w:rPr>
          <w:rFonts w:eastAsiaTheme="minorEastAsia"/>
          <w:sz w:val="21"/>
          <w:szCs w:val="21"/>
        </w:rPr>
        <w:t>.</w:t>
      </w:r>
    </w:p>
    <w:p w14:paraId="1F4C228D" w14:textId="667E388A" w:rsidR="00502B50" w:rsidRPr="008C295F" w:rsidRDefault="00502B50" w:rsidP="00F318C1">
      <w:pPr>
        <w:pStyle w:val="Heading1"/>
        <w:spacing w:before="120" w:line="240" w:lineRule="auto"/>
        <w:rPr>
          <w:rFonts w:asciiTheme="minorHAnsi" w:hAnsiTheme="minorHAnsi" w:cstheme="minorBidi"/>
          <w:b/>
          <w:bCs/>
          <w:color w:val="1B75BC"/>
        </w:rPr>
      </w:pPr>
      <w:r w:rsidRPr="008C295F">
        <w:rPr>
          <w:rFonts w:asciiTheme="minorHAnsi" w:hAnsiTheme="minorHAnsi" w:cstheme="minorBidi"/>
          <w:b/>
          <w:bCs/>
          <w:color w:val="1B75BC"/>
        </w:rPr>
        <w:t>Does the baseline need to be set or reset for this indicator?</w:t>
      </w:r>
    </w:p>
    <w:p w14:paraId="46D63E0F" w14:textId="77777777" w:rsidR="00502B50" w:rsidRPr="000E4FA0" w:rsidRDefault="00502B50" w:rsidP="00F318C1">
      <w:pPr>
        <w:spacing w:line="240" w:lineRule="auto"/>
        <w:rPr>
          <w:rFonts w:eastAsiaTheme="minorEastAsia"/>
          <w:color w:val="333333"/>
          <w:sz w:val="21"/>
          <w:szCs w:val="21"/>
        </w:rPr>
      </w:pPr>
      <w:r w:rsidRPr="4FFE963D">
        <w:rPr>
          <w:rFonts w:eastAsiaTheme="minorEastAsia"/>
          <w:color w:val="000000" w:themeColor="text1"/>
        </w:rPr>
        <w:t xml:space="preserve">Yes, a new baseline needs to be set for B14. </w:t>
      </w:r>
    </w:p>
    <w:p w14:paraId="0A61ADA5" w14:textId="735F4356" w:rsidR="00C06C4E" w:rsidRPr="008C295F" w:rsidRDefault="4B376A98" w:rsidP="00F318C1">
      <w:pPr>
        <w:pStyle w:val="Heading1"/>
        <w:spacing w:before="120" w:line="240" w:lineRule="auto"/>
        <w:rPr>
          <w:rFonts w:asciiTheme="minorHAnsi" w:hAnsiTheme="minorHAnsi" w:cstheme="minorBidi"/>
          <w:b/>
          <w:bCs/>
          <w:color w:val="1B75BC"/>
        </w:rPr>
      </w:pPr>
      <w:r w:rsidRPr="008C295F">
        <w:rPr>
          <w:rFonts w:asciiTheme="minorHAnsi" w:hAnsiTheme="minorHAnsi" w:cstheme="minorBidi"/>
          <w:b/>
          <w:bCs/>
          <w:color w:val="1B75BC"/>
        </w:rPr>
        <w:t>H</w:t>
      </w:r>
      <w:r w:rsidR="00C41661" w:rsidRPr="008C295F">
        <w:rPr>
          <w:rFonts w:asciiTheme="minorHAnsi" w:hAnsiTheme="minorHAnsi" w:cstheme="minorBidi"/>
          <w:b/>
          <w:bCs/>
          <w:color w:val="1B75BC"/>
        </w:rPr>
        <w:t>ow has Oregon performed over time?</w:t>
      </w:r>
    </w:p>
    <w:p w14:paraId="68560ABA" w14:textId="4564C43C" w:rsidR="022B6019" w:rsidRDefault="00B97BAB" w:rsidP="00F318C1">
      <w:pPr>
        <w:spacing w:after="120" w:line="240" w:lineRule="auto"/>
        <w:rPr>
          <w:rFonts w:eastAsiaTheme="minorEastAsia"/>
        </w:rPr>
      </w:pPr>
      <w:r>
        <w:rPr>
          <w:noProof/>
        </w:rPr>
        <w:drawing>
          <wp:anchor distT="0" distB="0" distL="114300" distR="114300" simplePos="0" relativeHeight="251658240" behindDoc="0" locked="0" layoutInCell="1" allowOverlap="1" wp14:anchorId="1AF51948" wp14:editId="684A9ADF">
            <wp:simplePos x="0" y="0"/>
            <wp:positionH relativeFrom="column">
              <wp:posOffset>1803556</wp:posOffset>
            </wp:positionH>
            <wp:positionV relativeFrom="paragraph">
              <wp:posOffset>419225</wp:posOffset>
            </wp:positionV>
            <wp:extent cx="4992736" cy="1738630"/>
            <wp:effectExtent l="0" t="0" r="17780" b="13970"/>
            <wp:wrapNone/>
            <wp:docPr id="1" name="Chart 1" descr="This chart shows Oregon's B14A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22B6019" w:rsidRPr="70986129">
        <w:rPr>
          <w:rFonts w:eastAsiaTheme="minorEastAsia"/>
        </w:rPr>
        <w:t xml:space="preserve">A. </w:t>
      </w:r>
      <w:r w:rsidR="0FDD4E93" w:rsidRPr="70986129">
        <w:rPr>
          <w:rFonts w:eastAsiaTheme="minorEastAsia"/>
        </w:rPr>
        <w:t>Percent of youth with IEPs in effect when they left school who e</w:t>
      </w:r>
      <w:r w:rsidR="022B6019" w:rsidRPr="70986129">
        <w:rPr>
          <w:rFonts w:eastAsiaTheme="minorEastAsia"/>
        </w:rPr>
        <w:t>nrolled in higher education within one year of leaving high school.</w:t>
      </w:r>
      <w:r w:rsidR="008C295F">
        <w:rPr>
          <w:rFonts w:eastAsiaTheme="minorEastAsia"/>
        </w:rPr>
        <w:t xml:space="preserve"> (</w:t>
      </w:r>
      <w:r w:rsidR="008C295F" w:rsidRPr="008C295F">
        <w:rPr>
          <w:rFonts w:eastAsiaTheme="minorEastAsia"/>
          <w:b/>
        </w:rPr>
        <w:t>Note</w:t>
      </w:r>
      <w:r w:rsidR="008C295F">
        <w:rPr>
          <w:rFonts w:eastAsiaTheme="minorEastAsia"/>
        </w:rPr>
        <w:t xml:space="preserve">: </w:t>
      </w:r>
      <w:r w:rsidR="008C295F" w:rsidRPr="008C295F">
        <w:rPr>
          <w:rFonts w:eastAsiaTheme="minorEastAsia"/>
        </w:rPr>
        <w:t>The COVID-19 pandemic impacted the data for FFY 2019.</w:t>
      </w:r>
      <w:r w:rsidR="008C295F">
        <w:rPr>
          <w:rFonts w:eastAsiaTheme="minorEastAsia"/>
        </w:rPr>
        <w:t>)</w:t>
      </w:r>
    </w:p>
    <w:tbl>
      <w:tblPr>
        <w:tblStyle w:val="TableGrid"/>
        <w:tblW w:w="0" w:type="auto"/>
        <w:tblLayout w:type="fixed"/>
        <w:tblLook w:val="04A0" w:firstRow="1" w:lastRow="0" w:firstColumn="1" w:lastColumn="0" w:noHBand="0" w:noVBand="1"/>
        <w:tblCaption w:val="Indicator 14A Data Table"/>
        <w:tblDescription w:val="This table shows Oregon's statewide targets and actual data for indicator 14A from the State Performance Plan."/>
      </w:tblPr>
      <w:tblGrid>
        <w:gridCol w:w="715"/>
        <w:gridCol w:w="990"/>
        <w:gridCol w:w="990"/>
      </w:tblGrid>
      <w:tr w:rsidR="00F87909" w:rsidRPr="00F25E97" w14:paraId="0DBF8DD0" w14:textId="77777777" w:rsidTr="0035614D">
        <w:trPr>
          <w:trHeight w:val="331"/>
          <w:tblHeader/>
        </w:trPr>
        <w:tc>
          <w:tcPr>
            <w:tcW w:w="715" w:type="dxa"/>
            <w:shd w:val="clear" w:color="auto" w:fill="1B75BC"/>
            <w:vAlign w:val="center"/>
          </w:tcPr>
          <w:p w14:paraId="7FC43D9B" w14:textId="77777777" w:rsidR="00F87909" w:rsidRPr="00F25E97" w:rsidRDefault="00F87909"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267C502E" w14:textId="77777777" w:rsidR="00F87909" w:rsidRPr="00F25E97" w:rsidRDefault="00F87909" w:rsidP="00F318C1">
            <w:pPr>
              <w:jc w:val="center"/>
              <w:rPr>
                <w:b/>
                <w:color w:val="FFFFFF" w:themeColor="background1"/>
              </w:rPr>
            </w:pPr>
            <w:r w:rsidRPr="00F25E97">
              <w:rPr>
                <w:b/>
                <w:color w:val="FFFFFF" w:themeColor="background1"/>
              </w:rPr>
              <w:t xml:space="preserve">Target </w:t>
            </w:r>
            <w:r w:rsidRPr="00F25E97">
              <w:rPr>
                <w:rFonts w:cstheme="minorHAnsi"/>
                <w:b/>
                <w:color w:val="FFFFFF" w:themeColor="background1"/>
              </w:rPr>
              <w:t>≥</w:t>
            </w:r>
          </w:p>
        </w:tc>
        <w:tc>
          <w:tcPr>
            <w:tcW w:w="990" w:type="dxa"/>
            <w:shd w:val="clear" w:color="auto" w:fill="1B75BC"/>
            <w:vAlign w:val="center"/>
          </w:tcPr>
          <w:p w14:paraId="0A1CCBB5" w14:textId="77777777" w:rsidR="00F87909" w:rsidRPr="00F25E97" w:rsidRDefault="00F87909" w:rsidP="00F318C1">
            <w:pPr>
              <w:jc w:val="center"/>
              <w:rPr>
                <w:b/>
                <w:color w:val="FFFFFF" w:themeColor="background1"/>
              </w:rPr>
            </w:pPr>
            <w:r w:rsidRPr="00F25E97">
              <w:rPr>
                <w:b/>
                <w:color w:val="FFFFFF" w:themeColor="background1"/>
              </w:rPr>
              <w:t>Data</w:t>
            </w:r>
          </w:p>
        </w:tc>
      </w:tr>
      <w:tr w:rsidR="00F87909" w14:paraId="535ECB18" w14:textId="77777777" w:rsidTr="0035614D">
        <w:trPr>
          <w:trHeight w:val="331"/>
        </w:trPr>
        <w:tc>
          <w:tcPr>
            <w:tcW w:w="715" w:type="dxa"/>
            <w:vAlign w:val="center"/>
          </w:tcPr>
          <w:p w14:paraId="08B01ABD" w14:textId="77777777" w:rsidR="00F87909" w:rsidRDefault="00F87909" w:rsidP="00F318C1">
            <w:pPr>
              <w:jc w:val="center"/>
            </w:pPr>
            <w:r>
              <w:t>2009</w:t>
            </w:r>
          </w:p>
        </w:tc>
        <w:tc>
          <w:tcPr>
            <w:tcW w:w="990" w:type="dxa"/>
            <w:vAlign w:val="center"/>
          </w:tcPr>
          <w:p w14:paraId="66FE84A6" w14:textId="77777777" w:rsidR="00F87909" w:rsidRPr="00F25E97" w:rsidRDefault="00F87909" w:rsidP="00F318C1">
            <w:pPr>
              <w:jc w:val="center"/>
              <w:rPr>
                <w:i/>
              </w:rPr>
            </w:pPr>
            <w:r w:rsidRPr="00F25E97">
              <w:rPr>
                <w:i/>
              </w:rPr>
              <w:t>Baseline</w:t>
            </w:r>
          </w:p>
        </w:tc>
        <w:tc>
          <w:tcPr>
            <w:tcW w:w="990" w:type="dxa"/>
            <w:vAlign w:val="center"/>
          </w:tcPr>
          <w:p w14:paraId="4D33B2CA" w14:textId="2B29B296" w:rsidR="00F87909" w:rsidRDefault="00B97BAB" w:rsidP="00F318C1">
            <w:pPr>
              <w:jc w:val="center"/>
            </w:pPr>
            <w:r>
              <w:t>24.18%</w:t>
            </w:r>
          </w:p>
        </w:tc>
      </w:tr>
      <w:tr w:rsidR="00F87909" w14:paraId="15074D34" w14:textId="77777777" w:rsidTr="0035614D">
        <w:trPr>
          <w:trHeight w:val="331"/>
        </w:trPr>
        <w:tc>
          <w:tcPr>
            <w:tcW w:w="715" w:type="dxa"/>
            <w:vAlign w:val="center"/>
          </w:tcPr>
          <w:p w14:paraId="76A23E25" w14:textId="77777777" w:rsidR="00F87909" w:rsidRDefault="00F87909" w:rsidP="00F318C1">
            <w:pPr>
              <w:jc w:val="center"/>
            </w:pPr>
            <w:r>
              <w:t>2014</w:t>
            </w:r>
          </w:p>
        </w:tc>
        <w:tc>
          <w:tcPr>
            <w:tcW w:w="990" w:type="dxa"/>
            <w:vAlign w:val="center"/>
          </w:tcPr>
          <w:p w14:paraId="4936F6E5" w14:textId="17AABE24" w:rsidR="00F87909" w:rsidRDefault="008C295F" w:rsidP="00F318C1">
            <w:pPr>
              <w:jc w:val="center"/>
            </w:pPr>
            <w:r>
              <w:t>28.00%</w:t>
            </w:r>
          </w:p>
        </w:tc>
        <w:tc>
          <w:tcPr>
            <w:tcW w:w="990" w:type="dxa"/>
            <w:vAlign w:val="center"/>
          </w:tcPr>
          <w:p w14:paraId="5CAA86EE" w14:textId="558238FC" w:rsidR="00F87909" w:rsidRDefault="008C295F" w:rsidP="00F318C1">
            <w:pPr>
              <w:jc w:val="center"/>
            </w:pPr>
            <w:r>
              <w:t>22.37%</w:t>
            </w:r>
          </w:p>
        </w:tc>
      </w:tr>
      <w:tr w:rsidR="00F87909" w14:paraId="241F6008" w14:textId="77777777" w:rsidTr="0035614D">
        <w:trPr>
          <w:trHeight w:val="331"/>
        </w:trPr>
        <w:tc>
          <w:tcPr>
            <w:tcW w:w="715" w:type="dxa"/>
            <w:vAlign w:val="center"/>
          </w:tcPr>
          <w:p w14:paraId="54297737" w14:textId="77777777" w:rsidR="00F87909" w:rsidRDefault="00F87909" w:rsidP="00F318C1">
            <w:pPr>
              <w:jc w:val="center"/>
            </w:pPr>
            <w:r>
              <w:t>2015</w:t>
            </w:r>
          </w:p>
        </w:tc>
        <w:tc>
          <w:tcPr>
            <w:tcW w:w="990" w:type="dxa"/>
            <w:vAlign w:val="center"/>
          </w:tcPr>
          <w:p w14:paraId="55CF6314" w14:textId="066BDD50" w:rsidR="00F87909" w:rsidRDefault="008C295F" w:rsidP="00F318C1">
            <w:pPr>
              <w:jc w:val="center"/>
            </w:pPr>
            <w:r>
              <w:t>29.00%</w:t>
            </w:r>
          </w:p>
        </w:tc>
        <w:tc>
          <w:tcPr>
            <w:tcW w:w="990" w:type="dxa"/>
            <w:vAlign w:val="center"/>
          </w:tcPr>
          <w:p w14:paraId="1018D7E7" w14:textId="3A2AE3DB" w:rsidR="00F87909" w:rsidRDefault="008C295F" w:rsidP="00F318C1">
            <w:pPr>
              <w:jc w:val="center"/>
            </w:pPr>
            <w:r>
              <w:t>24.41%</w:t>
            </w:r>
          </w:p>
        </w:tc>
      </w:tr>
      <w:tr w:rsidR="00F87909" w14:paraId="340DA046" w14:textId="77777777" w:rsidTr="0035614D">
        <w:trPr>
          <w:trHeight w:val="331"/>
        </w:trPr>
        <w:tc>
          <w:tcPr>
            <w:tcW w:w="715" w:type="dxa"/>
            <w:vAlign w:val="center"/>
          </w:tcPr>
          <w:p w14:paraId="62B3E5B3" w14:textId="77777777" w:rsidR="00F87909" w:rsidRDefault="00F87909" w:rsidP="00F318C1">
            <w:pPr>
              <w:jc w:val="center"/>
            </w:pPr>
            <w:r>
              <w:t>2016</w:t>
            </w:r>
          </w:p>
        </w:tc>
        <w:tc>
          <w:tcPr>
            <w:tcW w:w="990" w:type="dxa"/>
            <w:vAlign w:val="center"/>
          </w:tcPr>
          <w:p w14:paraId="2A7FF938" w14:textId="4B8C3D6B" w:rsidR="00F87909" w:rsidRDefault="008C295F" w:rsidP="00F318C1">
            <w:pPr>
              <w:jc w:val="center"/>
            </w:pPr>
            <w:r>
              <w:t>30.00%</w:t>
            </w:r>
          </w:p>
        </w:tc>
        <w:tc>
          <w:tcPr>
            <w:tcW w:w="990" w:type="dxa"/>
            <w:vAlign w:val="center"/>
          </w:tcPr>
          <w:p w14:paraId="0A88901F" w14:textId="6A732BED" w:rsidR="00F87909" w:rsidRDefault="008C295F" w:rsidP="00F318C1">
            <w:pPr>
              <w:jc w:val="center"/>
            </w:pPr>
            <w:r>
              <w:t>24.56%</w:t>
            </w:r>
          </w:p>
        </w:tc>
      </w:tr>
      <w:tr w:rsidR="00F87909" w14:paraId="5F800B4D" w14:textId="77777777" w:rsidTr="0035614D">
        <w:trPr>
          <w:trHeight w:val="331"/>
        </w:trPr>
        <w:tc>
          <w:tcPr>
            <w:tcW w:w="715" w:type="dxa"/>
            <w:vAlign w:val="center"/>
          </w:tcPr>
          <w:p w14:paraId="09CA5AF3" w14:textId="77777777" w:rsidR="00F87909" w:rsidRDefault="00F87909" w:rsidP="00F318C1">
            <w:pPr>
              <w:jc w:val="center"/>
            </w:pPr>
            <w:r>
              <w:t>2017</w:t>
            </w:r>
          </w:p>
        </w:tc>
        <w:tc>
          <w:tcPr>
            <w:tcW w:w="990" w:type="dxa"/>
            <w:vAlign w:val="center"/>
          </w:tcPr>
          <w:p w14:paraId="330FD4A0" w14:textId="39B73A36" w:rsidR="00F87909" w:rsidRDefault="008C295F" w:rsidP="00F318C1">
            <w:pPr>
              <w:jc w:val="center"/>
            </w:pPr>
            <w:r>
              <w:t>31.00%</w:t>
            </w:r>
          </w:p>
        </w:tc>
        <w:tc>
          <w:tcPr>
            <w:tcW w:w="990" w:type="dxa"/>
            <w:vAlign w:val="center"/>
          </w:tcPr>
          <w:p w14:paraId="015CC862" w14:textId="5F68FFEF" w:rsidR="00F87909" w:rsidRDefault="008C295F" w:rsidP="00F318C1">
            <w:pPr>
              <w:jc w:val="center"/>
            </w:pPr>
            <w:r>
              <w:t>22.82%</w:t>
            </w:r>
          </w:p>
        </w:tc>
      </w:tr>
      <w:tr w:rsidR="00F87909" w14:paraId="64CA3567" w14:textId="77777777" w:rsidTr="0035614D">
        <w:trPr>
          <w:trHeight w:val="331"/>
        </w:trPr>
        <w:tc>
          <w:tcPr>
            <w:tcW w:w="715" w:type="dxa"/>
            <w:vAlign w:val="center"/>
          </w:tcPr>
          <w:p w14:paraId="4E3E6F8D" w14:textId="77777777" w:rsidR="00F87909" w:rsidRDefault="00F87909" w:rsidP="00F318C1">
            <w:pPr>
              <w:jc w:val="center"/>
            </w:pPr>
            <w:r>
              <w:t>2018</w:t>
            </w:r>
          </w:p>
        </w:tc>
        <w:tc>
          <w:tcPr>
            <w:tcW w:w="990" w:type="dxa"/>
            <w:vAlign w:val="center"/>
          </w:tcPr>
          <w:p w14:paraId="4C4A4CB6" w14:textId="3F4C0062" w:rsidR="00F87909" w:rsidRDefault="008C295F" w:rsidP="00F318C1">
            <w:pPr>
              <w:jc w:val="center"/>
            </w:pPr>
            <w:r>
              <w:t>32.00%</w:t>
            </w:r>
          </w:p>
        </w:tc>
        <w:tc>
          <w:tcPr>
            <w:tcW w:w="990" w:type="dxa"/>
            <w:vAlign w:val="center"/>
          </w:tcPr>
          <w:p w14:paraId="596DCFD0" w14:textId="5A2F4FAF" w:rsidR="00F87909" w:rsidRDefault="008C295F" w:rsidP="00F318C1">
            <w:pPr>
              <w:jc w:val="center"/>
            </w:pPr>
            <w:r>
              <w:t>25.13%</w:t>
            </w:r>
          </w:p>
        </w:tc>
      </w:tr>
      <w:tr w:rsidR="00F87909" w14:paraId="255C2508" w14:textId="2B0F82FD" w:rsidTr="0035614D">
        <w:trPr>
          <w:trHeight w:val="331"/>
        </w:trPr>
        <w:tc>
          <w:tcPr>
            <w:tcW w:w="715" w:type="dxa"/>
            <w:vAlign w:val="center"/>
          </w:tcPr>
          <w:p w14:paraId="3C6F9E43" w14:textId="77777777" w:rsidR="00F87909" w:rsidRDefault="00F87909" w:rsidP="00F318C1">
            <w:pPr>
              <w:jc w:val="center"/>
            </w:pPr>
            <w:r>
              <w:t>2019</w:t>
            </w:r>
          </w:p>
        </w:tc>
        <w:tc>
          <w:tcPr>
            <w:tcW w:w="990" w:type="dxa"/>
            <w:vAlign w:val="center"/>
          </w:tcPr>
          <w:p w14:paraId="2117551F" w14:textId="0A465401" w:rsidR="00F87909" w:rsidRDefault="008C295F" w:rsidP="00F318C1">
            <w:pPr>
              <w:jc w:val="center"/>
            </w:pPr>
            <w:r>
              <w:t>32.00%</w:t>
            </w:r>
          </w:p>
        </w:tc>
        <w:tc>
          <w:tcPr>
            <w:tcW w:w="990" w:type="dxa"/>
            <w:vAlign w:val="center"/>
          </w:tcPr>
          <w:p w14:paraId="17294581" w14:textId="6410E0F0" w:rsidR="00F87909" w:rsidRDefault="008C295F" w:rsidP="00F318C1">
            <w:pPr>
              <w:jc w:val="center"/>
            </w:pPr>
            <w:r>
              <w:t>24.84%</w:t>
            </w:r>
          </w:p>
        </w:tc>
      </w:tr>
    </w:tbl>
    <w:p w14:paraId="5DE58C1D" w14:textId="3CC2C375" w:rsidR="008C295F" w:rsidRPr="00CF5502" w:rsidRDefault="008C295F" w:rsidP="00F318C1">
      <w:pPr>
        <w:pStyle w:val="Heading1"/>
        <w:spacing w:before="120" w:line="240" w:lineRule="auto"/>
        <w:rPr>
          <w:rFonts w:asciiTheme="minorHAnsi" w:hAnsiTheme="minorHAnsi" w:cstheme="minorBidi"/>
          <w:b/>
          <w:bCs/>
          <w:color w:val="1B75BC"/>
        </w:rPr>
      </w:pPr>
      <w:r w:rsidRPr="00CF5502">
        <w:rPr>
          <w:rFonts w:asciiTheme="minorHAnsi" w:hAnsiTheme="minorHAnsi" w:cstheme="minorBidi"/>
          <w:b/>
          <w:bCs/>
          <w:color w:val="1B75BC"/>
        </w:rPr>
        <w:lastRenderedPageBreak/>
        <w:t>How has Oregon performed over time? (Continued)</w:t>
      </w:r>
    </w:p>
    <w:p w14:paraId="61E57A52" w14:textId="15796C5C" w:rsidR="4E8233C4" w:rsidRDefault="00C30AE1" w:rsidP="00F318C1">
      <w:pPr>
        <w:spacing w:after="120" w:line="240" w:lineRule="auto"/>
        <w:rPr>
          <w:rFonts w:eastAsiaTheme="minorEastAsia"/>
        </w:rPr>
      </w:pPr>
      <w:r>
        <w:rPr>
          <w:noProof/>
        </w:rPr>
        <w:drawing>
          <wp:anchor distT="0" distB="0" distL="114300" distR="114300" simplePos="0" relativeHeight="251659264" behindDoc="0" locked="0" layoutInCell="1" allowOverlap="1" wp14:anchorId="074A161E" wp14:editId="22D7A166">
            <wp:simplePos x="0" y="0"/>
            <wp:positionH relativeFrom="column">
              <wp:posOffset>1803556</wp:posOffset>
            </wp:positionH>
            <wp:positionV relativeFrom="paragraph">
              <wp:posOffset>416478</wp:posOffset>
            </wp:positionV>
            <wp:extent cx="4986655" cy="1766570"/>
            <wp:effectExtent l="0" t="0" r="4445" b="5080"/>
            <wp:wrapNone/>
            <wp:docPr id="2" name="Chart 2" descr="This chart shows Oregon's B14B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4E8233C4">
        <w:t>B. Percent of youth with IEPs in effect at the time they left school who are e</w:t>
      </w:r>
      <w:r w:rsidR="4E8233C4" w:rsidRPr="70986129">
        <w:rPr>
          <w:rFonts w:eastAsiaTheme="minorEastAsia"/>
        </w:rPr>
        <w:t>nrolled in higher education or competitively employed within one year of leaving high school.</w:t>
      </w:r>
      <w:r w:rsidR="00CF5502" w:rsidRPr="00CF5502">
        <w:rPr>
          <w:rFonts w:eastAsiaTheme="minorEastAsia"/>
        </w:rPr>
        <w:t xml:space="preserve"> </w:t>
      </w:r>
      <w:r w:rsidR="00CF5502">
        <w:rPr>
          <w:rFonts w:eastAsiaTheme="minorEastAsia"/>
        </w:rPr>
        <w:t>(</w:t>
      </w:r>
      <w:r w:rsidR="00CF5502" w:rsidRPr="008C295F">
        <w:rPr>
          <w:rFonts w:eastAsiaTheme="minorEastAsia"/>
          <w:b/>
        </w:rPr>
        <w:t>Note</w:t>
      </w:r>
      <w:r w:rsidR="00CF5502">
        <w:rPr>
          <w:rFonts w:eastAsiaTheme="minorEastAsia"/>
        </w:rPr>
        <w:t xml:space="preserve">: </w:t>
      </w:r>
      <w:r w:rsidR="00CF5502" w:rsidRPr="008C295F">
        <w:rPr>
          <w:rFonts w:eastAsiaTheme="minorEastAsia"/>
        </w:rPr>
        <w:t>The COVID-19 pandemic impacted the data for FFY 2019.</w:t>
      </w:r>
      <w:r w:rsidR="00CF5502">
        <w:rPr>
          <w:rFonts w:eastAsiaTheme="minorEastAsia"/>
        </w:rPr>
        <w:t>)</w:t>
      </w:r>
    </w:p>
    <w:tbl>
      <w:tblPr>
        <w:tblStyle w:val="TableGrid"/>
        <w:tblW w:w="0" w:type="auto"/>
        <w:tblLayout w:type="fixed"/>
        <w:tblLook w:val="04A0" w:firstRow="1" w:lastRow="0" w:firstColumn="1" w:lastColumn="0" w:noHBand="0" w:noVBand="1"/>
        <w:tblCaption w:val="Indicator 14B Data Table"/>
        <w:tblDescription w:val="This table shows Oregon's statewide targets and actual data for indicator 14B from the State Performance Plan."/>
      </w:tblPr>
      <w:tblGrid>
        <w:gridCol w:w="715"/>
        <w:gridCol w:w="990"/>
        <w:gridCol w:w="990"/>
      </w:tblGrid>
      <w:tr w:rsidR="00CF5502" w:rsidRPr="00F25E97" w14:paraId="57157AA5" w14:textId="77777777" w:rsidTr="0035614D">
        <w:trPr>
          <w:trHeight w:val="337"/>
          <w:tblHeader/>
        </w:trPr>
        <w:tc>
          <w:tcPr>
            <w:tcW w:w="715" w:type="dxa"/>
            <w:shd w:val="clear" w:color="auto" w:fill="1B75BC"/>
            <w:vAlign w:val="center"/>
          </w:tcPr>
          <w:p w14:paraId="2F16893C" w14:textId="77777777" w:rsidR="00CF5502" w:rsidRPr="00F25E97" w:rsidRDefault="00CF5502"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0E9B93DF" w14:textId="77777777" w:rsidR="00CF5502" w:rsidRPr="00F25E97" w:rsidRDefault="00CF5502" w:rsidP="00F318C1">
            <w:pPr>
              <w:jc w:val="center"/>
              <w:rPr>
                <w:b/>
                <w:color w:val="FFFFFF" w:themeColor="background1"/>
              </w:rPr>
            </w:pPr>
            <w:r w:rsidRPr="00F25E97">
              <w:rPr>
                <w:b/>
                <w:color w:val="FFFFFF" w:themeColor="background1"/>
              </w:rPr>
              <w:t xml:space="preserve">Target </w:t>
            </w:r>
            <w:r w:rsidRPr="00F25E97">
              <w:rPr>
                <w:rFonts w:cstheme="minorHAnsi"/>
                <w:b/>
                <w:color w:val="FFFFFF" w:themeColor="background1"/>
              </w:rPr>
              <w:t>≥</w:t>
            </w:r>
          </w:p>
        </w:tc>
        <w:tc>
          <w:tcPr>
            <w:tcW w:w="990" w:type="dxa"/>
            <w:shd w:val="clear" w:color="auto" w:fill="1B75BC"/>
            <w:vAlign w:val="center"/>
          </w:tcPr>
          <w:p w14:paraId="01849A06" w14:textId="77777777" w:rsidR="00CF5502" w:rsidRPr="00F25E97" w:rsidRDefault="00CF5502" w:rsidP="00F318C1">
            <w:pPr>
              <w:jc w:val="center"/>
              <w:rPr>
                <w:b/>
                <w:color w:val="FFFFFF" w:themeColor="background1"/>
              </w:rPr>
            </w:pPr>
            <w:r w:rsidRPr="00F25E97">
              <w:rPr>
                <w:b/>
                <w:color w:val="FFFFFF" w:themeColor="background1"/>
              </w:rPr>
              <w:t>Data</w:t>
            </w:r>
          </w:p>
        </w:tc>
      </w:tr>
      <w:tr w:rsidR="00CF5502" w14:paraId="74951B3B" w14:textId="77777777" w:rsidTr="0035614D">
        <w:trPr>
          <w:trHeight w:val="337"/>
        </w:trPr>
        <w:tc>
          <w:tcPr>
            <w:tcW w:w="715" w:type="dxa"/>
            <w:vAlign w:val="center"/>
          </w:tcPr>
          <w:p w14:paraId="6E0EFB0F" w14:textId="77777777" w:rsidR="00CF5502" w:rsidRDefault="00CF5502" w:rsidP="00F318C1">
            <w:pPr>
              <w:jc w:val="center"/>
            </w:pPr>
            <w:r>
              <w:t>2009</w:t>
            </w:r>
          </w:p>
        </w:tc>
        <w:tc>
          <w:tcPr>
            <w:tcW w:w="990" w:type="dxa"/>
            <w:vAlign w:val="center"/>
          </w:tcPr>
          <w:p w14:paraId="4FC26210" w14:textId="77777777" w:rsidR="00CF5502" w:rsidRPr="00F25E97" w:rsidRDefault="00CF5502" w:rsidP="00F318C1">
            <w:pPr>
              <w:jc w:val="center"/>
              <w:rPr>
                <w:i/>
              </w:rPr>
            </w:pPr>
            <w:r w:rsidRPr="00F25E97">
              <w:rPr>
                <w:i/>
              </w:rPr>
              <w:t>Baseline</w:t>
            </w:r>
          </w:p>
        </w:tc>
        <w:tc>
          <w:tcPr>
            <w:tcW w:w="990" w:type="dxa"/>
            <w:vAlign w:val="center"/>
          </w:tcPr>
          <w:p w14:paraId="6F38E424" w14:textId="04B417CE" w:rsidR="00CF5502" w:rsidRDefault="00AE1D50" w:rsidP="00F318C1">
            <w:pPr>
              <w:jc w:val="center"/>
            </w:pPr>
            <w:r>
              <w:t>50.60%</w:t>
            </w:r>
          </w:p>
        </w:tc>
      </w:tr>
      <w:tr w:rsidR="00CF5502" w14:paraId="7821B9F4" w14:textId="77777777" w:rsidTr="0035614D">
        <w:trPr>
          <w:trHeight w:val="337"/>
        </w:trPr>
        <w:tc>
          <w:tcPr>
            <w:tcW w:w="715" w:type="dxa"/>
            <w:vAlign w:val="center"/>
          </w:tcPr>
          <w:p w14:paraId="1742A4D7" w14:textId="77777777" w:rsidR="00CF5502" w:rsidRDefault="00CF5502" w:rsidP="00F318C1">
            <w:pPr>
              <w:jc w:val="center"/>
            </w:pPr>
            <w:r>
              <w:t>2014</w:t>
            </w:r>
          </w:p>
        </w:tc>
        <w:tc>
          <w:tcPr>
            <w:tcW w:w="990" w:type="dxa"/>
            <w:vAlign w:val="center"/>
          </w:tcPr>
          <w:p w14:paraId="72BA9010" w14:textId="48B3EDA2" w:rsidR="00CF5502" w:rsidRDefault="00AE1D50" w:rsidP="00F318C1">
            <w:pPr>
              <w:jc w:val="center"/>
            </w:pPr>
            <w:r>
              <w:t>55.00%</w:t>
            </w:r>
          </w:p>
        </w:tc>
        <w:tc>
          <w:tcPr>
            <w:tcW w:w="990" w:type="dxa"/>
            <w:vAlign w:val="center"/>
          </w:tcPr>
          <w:p w14:paraId="7A35AC59" w14:textId="18E9BC14" w:rsidR="00CF5502" w:rsidRDefault="00AE1D50" w:rsidP="00F318C1">
            <w:pPr>
              <w:jc w:val="center"/>
            </w:pPr>
            <w:r>
              <w:t>56.40%</w:t>
            </w:r>
          </w:p>
        </w:tc>
      </w:tr>
      <w:tr w:rsidR="00AE1D50" w14:paraId="30C5189C" w14:textId="77777777" w:rsidTr="0035614D">
        <w:trPr>
          <w:trHeight w:val="337"/>
        </w:trPr>
        <w:tc>
          <w:tcPr>
            <w:tcW w:w="715" w:type="dxa"/>
            <w:vAlign w:val="center"/>
          </w:tcPr>
          <w:p w14:paraId="40E7CDEF" w14:textId="77777777" w:rsidR="00AE1D50" w:rsidRDefault="00AE1D50" w:rsidP="00F318C1">
            <w:pPr>
              <w:jc w:val="center"/>
            </w:pPr>
            <w:r>
              <w:t>2015</w:t>
            </w:r>
          </w:p>
        </w:tc>
        <w:tc>
          <w:tcPr>
            <w:tcW w:w="990" w:type="dxa"/>
            <w:vAlign w:val="center"/>
          </w:tcPr>
          <w:p w14:paraId="17D43340" w14:textId="763F49EB" w:rsidR="00AE1D50" w:rsidRDefault="00AE1D50" w:rsidP="00F318C1">
            <w:pPr>
              <w:jc w:val="center"/>
            </w:pPr>
            <w:r w:rsidRPr="0041067C">
              <w:t>55.00%</w:t>
            </w:r>
          </w:p>
        </w:tc>
        <w:tc>
          <w:tcPr>
            <w:tcW w:w="990" w:type="dxa"/>
            <w:vAlign w:val="center"/>
          </w:tcPr>
          <w:p w14:paraId="42BEE788" w14:textId="59E11A77" w:rsidR="00AE1D50" w:rsidRDefault="00AE1D50" w:rsidP="00F318C1">
            <w:pPr>
              <w:jc w:val="center"/>
            </w:pPr>
            <w:r>
              <w:t>59.52%</w:t>
            </w:r>
          </w:p>
        </w:tc>
      </w:tr>
      <w:tr w:rsidR="00AE1D50" w14:paraId="5CB2C3F9" w14:textId="77777777" w:rsidTr="0035614D">
        <w:trPr>
          <w:trHeight w:val="337"/>
        </w:trPr>
        <w:tc>
          <w:tcPr>
            <w:tcW w:w="715" w:type="dxa"/>
            <w:vAlign w:val="center"/>
          </w:tcPr>
          <w:p w14:paraId="144DE819" w14:textId="77777777" w:rsidR="00AE1D50" w:rsidRDefault="00AE1D50" w:rsidP="00F318C1">
            <w:pPr>
              <w:jc w:val="center"/>
            </w:pPr>
            <w:r>
              <w:t>2016</w:t>
            </w:r>
          </w:p>
        </w:tc>
        <w:tc>
          <w:tcPr>
            <w:tcW w:w="990" w:type="dxa"/>
            <w:vAlign w:val="center"/>
          </w:tcPr>
          <w:p w14:paraId="0BCDCF3E" w14:textId="461409D7" w:rsidR="00AE1D50" w:rsidRDefault="00AE1D50" w:rsidP="00F318C1">
            <w:pPr>
              <w:jc w:val="center"/>
            </w:pPr>
            <w:r w:rsidRPr="0041067C">
              <w:t>55.</w:t>
            </w:r>
            <w:r>
              <w:t>5</w:t>
            </w:r>
            <w:r w:rsidRPr="0041067C">
              <w:t>0%</w:t>
            </w:r>
          </w:p>
        </w:tc>
        <w:tc>
          <w:tcPr>
            <w:tcW w:w="990" w:type="dxa"/>
            <w:vAlign w:val="center"/>
          </w:tcPr>
          <w:p w14:paraId="71942DED" w14:textId="2BC120D9" w:rsidR="00AE1D50" w:rsidRDefault="00AE1D50" w:rsidP="00F318C1">
            <w:pPr>
              <w:jc w:val="center"/>
            </w:pPr>
            <w:r>
              <w:t>60.46%</w:t>
            </w:r>
          </w:p>
        </w:tc>
      </w:tr>
      <w:tr w:rsidR="00AE1D50" w14:paraId="1074EB0C" w14:textId="77777777" w:rsidTr="0035614D">
        <w:trPr>
          <w:trHeight w:val="337"/>
        </w:trPr>
        <w:tc>
          <w:tcPr>
            <w:tcW w:w="715" w:type="dxa"/>
            <w:vAlign w:val="center"/>
          </w:tcPr>
          <w:p w14:paraId="5115106E" w14:textId="77777777" w:rsidR="00AE1D50" w:rsidRDefault="00AE1D50" w:rsidP="00F318C1">
            <w:pPr>
              <w:jc w:val="center"/>
            </w:pPr>
            <w:r>
              <w:t>2017</w:t>
            </w:r>
          </w:p>
        </w:tc>
        <w:tc>
          <w:tcPr>
            <w:tcW w:w="990" w:type="dxa"/>
            <w:vAlign w:val="center"/>
          </w:tcPr>
          <w:p w14:paraId="30243829" w14:textId="707FABBA" w:rsidR="00AE1D50" w:rsidRDefault="00AE1D50" w:rsidP="00F318C1">
            <w:pPr>
              <w:jc w:val="center"/>
            </w:pPr>
            <w:r>
              <w:t>55.5</w:t>
            </w:r>
            <w:r w:rsidRPr="0041067C">
              <w:t>0%</w:t>
            </w:r>
          </w:p>
        </w:tc>
        <w:tc>
          <w:tcPr>
            <w:tcW w:w="990" w:type="dxa"/>
            <w:vAlign w:val="center"/>
          </w:tcPr>
          <w:p w14:paraId="788B3B75" w14:textId="2B15E19A" w:rsidR="00AE1D50" w:rsidRDefault="00AE1D50" w:rsidP="00F318C1">
            <w:pPr>
              <w:jc w:val="center"/>
            </w:pPr>
            <w:r>
              <w:t>61.99%</w:t>
            </w:r>
          </w:p>
        </w:tc>
      </w:tr>
      <w:tr w:rsidR="00AE1D50" w14:paraId="0F0C8F42" w14:textId="77777777" w:rsidTr="0035614D">
        <w:trPr>
          <w:trHeight w:val="337"/>
        </w:trPr>
        <w:tc>
          <w:tcPr>
            <w:tcW w:w="715" w:type="dxa"/>
            <w:vAlign w:val="center"/>
          </w:tcPr>
          <w:p w14:paraId="7069E26E" w14:textId="77777777" w:rsidR="00AE1D50" w:rsidRDefault="00AE1D50" w:rsidP="00F318C1">
            <w:pPr>
              <w:jc w:val="center"/>
            </w:pPr>
            <w:r>
              <w:t>2018</w:t>
            </w:r>
          </w:p>
        </w:tc>
        <w:tc>
          <w:tcPr>
            <w:tcW w:w="990" w:type="dxa"/>
            <w:vAlign w:val="center"/>
          </w:tcPr>
          <w:p w14:paraId="29208335" w14:textId="68C89351" w:rsidR="00AE1D50" w:rsidRDefault="00AE1D50" w:rsidP="00F318C1">
            <w:pPr>
              <w:jc w:val="center"/>
            </w:pPr>
            <w:r>
              <w:t>56</w:t>
            </w:r>
            <w:r w:rsidRPr="0041067C">
              <w:t>.00%</w:t>
            </w:r>
          </w:p>
        </w:tc>
        <w:tc>
          <w:tcPr>
            <w:tcW w:w="990" w:type="dxa"/>
            <w:vAlign w:val="center"/>
          </w:tcPr>
          <w:p w14:paraId="5F565BCC" w14:textId="017C9057" w:rsidR="00AE1D50" w:rsidRDefault="00AE1D50" w:rsidP="00F318C1">
            <w:pPr>
              <w:jc w:val="center"/>
            </w:pPr>
            <w:r>
              <w:t>46.46%</w:t>
            </w:r>
          </w:p>
        </w:tc>
      </w:tr>
      <w:tr w:rsidR="00AE1D50" w14:paraId="13207116" w14:textId="77777777" w:rsidTr="0035614D">
        <w:trPr>
          <w:trHeight w:val="337"/>
        </w:trPr>
        <w:tc>
          <w:tcPr>
            <w:tcW w:w="715" w:type="dxa"/>
            <w:vAlign w:val="center"/>
          </w:tcPr>
          <w:p w14:paraId="6FE08AE6" w14:textId="77777777" w:rsidR="00AE1D50" w:rsidRDefault="00AE1D50" w:rsidP="00F318C1">
            <w:pPr>
              <w:jc w:val="center"/>
            </w:pPr>
            <w:r>
              <w:t>2019</w:t>
            </w:r>
          </w:p>
        </w:tc>
        <w:tc>
          <w:tcPr>
            <w:tcW w:w="990" w:type="dxa"/>
            <w:vAlign w:val="center"/>
          </w:tcPr>
          <w:p w14:paraId="143D950A" w14:textId="1D5B3104" w:rsidR="00AE1D50" w:rsidRDefault="00AE1D50" w:rsidP="00F318C1">
            <w:pPr>
              <w:jc w:val="center"/>
            </w:pPr>
            <w:r>
              <w:t>56</w:t>
            </w:r>
            <w:r w:rsidRPr="0041067C">
              <w:t>.00%</w:t>
            </w:r>
          </w:p>
        </w:tc>
        <w:tc>
          <w:tcPr>
            <w:tcW w:w="990" w:type="dxa"/>
            <w:vAlign w:val="center"/>
          </w:tcPr>
          <w:p w14:paraId="198B614C" w14:textId="22BA0058" w:rsidR="00AE1D50" w:rsidRDefault="00AE1D50" w:rsidP="00F318C1">
            <w:pPr>
              <w:jc w:val="center"/>
            </w:pPr>
            <w:r>
              <w:t>60.61%</w:t>
            </w:r>
          </w:p>
        </w:tc>
      </w:tr>
    </w:tbl>
    <w:p w14:paraId="53C71E82" w14:textId="3D438A62" w:rsidR="677BE8FE" w:rsidRDefault="00551BCB" w:rsidP="2B5EA53A">
      <w:pPr>
        <w:spacing w:before="120" w:after="80" w:line="240" w:lineRule="auto"/>
        <w:rPr>
          <w:rFonts w:eastAsiaTheme="minorEastAsia"/>
        </w:rPr>
      </w:pPr>
      <w:r>
        <w:rPr>
          <w:noProof/>
        </w:rPr>
        <w:drawing>
          <wp:anchor distT="0" distB="0" distL="114300" distR="114300" simplePos="0" relativeHeight="251660288" behindDoc="0" locked="0" layoutInCell="1" allowOverlap="1" wp14:anchorId="6E0287B8" wp14:editId="7B0AAD16">
            <wp:simplePos x="0" y="0"/>
            <wp:positionH relativeFrom="column">
              <wp:posOffset>1803556</wp:posOffset>
            </wp:positionH>
            <wp:positionV relativeFrom="paragraph">
              <wp:posOffset>642394</wp:posOffset>
            </wp:positionV>
            <wp:extent cx="4987126" cy="1738630"/>
            <wp:effectExtent l="0" t="0" r="4445" b="13970"/>
            <wp:wrapNone/>
            <wp:docPr id="3" name="Chart 3" descr="This chart shows Oregon's B14C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677BE8FE" w:rsidRPr="70986129">
        <w:t xml:space="preserve">C. </w:t>
      </w:r>
      <w:r w:rsidR="506120A0" w:rsidRPr="70986129">
        <w:t>Percent of youth with IEPs in effect at the time they left school who are e</w:t>
      </w:r>
      <w:r w:rsidR="677BE8FE" w:rsidRPr="2B5EA53A">
        <w:rPr>
          <w:rFonts w:eastAsiaTheme="minorEastAsia"/>
        </w:rPr>
        <w:t>nrolled in higher education or in some other postsecondary education or training program; or competitively employed or in some other employment within one year of leaving high school.</w:t>
      </w:r>
      <w:r w:rsidR="00CF5502" w:rsidRPr="2B5EA53A">
        <w:rPr>
          <w:rFonts w:eastAsiaTheme="minorEastAsia"/>
        </w:rPr>
        <w:t xml:space="preserve"> (</w:t>
      </w:r>
      <w:r w:rsidR="00CF5502" w:rsidRPr="2B5EA53A">
        <w:rPr>
          <w:rFonts w:eastAsiaTheme="minorEastAsia"/>
          <w:b/>
          <w:bCs/>
        </w:rPr>
        <w:t>Note</w:t>
      </w:r>
      <w:r w:rsidR="00CF5502" w:rsidRPr="2B5EA53A">
        <w:rPr>
          <w:rFonts w:eastAsiaTheme="minorEastAsia"/>
        </w:rPr>
        <w:t>: The COVID-19 pandemic impacted the data for FFY 2019.)</w:t>
      </w:r>
      <w:commentRangeStart w:id="1"/>
      <w:commentRangeEnd w:id="1"/>
      <w:r>
        <w:rPr>
          <w:rStyle w:val="CommentReference"/>
        </w:rPr>
        <w:commentReference w:id="1"/>
      </w:r>
    </w:p>
    <w:tbl>
      <w:tblPr>
        <w:tblStyle w:val="TableGrid"/>
        <w:tblW w:w="0" w:type="auto"/>
        <w:tblLayout w:type="fixed"/>
        <w:tblLook w:val="04A0" w:firstRow="1" w:lastRow="0" w:firstColumn="1" w:lastColumn="0" w:noHBand="0" w:noVBand="1"/>
        <w:tblCaption w:val="Indicator 14C Data Table"/>
        <w:tblDescription w:val="This table shows Oregon's statewide targets and actual data for indicator 14C from the State Performance Plan."/>
      </w:tblPr>
      <w:tblGrid>
        <w:gridCol w:w="715"/>
        <w:gridCol w:w="990"/>
        <w:gridCol w:w="990"/>
      </w:tblGrid>
      <w:tr w:rsidR="00CF5502" w:rsidRPr="00F25E97" w14:paraId="7F8C8F8C" w14:textId="77777777" w:rsidTr="0035614D">
        <w:trPr>
          <w:trHeight w:val="331"/>
          <w:tblHeader/>
        </w:trPr>
        <w:tc>
          <w:tcPr>
            <w:tcW w:w="715" w:type="dxa"/>
            <w:shd w:val="clear" w:color="auto" w:fill="1B75BC"/>
            <w:vAlign w:val="center"/>
          </w:tcPr>
          <w:p w14:paraId="16199A2C" w14:textId="77777777" w:rsidR="00CF5502" w:rsidRPr="00F25E97" w:rsidRDefault="00CF5502"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6F3C4673" w14:textId="77777777" w:rsidR="00CF5502" w:rsidRPr="00F25E97" w:rsidRDefault="00CF5502" w:rsidP="00F318C1">
            <w:pPr>
              <w:jc w:val="center"/>
              <w:rPr>
                <w:b/>
                <w:color w:val="FFFFFF" w:themeColor="background1"/>
              </w:rPr>
            </w:pPr>
            <w:r w:rsidRPr="00F25E97">
              <w:rPr>
                <w:b/>
                <w:color w:val="FFFFFF" w:themeColor="background1"/>
              </w:rPr>
              <w:t xml:space="preserve">Target </w:t>
            </w:r>
            <w:r w:rsidRPr="00F25E97">
              <w:rPr>
                <w:rFonts w:cstheme="minorHAnsi"/>
                <w:b/>
                <w:color w:val="FFFFFF" w:themeColor="background1"/>
              </w:rPr>
              <w:t>≥</w:t>
            </w:r>
          </w:p>
        </w:tc>
        <w:tc>
          <w:tcPr>
            <w:tcW w:w="990" w:type="dxa"/>
            <w:shd w:val="clear" w:color="auto" w:fill="1B75BC"/>
            <w:vAlign w:val="center"/>
          </w:tcPr>
          <w:p w14:paraId="76679A04" w14:textId="77777777" w:rsidR="00CF5502" w:rsidRPr="00F25E97" w:rsidRDefault="00CF5502" w:rsidP="00F318C1">
            <w:pPr>
              <w:jc w:val="center"/>
              <w:rPr>
                <w:b/>
                <w:color w:val="FFFFFF" w:themeColor="background1"/>
              </w:rPr>
            </w:pPr>
            <w:r w:rsidRPr="00F25E97">
              <w:rPr>
                <w:b/>
                <w:color w:val="FFFFFF" w:themeColor="background1"/>
              </w:rPr>
              <w:t>Data</w:t>
            </w:r>
          </w:p>
        </w:tc>
      </w:tr>
      <w:tr w:rsidR="00CF5502" w14:paraId="21816423" w14:textId="77777777" w:rsidTr="0035614D">
        <w:trPr>
          <w:trHeight w:val="331"/>
        </w:trPr>
        <w:tc>
          <w:tcPr>
            <w:tcW w:w="715" w:type="dxa"/>
            <w:vAlign w:val="center"/>
          </w:tcPr>
          <w:p w14:paraId="4E6BF70D" w14:textId="77777777" w:rsidR="00CF5502" w:rsidRDefault="00CF5502" w:rsidP="00F318C1">
            <w:pPr>
              <w:jc w:val="center"/>
            </w:pPr>
            <w:r>
              <w:t>2009</w:t>
            </w:r>
          </w:p>
        </w:tc>
        <w:tc>
          <w:tcPr>
            <w:tcW w:w="990" w:type="dxa"/>
            <w:vAlign w:val="center"/>
          </w:tcPr>
          <w:p w14:paraId="1EF19E0B" w14:textId="77777777" w:rsidR="00CF5502" w:rsidRPr="00F25E97" w:rsidRDefault="00CF5502" w:rsidP="00F318C1">
            <w:pPr>
              <w:jc w:val="center"/>
              <w:rPr>
                <w:i/>
              </w:rPr>
            </w:pPr>
            <w:r w:rsidRPr="00F25E97">
              <w:rPr>
                <w:i/>
              </w:rPr>
              <w:t>Baseline</w:t>
            </w:r>
          </w:p>
        </w:tc>
        <w:tc>
          <w:tcPr>
            <w:tcW w:w="990" w:type="dxa"/>
            <w:vAlign w:val="center"/>
          </w:tcPr>
          <w:p w14:paraId="3648CA30" w14:textId="22D258AB" w:rsidR="00CF5502" w:rsidRDefault="00551BCB" w:rsidP="00F318C1">
            <w:pPr>
              <w:jc w:val="center"/>
            </w:pPr>
            <w:r>
              <w:t>66.04%</w:t>
            </w:r>
          </w:p>
        </w:tc>
      </w:tr>
      <w:tr w:rsidR="00CF5502" w14:paraId="59B25384" w14:textId="77777777" w:rsidTr="0035614D">
        <w:trPr>
          <w:trHeight w:val="331"/>
        </w:trPr>
        <w:tc>
          <w:tcPr>
            <w:tcW w:w="715" w:type="dxa"/>
            <w:vAlign w:val="center"/>
          </w:tcPr>
          <w:p w14:paraId="7BEB5E3D" w14:textId="77777777" w:rsidR="00CF5502" w:rsidRDefault="00CF5502" w:rsidP="00F318C1">
            <w:pPr>
              <w:jc w:val="center"/>
            </w:pPr>
            <w:r>
              <w:t>2014</w:t>
            </w:r>
          </w:p>
        </w:tc>
        <w:tc>
          <w:tcPr>
            <w:tcW w:w="990" w:type="dxa"/>
            <w:vAlign w:val="center"/>
          </w:tcPr>
          <w:p w14:paraId="0F8B4DF6" w14:textId="09980AE1" w:rsidR="00CF5502" w:rsidRDefault="00B33013" w:rsidP="00F318C1">
            <w:pPr>
              <w:jc w:val="center"/>
            </w:pPr>
            <w:r>
              <w:t>70.00%</w:t>
            </w:r>
          </w:p>
        </w:tc>
        <w:tc>
          <w:tcPr>
            <w:tcW w:w="990" w:type="dxa"/>
            <w:vAlign w:val="center"/>
          </w:tcPr>
          <w:p w14:paraId="6E3A9D52" w14:textId="603C9EE9" w:rsidR="00CF5502" w:rsidRDefault="00551BCB" w:rsidP="00F318C1">
            <w:pPr>
              <w:jc w:val="center"/>
            </w:pPr>
            <w:r>
              <w:t>71.34%</w:t>
            </w:r>
          </w:p>
        </w:tc>
      </w:tr>
      <w:tr w:rsidR="00CF5502" w14:paraId="7E0CC60D" w14:textId="77777777" w:rsidTr="0035614D">
        <w:trPr>
          <w:trHeight w:val="331"/>
        </w:trPr>
        <w:tc>
          <w:tcPr>
            <w:tcW w:w="715" w:type="dxa"/>
            <w:vAlign w:val="center"/>
          </w:tcPr>
          <w:p w14:paraId="293ACB31" w14:textId="77777777" w:rsidR="00CF5502" w:rsidRDefault="00CF5502" w:rsidP="00F318C1">
            <w:pPr>
              <w:jc w:val="center"/>
            </w:pPr>
            <w:r>
              <w:t>2015</w:t>
            </w:r>
          </w:p>
        </w:tc>
        <w:tc>
          <w:tcPr>
            <w:tcW w:w="990" w:type="dxa"/>
            <w:vAlign w:val="center"/>
          </w:tcPr>
          <w:p w14:paraId="4F91E147" w14:textId="4F14B2C2" w:rsidR="00CF5502" w:rsidRDefault="00551BCB" w:rsidP="00F318C1">
            <w:pPr>
              <w:jc w:val="center"/>
            </w:pPr>
            <w:r>
              <w:t>72.00%</w:t>
            </w:r>
          </w:p>
        </w:tc>
        <w:tc>
          <w:tcPr>
            <w:tcW w:w="990" w:type="dxa"/>
            <w:vAlign w:val="center"/>
          </w:tcPr>
          <w:p w14:paraId="2A7C4FC3" w14:textId="5CCEB2CB" w:rsidR="00CF5502" w:rsidRDefault="00551BCB" w:rsidP="00F318C1">
            <w:pPr>
              <w:jc w:val="center"/>
            </w:pPr>
            <w:r>
              <w:t>73.24%</w:t>
            </w:r>
          </w:p>
        </w:tc>
      </w:tr>
      <w:tr w:rsidR="00CF5502" w14:paraId="1875527E" w14:textId="77777777" w:rsidTr="0035614D">
        <w:trPr>
          <w:trHeight w:val="331"/>
        </w:trPr>
        <w:tc>
          <w:tcPr>
            <w:tcW w:w="715" w:type="dxa"/>
            <w:vAlign w:val="center"/>
          </w:tcPr>
          <w:p w14:paraId="4B16D53C" w14:textId="77777777" w:rsidR="00CF5502" w:rsidRDefault="00CF5502" w:rsidP="00F318C1">
            <w:pPr>
              <w:jc w:val="center"/>
            </w:pPr>
            <w:r>
              <w:t>2016</w:t>
            </w:r>
          </w:p>
        </w:tc>
        <w:tc>
          <w:tcPr>
            <w:tcW w:w="990" w:type="dxa"/>
            <w:vAlign w:val="center"/>
          </w:tcPr>
          <w:p w14:paraId="45FF4A05" w14:textId="7FAEB767" w:rsidR="00CF5502" w:rsidRDefault="00551BCB" w:rsidP="00F318C1">
            <w:pPr>
              <w:jc w:val="center"/>
            </w:pPr>
            <w:r>
              <w:t>72.00%</w:t>
            </w:r>
          </w:p>
        </w:tc>
        <w:tc>
          <w:tcPr>
            <w:tcW w:w="990" w:type="dxa"/>
            <w:vAlign w:val="center"/>
          </w:tcPr>
          <w:p w14:paraId="6DC778E1" w14:textId="5579C8FB" w:rsidR="00CF5502" w:rsidRDefault="00551BCB" w:rsidP="00F318C1">
            <w:pPr>
              <w:jc w:val="center"/>
            </w:pPr>
            <w:r>
              <w:t>74.59%</w:t>
            </w:r>
          </w:p>
        </w:tc>
      </w:tr>
      <w:tr w:rsidR="00CF5502" w14:paraId="3E8D7433" w14:textId="77777777" w:rsidTr="0035614D">
        <w:trPr>
          <w:trHeight w:val="331"/>
        </w:trPr>
        <w:tc>
          <w:tcPr>
            <w:tcW w:w="715" w:type="dxa"/>
            <w:vAlign w:val="center"/>
          </w:tcPr>
          <w:p w14:paraId="67EA5DE6" w14:textId="77777777" w:rsidR="00CF5502" w:rsidRDefault="00CF5502" w:rsidP="00F318C1">
            <w:pPr>
              <w:jc w:val="center"/>
            </w:pPr>
            <w:r>
              <w:t>2017</w:t>
            </w:r>
          </w:p>
        </w:tc>
        <w:tc>
          <w:tcPr>
            <w:tcW w:w="990" w:type="dxa"/>
            <w:vAlign w:val="center"/>
          </w:tcPr>
          <w:p w14:paraId="25212E40" w14:textId="5C03D0D0" w:rsidR="00CF5502" w:rsidRDefault="00551BCB" w:rsidP="00F318C1">
            <w:pPr>
              <w:jc w:val="center"/>
            </w:pPr>
            <w:r>
              <w:t>72.00%</w:t>
            </w:r>
          </w:p>
        </w:tc>
        <w:tc>
          <w:tcPr>
            <w:tcW w:w="990" w:type="dxa"/>
            <w:vAlign w:val="center"/>
          </w:tcPr>
          <w:p w14:paraId="04F82419" w14:textId="49947865" w:rsidR="00CF5502" w:rsidRDefault="00551BCB" w:rsidP="00F318C1">
            <w:pPr>
              <w:jc w:val="center"/>
            </w:pPr>
            <w:r>
              <w:t>74.20%</w:t>
            </w:r>
          </w:p>
        </w:tc>
      </w:tr>
      <w:tr w:rsidR="00CF5502" w14:paraId="4C74950A" w14:textId="77777777" w:rsidTr="0035614D">
        <w:trPr>
          <w:trHeight w:val="331"/>
        </w:trPr>
        <w:tc>
          <w:tcPr>
            <w:tcW w:w="715" w:type="dxa"/>
            <w:vAlign w:val="center"/>
          </w:tcPr>
          <w:p w14:paraId="53AFAD4E" w14:textId="77777777" w:rsidR="00CF5502" w:rsidRDefault="00CF5502" w:rsidP="00F318C1">
            <w:pPr>
              <w:jc w:val="center"/>
            </w:pPr>
            <w:r>
              <w:t>2018</w:t>
            </w:r>
          </w:p>
        </w:tc>
        <w:tc>
          <w:tcPr>
            <w:tcW w:w="990" w:type="dxa"/>
            <w:vAlign w:val="center"/>
          </w:tcPr>
          <w:p w14:paraId="15986EF1" w14:textId="68327D69" w:rsidR="00CF5502" w:rsidRDefault="00551BCB" w:rsidP="00F318C1">
            <w:pPr>
              <w:jc w:val="center"/>
            </w:pPr>
            <w:r>
              <w:t>74.00%</w:t>
            </w:r>
          </w:p>
        </w:tc>
        <w:tc>
          <w:tcPr>
            <w:tcW w:w="990" w:type="dxa"/>
            <w:vAlign w:val="center"/>
          </w:tcPr>
          <w:p w14:paraId="13E4D2B8" w14:textId="338B227B" w:rsidR="00CF5502" w:rsidRDefault="00551BCB" w:rsidP="00F318C1">
            <w:pPr>
              <w:jc w:val="center"/>
            </w:pPr>
            <w:r>
              <w:t>81.56%</w:t>
            </w:r>
          </w:p>
        </w:tc>
      </w:tr>
      <w:tr w:rsidR="00CF5502" w14:paraId="76641FE3" w14:textId="77777777" w:rsidTr="0035614D">
        <w:trPr>
          <w:trHeight w:val="331"/>
        </w:trPr>
        <w:tc>
          <w:tcPr>
            <w:tcW w:w="715" w:type="dxa"/>
            <w:vAlign w:val="center"/>
          </w:tcPr>
          <w:p w14:paraId="2F868351" w14:textId="77777777" w:rsidR="00CF5502" w:rsidRDefault="00CF5502" w:rsidP="00F318C1">
            <w:pPr>
              <w:jc w:val="center"/>
            </w:pPr>
            <w:r>
              <w:t>2019</w:t>
            </w:r>
          </w:p>
        </w:tc>
        <w:tc>
          <w:tcPr>
            <w:tcW w:w="990" w:type="dxa"/>
            <w:vAlign w:val="center"/>
          </w:tcPr>
          <w:p w14:paraId="5668765E" w14:textId="2416EDAC" w:rsidR="00CF5502" w:rsidRDefault="00551BCB" w:rsidP="00F318C1">
            <w:pPr>
              <w:jc w:val="center"/>
            </w:pPr>
            <w:r>
              <w:t>74.00%</w:t>
            </w:r>
          </w:p>
        </w:tc>
        <w:tc>
          <w:tcPr>
            <w:tcW w:w="990" w:type="dxa"/>
            <w:vAlign w:val="center"/>
          </w:tcPr>
          <w:p w14:paraId="0091D9FB" w14:textId="589E45A9" w:rsidR="00CF5502" w:rsidRDefault="00551BCB" w:rsidP="00F318C1">
            <w:pPr>
              <w:jc w:val="center"/>
            </w:pPr>
            <w:r>
              <w:t>77.16%</w:t>
            </w:r>
          </w:p>
        </w:tc>
      </w:tr>
    </w:tbl>
    <w:p w14:paraId="6CFA63B3" w14:textId="7FDFB70F" w:rsidR="60E191B5" w:rsidRPr="00CF5502" w:rsidRDefault="60E191B5" w:rsidP="00F318C1">
      <w:pPr>
        <w:pStyle w:val="Heading1"/>
        <w:spacing w:before="120" w:line="240" w:lineRule="auto"/>
        <w:rPr>
          <w:rFonts w:asciiTheme="minorHAnsi" w:hAnsiTheme="minorHAnsi" w:cstheme="minorBidi"/>
          <w:b/>
          <w:bCs/>
          <w:color w:val="1B75BC"/>
        </w:rPr>
      </w:pPr>
      <w:r w:rsidRPr="00CF5502">
        <w:rPr>
          <w:rFonts w:asciiTheme="minorHAnsi" w:hAnsiTheme="minorHAnsi" w:cstheme="minorBidi"/>
          <w:b/>
          <w:bCs/>
          <w:color w:val="1B75BC"/>
        </w:rPr>
        <w:t>What are the new targets?</w:t>
      </w:r>
    </w:p>
    <w:p w14:paraId="4780728B" w14:textId="77777777" w:rsidR="00014229" w:rsidRPr="00F84723" w:rsidRDefault="00014229" w:rsidP="00F318C1">
      <w:pPr>
        <w:spacing w:after="0" w:line="240" w:lineRule="auto"/>
        <w:rPr>
          <w:rFonts w:ascii="Calibri" w:eastAsia="Calibri" w:hAnsi="Calibri" w:cs="Calibri"/>
          <w:color w:val="000000" w:themeColor="text1"/>
        </w:rPr>
      </w:pPr>
      <w:r w:rsidRPr="11458547">
        <w:rPr>
          <w:rFonts w:ascii="Calibri" w:eastAsia="Calibri" w:hAnsi="Calibri" w:cs="Calibri"/>
          <w:color w:val="000000" w:themeColor="text1"/>
        </w:rPr>
        <w:t xml:space="preserve">The ODE will not set new targets until we hear from our partners. There are several ways to set new targets. It could be a percentage increase, start with the end game in mind, or examine trends over time and make predictions based on trends. </w:t>
      </w:r>
      <w:r w:rsidRPr="00F84723">
        <w:rPr>
          <w:rFonts w:ascii="Calibri" w:eastAsia="Calibri" w:hAnsi="Calibri" w:cs="Calibri"/>
          <w:color w:val="000000" w:themeColor="text1"/>
        </w:rPr>
        <w:t>Some helpful information about setting targets:</w:t>
      </w:r>
    </w:p>
    <w:p w14:paraId="3455DE89" w14:textId="77777777" w:rsidR="0035614D" w:rsidRPr="0035614D" w:rsidRDefault="00014229" w:rsidP="00F318C1">
      <w:pPr>
        <w:pStyle w:val="ListParagraph"/>
        <w:numPr>
          <w:ilvl w:val="0"/>
          <w:numId w:val="15"/>
        </w:numPr>
        <w:spacing w:line="240" w:lineRule="auto"/>
        <w:rPr>
          <w:rFonts w:ascii="Calibri" w:eastAsia="Calibri" w:hAnsi="Calibri" w:cs="Calibri"/>
          <w:color w:val="000000" w:themeColor="text1"/>
        </w:rPr>
      </w:pPr>
      <w:r w:rsidRPr="0035614D">
        <w:rPr>
          <w:rFonts w:ascii="Calibri" w:eastAsia="Calibri" w:hAnsi="Calibri" w:cs="Calibri"/>
          <w:color w:val="000000" w:themeColor="text1"/>
        </w:rPr>
        <w:t xml:space="preserve">Targets are meant to support improved results and outcomes for children and families. They should be within reach but still show growth. </w:t>
      </w:r>
    </w:p>
    <w:p w14:paraId="2B809BBC" w14:textId="2BC80ADF" w:rsidR="60E191B5" w:rsidRPr="0035614D" w:rsidRDefault="00014229" w:rsidP="00F318C1">
      <w:pPr>
        <w:pStyle w:val="ListParagraph"/>
        <w:numPr>
          <w:ilvl w:val="0"/>
          <w:numId w:val="15"/>
        </w:numPr>
        <w:spacing w:after="60" w:line="240" w:lineRule="auto"/>
        <w:rPr>
          <w:rFonts w:ascii="Calibri" w:eastAsia="Calibri" w:hAnsi="Calibri" w:cs="Calibri"/>
          <w:color w:val="000000" w:themeColor="text1"/>
        </w:rPr>
      </w:pPr>
      <w:r w:rsidRPr="0035614D">
        <w:rPr>
          <w:rFonts w:ascii="Calibri" w:eastAsia="Calibri" w:hAnsi="Calibri" w:cs="Calibri"/>
          <w:color w:val="000000" w:themeColor="text1"/>
        </w:rPr>
        <w:t>Change takes time. Targets can be created with this understanding in mind. For example, targets may stay the same for several years in a row, and then increase slightly during the final target year (FFY 2025). Alternatively, targets could show a slight increase each year.</w:t>
      </w:r>
    </w:p>
    <w:p w14:paraId="3F62660B" w14:textId="65131304" w:rsidR="60E191B5" w:rsidRDefault="60E191B5" w:rsidP="00F318C1">
      <w:pPr>
        <w:spacing w:after="0" w:line="240" w:lineRule="auto"/>
        <w:rPr>
          <w:rFonts w:ascii="Calibri" w:eastAsia="Calibri" w:hAnsi="Calibri" w:cs="Calibri"/>
          <w:color w:val="408740"/>
          <w:sz w:val="24"/>
          <w:szCs w:val="24"/>
        </w:rPr>
      </w:pPr>
      <w:r w:rsidRPr="70986129">
        <w:rPr>
          <w:rFonts w:ascii="Calibri" w:eastAsia="Calibri" w:hAnsi="Calibri" w:cs="Calibri"/>
          <w:b/>
          <w:bCs/>
          <w:color w:val="408740"/>
          <w:sz w:val="24"/>
          <w:szCs w:val="24"/>
        </w:rPr>
        <w:t>Example A</w:t>
      </w:r>
      <w:r w:rsidR="006E75B2">
        <w:rPr>
          <w:rFonts w:ascii="Calibri" w:eastAsia="Calibri" w:hAnsi="Calibri" w:cs="Calibri"/>
          <w:b/>
          <w:bCs/>
          <w:color w:val="408740"/>
          <w:sz w:val="24"/>
          <w:szCs w:val="24"/>
        </w:rPr>
        <w:t xml:space="preserve">. </w:t>
      </w:r>
      <w:r w:rsidR="006E75B2" w:rsidRPr="70986129">
        <w:rPr>
          <w:rFonts w:ascii="Calibri" w:eastAsia="Calibri" w:hAnsi="Calibri" w:cs="Calibri"/>
          <w:color w:val="000000" w:themeColor="text1"/>
          <w:sz w:val="24"/>
          <w:szCs w:val="24"/>
        </w:rPr>
        <w:t>Example A shows a gradual increase.</w:t>
      </w:r>
    </w:p>
    <w:tbl>
      <w:tblPr>
        <w:tblStyle w:val="TableGrid"/>
        <w:tblW w:w="10705" w:type="dxa"/>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0DAEBBFC" w14:textId="77777777" w:rsidTr="009A6A83">
        <w:trPr>
          <w:tblHeader/>
        </w:trPr>
        <w:tc>
          <w:tcPr>
            <w:tcW w:w="2065" w:type="dxa"/>
            <w:shd w:val="clear" w:color="auto" w:fill="9CC2E5" w:themeFill="accent5" w:themeFillTint="99"/>
          </w:tcPr>
          <w:p w14:paraId="2B02E060" w14:textId="25F5E99D" w:rsidR="255BAFEA" w:rsidRDefault="255BAFEA" w:rsidP="00F318C1">
            <w:pPr>
              <w:jc w:val="center"/>
              <w:rPr>
                <w:rFonts w:ascii="Calibri" w:eastAsia="Calibri" w:hAnsi="Calibri" w:cs="Calibri"/>
              </w:rPr>
            </w:pPr>
            <w:r w:rsidRPr="255BAFEA">
              <w:rPr>
                <w:rFonts w:ascii="Calibri" w:eastAsia="Calibri" w:hAnsi="Calibri" w:cs="Calibri"/>
                <w:b/>
                <w:bCs/>
              </w:rPr>
              <w:t>FFY</w:t>
            </w:r>
          </w:p>
        </w:tc>
        <w:tc>
          <w:tcPr>
            <w:tcW w:w="1215" w:type="dxa"/>
            <w:shd w:val="clear" w:color="auto" w:fill="9CC2E5" w:themeFill="accent5" w:themeFillTint="99"/>
          </w:tcPr>
          <w:p w14:paraId="4361FB89" w14:textId="2B281215" w:rsidR="255BAFEA" w:rsidRDefault="14312103" w:rsidP="00F318C1">
            <w:pPr>
              <w:jc w:val="center"/>
              <w:rPr>
                <w:rFonts w:ascii="Calibri" w:eastAsia="Calibri" w:hAnsi="Calibri" w:cs="Calibri"/>
                <w:b/>
                <w:bCs/>
              </w:rPr>
            </w:pPr>
            <w:r w:rsidRPr="4BB76A98">
              <w:rPr>
                <w:rFonts w:ascii="Calibri" w:eastAsia="Calibri" w:hAnsi="Calibri" w:cs="Calibri"/>
                <w:b/>
                <w:bCs/>
              </w:rPr>
              <w:t>2020</w:t>
            </w:r>
          </w:p>
        </w:tc>
        <w:tc>
          <w:tcPr>
            <w:tcW w:w="1485" w:type="dxa"/>
            <w:shd w:val="clear" w:color="auto" w:fill="9CC2E5" w:themeFill="accent5" w:themeFillTint="99"/>
          </w:tcPr>
          <w:p w14:paraId="0A2BFB35" w14:textId="1871A870" w:rsidR="255BAFEA" w:rsidRDefault="3C153C4A" w:rsidP="00F318C1">
            <w:pPr>
              <w:jc w:val="center"/>
              <w:rPr>
                <w:rFonts w:ascii="Calibri" w:eastAsia="Calibri" w:hAnsi="Calibri" w:cs="Calibri"/>
              </w:rPr>
            </w:pPr>
            <w:r w:rsidRPr="4BB76A98">
              <w:rPr>
                <w:rFonts w:ascii="Calibri" w:eastAsia="Calibri" w:hAnsi="Calibri" w:cs="Calibri"/>
                <w:b/>
                <w:bCs/>
              </w:rPr>
              <w:t>202</w:t>
            </w:r>
            <w:r w:rsidR="43E389B2" w:rsidRPr="4BB76A98">
              <w:rPr>
                <w:rFonts w:ascii="Calibri" w:eastAsia="Calibri" w:hAnsi="Calibri" w:cs="Calibri"/>
                <w:b/>
                <w:bCs/>
              </w:rPr>
              <w:t>1</w:t>
            </w:r>
          </w:p>
        </w:tc>
        <w:tc>
          <w:tcPr>
            <w:tcW w:w="1485" w:type="dxa"/>
            <w:shd w:val="clear" w:color="auto" w:fill="9CC2E5" w:themeFill="accent5" w:themeFillTint="99"/>
          </w:tcPr>
          <w:p w14:paraId="582258B9" w14:textId="13E00F2E" w:rsidR="255BAFEA" w:rsidRDefault="3C153C4A" w:rsidP="00F318C1">
            <w:pPr>
              <w:jc w:val="center"/>
              <w:rPr>
                <w:rFonts w:ascii="Calibri" w:eastAsia="Calibri" w:hAnsi="Calibri" w:cs="Calibri"/>
              </w:rPr>
            </w:pPr>
            <w:r w:rsidRPr="4BB76A98">
              <w:rPr>
                <w:rFonts w:ascii="Calibri" w:eastAsia="Calibri" w:hAnsi="Calibri" w:cs="Calibri"/>
                <w:b/>
                <w:bCs/>
              </w:rPr>
              <w:t>202</w:t>
            </w:r>
            <w:r w:rsidR="3D962B31" w:rsidRPr="4BB76A98">
              <w:rPr>
                <w:rFonts w:ascii="Calibri" w:eastAsia="Calibri" w:hAnsi="Calibri" w:cs="Calibri"/>
                <w:b/>
                <w:bCs/>
              </w:rPr>
              <w:t>2</w:t>
            </w:r>
          </w:p>
        </w:tc>
        <w:tc>
          <w:tcPr>
            <w:tcW w:w="1485" w:type="dxa"/>
            <w:shd w:val="clear" w:color="auto" w:fill="9CC2E5" w:themeFill="accent5" w:themeFillTint="99"/>
          </w:tcPr>
          <w:p w14:paraId="44FC9379" w14:textId="7C4601FA" w:rsidR="255BAFEA" w:rsidRDefault="3C153C4A" w:rsidP="00F318C1">
            <w:pPr>
              <w:jc w:val="center"/>
              <w:rPr>
                <w:rFonts w:ascii="Calibri" w:eastAsia="Calibri" w:hAnsi="Calibri" w:cs="Calibri"/>
              </w:rPr>
            </w:pPr>
            <w:r w:rsidRPr="4BB76A98">
              <w:rPr>
                <w:rFonts w:ascii="Calibri" w:eastAsia="Calibri" w:hAnsi="Calibri" w:cs="Calibri"/>
                <w:b/>
                <w:bCs/>
              </w:rPr>
              <w:t>202</w:t>
            </w:r>
            <w:r w:rsidR="6B2E1BF5" w:rsidRPr="4BB76A98">
              <w:rPr>
                <w:rFonts w:ascii="Calibri" w:eastAsia="Calibri" w:hAnsi="Calibri" w:cs="Calibri"/>
                <w:b/>
                <w:bCs/>
              </w:rPr>
              <w:t>3</w:t>
            </w:r>
          </w:p>
        </w:tc>
        <w:tc>
          <w:tcPr>
            <w:tcW w:w="1485" w:type="dxa"/>
            <w:shd w:val="clear" w:color="auto" w:fill="9CC2E5" w:themeFill="accent5" w:themeFillTint="99"/>
          </w:tcPr>
          <w:p w14:paraId="7115F48E" w14:textId="55FF4EBA" w:rsidR="255BAFEA" w:rsidRDefault="3C153C4A" w:rsidP="00F318C1">
            <w:pPr>
              <w:jc w:val="center"/>
              <w:rPr>
                <w:rFonts w:ascii="Calibri" w:eastAsia="Calibri" w:hAnsi="Calibri" w:cs="Calibri"/>
              </w:rPr>
            </w:pPr>
            <w:r w:rsidRPr="4BB76A98">
              <w:rPr>
                <w:rFonts w:ascii="Calibri" w:eastAsia="Calibri" w:hAnsi="Calibri" w:cs="Calibri"/>
                <w:b/>
                <w:bCs/>
              </w:rPr>
              <w:t>202</w:t>
            </w:r>
            <w:r w:rsidR="04D98F98" w:rsidRPr="4BB76A98">
              <w:rPr>
                <w:rFonts w:ascii="Calibri" w:eastAsia="Calibri" w:hAnsi="Calibri" w:cs="Calibri"/>
                <w:b/>
                <w:bCs/>
              </w:rPr>
              <w:t>4</w:t>
            </w:r>
          </w:p>
        </w:tc>
        <w:tc>
          <w:tcPr>
            <w:tcW w:w="1485" w:type="dxa"/>
            <w:shd w:val="clear" w:color="auto" w:fill="9CC2E5" w:themeFill="accent5" w:themeFillTint="99"/>
          </w:tcPr>
          <w:p w14:paraId="2786DF1E" w14:textId="2277E88B" w:rsidR="255BAFEA" w:rsidRDefault="3C153C4A" w:rsidP="00F318C1">
            <w:pPr>
              <w:jc w:val="center"/>
              <w:rPr>
                <w:rFonts w:ascii="Calibri" w:eastAsia="Calibri" w:hAnsi="Calibri" w:cs="Calibri"/>
              </w:rPr>
            </w:pPr>
            <w:r w:rsidRPr="4BB76A98">
              <w:rPr>
                <w:rFonts w:ascii="Calibri" w:eastAsia="Calibri" w:hAnsi="Calibri" w:cs="Calibri"/>
                <w:b/>
                <w:bCs/>
              </w:rPr>
              <w:t>202</w:t>
            </w:r>
            <w:r w:rsidR="144A7F77" w:rsidRPr="4BB76A98">
              <w:rPr>
                <w:rFonts w:ascii="Calibri" w:eastAsia="Calibri" w:hAnsi="Calibri" w:cs="Calibri"/>
                <w:b/>
                <w:bCs/>
              </w:rPr>
              <w:t>5</w:t>
            </w:r>
          </w:p>
        </w:tc>
      </w:tr>
      <w:tr w:rsidR="255BAFEA" w14:paraId="7BCE9CB2" w14:textId="77777777" w:rsidTr="009A6A83">
        <w:trPr>
          <w:tblHeader/>
        </w:trPr>
        <w:tc>
          <w:tcPr>
            <w:tcW w:w="2065" w:type="dxa"/>
          </w:tcPr>
          <w:p w14:paraId="57D818AE" w14:textId="7D3CAEC4"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4C55970D" w:rsidRPr="4DF1C38C">
              <w:rPr>
                <w:rFonts w:ascii="Calibri" w:eastAsia="Calibri" w:hAnsi="Calibri" w:cs="Calibri"/>
              </w:rPr>
              <w:t>14</w:t>
            </w:r>
            <w:r w:rsidRPr="4DF1C38C">
              <w:rPr>
                <w:rFonts w:ascii="Calibri" w:eastAsia="Calibri" w:hAnsi="Calibri" w:cs="Calibri"/>
              </w:rPr>
              <w:t>A ≥</w:t>
            </w:r>
          </w:p>
        </w:tc>
        <w:tc>
          <w:tcPr>
            <w:tcW w:w="1215" w:type="dxa"/>
          </w:tcPr>
          <w:p w14:paraId="3294DF56" w14:textId="07B5D04F" w:rsidR="255BAFEA" w:rsidRDefault="00F318C1" w:rsidP="00F318C1">
            <w:pPr>
              <w:jc w:val="center"/>
              <w:rPr>
                <w:rFonts w:ascii="Calibri" w:eastAsia="Calibri" w:hAnsi="Calibri" w:cs="Calibri"/>
              </w:rPr>
            </w:pPr>
            <w:r>
              <w:rPr>
                <w:rFonts w:ascii="Calibri" w:eastAsia="Calibri" w:hAnsi="Calibri" w:cs="Calibri"/>
              </w:rPr>
              <w:t>32</w:t>
            </w:r>
            <w:r w:rsidR="0097638D">
              <w:rPr>
                <w:rFonts w:ascii="Calibri" w:eastAsia="Calibri" w:hAnsi="Calibri" w:cs="Calibri"/>
              </w:rPr>
              <w:t>.00%</w:t>
            </w:r>
          </w:p>
        </w:tc>
        <w:tc>
          <w:tcPr>
            <w:tcW w:w="1485" w:type="dxa"/>
          </w:tcPr>
          <w:p w14:paraId="31A988EF" w14:textId="1D478A80" w:rsidR="255BAFEA" w:rsidRDefault="0097638D" w:rsidP="00F318C1">
            <w:pPr>
              <w:jc w:val="center"/>
              <w:rPr>
                <w:rFonts w:ascii="Calibri" w:eastAsia="Calibri" w:hAnsi="Calibri" w:cs="Calibri"/>
              </w:rPr>
            </w:pPr>
            <w:r>
              <w:rPr>
                <w:rFonts w:ascii="Calibri" w:eastAsia="Calibri" w:hAnsi="Calibri" w:cs="Calibri"/>
              </w:rPr>
              <w:t>32.00%</w:t>
            </w:r>
          </w:p>
        </w:tc>
        <w:tc>
          <w:tcPr>
            <w:tcW w:w="1485" w:type="dxa"/>
          </w:tcPr>
          <w:p w14:paraId="6B54309C" w14:textId="5C992205" w:rsidR="255BAFEA" w:rsidRDefault="0097638D" w:rsidP="00F318C1">
            <w:pPr>
              <w:jc w:val="center"/>
              <w:rPr>
                <w:rFonts w:ascii="Calibri" w:eastAsia="Calibri" w:hAnsi="Calibri" w:cs="Calibri"/>
              </w:rPr>
            </w:pPr>
            <w:r>
              <w:rPr>
                <w:rFonts w:ascii="Calibri" w:eastAsia="Calibri" w:hAnsi="Calibri" w:cs="Calibri"/>
              </w:rPr>
              <w:t>34.00%</w:t>
            </w:r>
          </w:p>
        </w:tc>
        <w:tc>
          <w:tcPr>
            <w:tcW w:w="1485" w:type="dxa"/>
          </w:tcPr>
          <w:p w14:paraId="7BAF75C9" w14:textId="31E480B2" w:rsidR="255BAFEA" w:rsidRDefault="0097638D" w:rsidP="00F318C1">
            <w:pPr>
              <w:jc w:val="center"/>
              <w:rPr>
                <w:rFonts w:ascii="Calibri" w:eastAsia="Calibri" w:hAnsi="Calibri" w:cs="Calibri"/>
              </w:rPr>
            </w:pPr>
            <w:r>
              <w:rPr>
                <w:rFonts w:ascii="Calibri" w:eastAsia="Calibri" w:hAnsi="Calibri" w:cs="Calibri"/>
              </w:rPr>
              <w:t>34.00%</w:t>
            </w:r>
          </w:p>
        </w:tc>
        <w:tc>
          <w:tcPr>
            <w:tcW w:w="1485" w:type="dxa"/>
          </w:tcPr>
          <w:p w14:paraId="22A5AB79" w14:textId="2629FFB0" w:rsidR="255BAFEA" w:rsidRDefault="0097638D" w:rsidP="00F318C1">
            <w:pPr>
              <w:jc w:val="center"/>
              <w:rPr>
                <w:rFonts w:ascii="Calibri" w:eastAsia="Calibri" w:hAnsi="Calibri" w:cs="Calibri"/>
              </w:rPr>
            </w:pPr>
            <w:r>
              <w:rPr>
                <w:rFonts w:ascii="Calibri" w:eastAsia="Calibri" w:hAnsi="Calibri" w:cs="Calibri"/>
              </w:rPr>
              <w:t>36.00%</w:t>
            </w:r>
          </w:p>
        </w:tc>
        <w:tc>
          <w:tcPr>
            <w:tcW w:w="1485" w:type="dxa"/>
          </w:tcPr>
          <w:p w14:paraId="699D974D" w14:textId="1D561734" w:rsidR="255BAFEA" w:rsidRDefault="0097638D" w:rsidP="00F318C1">
            <w:pPr>
              <w:jc w:val="center"/>
              <w:rPr>
                <w:rFonts w:ascii="Calibri" w:eastAsia="Calibri" w:hAnsi="Calibri" w:cs="Calibri"/>
              </w:rPr>
            </w:pPr>
            <w:r>
              <w:rPr>
                <w:rFonts w:ascii="Calibri" w:eastAsia="Calibri" w:hAnsi="Calibri" w:cs="Calibri"/>
              </w:rPr>
              <w:t>36.00%</w:t>
            </w:r>
          </w:p>
        </w:tc>
      </w:tr>
      <w:tr w:rsidR="255BAFEA" w14:paraId="1767AAC2" w14:textId="77777777" w:rsidTr="009A6A83">
        <w:trPr>
          <w:tblHeader/>
        </w:trPr>
        <w:tc>
          <w:tcPr>
            <w:tcW w:w="2065" w:type="dxa"/>
          </w:tcPr>
          <w:p w14:paraId="313BC590" w14:textId="61AE9A2D"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60E87CF3" w:rsidRPr="4DF1C38C">
              <w:rPr>
                <w:rFonts w:ascii="Calibri" w:eastAsia="Calibri" w:hAnsi="Calibri" w:cs="Calibri"/>
              </w:rPr>
              <w:t>14</w:t>
            </w:r>
            <w:r w:rsidRPr="4DF1C38C">
              <w:rPr>
                <w:rFonts w:ascii="Calibri" w:eastAsia="Calibri" w:hAnsi="Calibri" w:cs="Calibri"/>
              </w:rPr>
              <w:t xml:space="preserve">B </w:t>
            </w:r>
            <w:r w:rsidR="0097638D" w:rsidRPr="4DF1C38C">
              <w:rPr>
                <w:rFonts w:ascii="Calibri" w:eastAsia="Calibri" w:hAnsi="Calibri" w:cs="Calibri"/>
              </w:rPr>
              <w:t>≥</w:t>
            </w:r>
          </w:p>
        </w:tc>
        <w:tc>
          <w:tcPr>
            <w:tcW w:w="1215" w:type="dxa"/>
          </w:tcPr>
          <w:p w14:paraId="26CD30BE" w14:textId="34360C39" w:rsidR="255BAFEA" w:rsidRDefault="0097638D" w:rsidP="00F318C1">
            <w:pPr>
              <w:jc w:val="center"/>
              <w:rPr>
                <w:rFonts w:ascii="Calibri" w:eastAsia="Calibri" w:hAnsi="Calibri" w:cs="Calibri"/>
              </w:rPr>
            </w:pPr>
            <w:r>
              <w:rPr>
                <w:rFonts w:ascii="Calibri" w:eastAsia="Calibri" w:hAnsi="Calibri" w:cs="Calibri"/>
              </w:rPr>
              <w:t>56.00%</w:t>
            </w:r>
          </w:p>
        </w:tc>
        <w:tc>
          <w:tcPr>
            <w:tcW w:w="1485" w:type="dxa"/>
          </w:tcPr>
          <w:p w14:paraId="478A9E83" w14:textId="15E214E0" w:rsidR="255BAFEA" w:rsidRDefault="0097638D" w:rsidP="00F318C1">
            <w:pPr>
              <w:jc w:val="center"/>
              <w:rPr>
                <w:rFonts w:ascii="Calibri" w:eastAsia="Calibri" w:hAnsi="Calibri" w:cs="Calibri"/>
              </w:rPr>
            </w:pPr>
            <w:r>
              <w:rPr>
                <w:rFonts w:ascii="Calibri" w:eastAsia="Calibri" w:hAnsi="Calibri" w:cs="Calibri"/>
              </w:rPr>
              <w:t>56.00%</w:t>
            </w:r>
          </w:p>
        </w:tc>
        <w:tc>
          <w:tcPr>
            <w:tcW w:w="1485" w:type="dxa"/>
          </w:tcPr>
          <w:p w14:paraId="5DCCB902" w14:textId="79BB0BA1" w:rsidR="255BAFEA" w:rsidRDefault="0097638D" w:rsidP="00F318C1">
            <w:pPr>
              <w:jc w:val="center"/>
              <w:rPr>
                <w:rFonts w:ascii="Calibri" w:eastAsia="Calibri" w:hAnsi="Calibri" w:cs="Calibri"/>
              </w:rPr>
            </w:pPr>
            <w:r>
              <w:rPr>
                <w:rFonts w:ascii="Calibri" w:eastAsia="Calibri" w:hAnsi="Calibri" w:cs="Calibri"/>
              </w:rPr>
              <w:t>58.00%</w:t>
            </w:r>
          </w:p>
        </w:tc>
        <w:tc>
          <w:tcPr>
            <w:tcW w:w="1485" w:type="dxa"/>
          </w:tcPr>
          <w:p w14:paraId="39C30CF6" w14:textId="27DBAF65" w:rsidR="255BAFEA" w:rsidRDefault="0097638D" w:rsidP="00F318C1">
            <w:pPr>
              <w:jc w:val="center"/>
              <w:rPr>
                <w:rFonts w:ascii="Calibri" w:eastAsia="Calibri" w:hAnsi="Calibri" w:cs="Calibri"/>
              </w:rPr>
            </w:pPr>
            <w:r>
              <w:rPr>
                <w:rFonts w:ascii="Calibri" w:eastAsia="Calibri" w:hAnsi="Calibri" w:cs="Calibri"/>
              </w:rPr>
              <w:t>58.00%</w:t>
            </w:r>
          </w:p>
        </w:tc>
        <w:tc>
          <w:tcPr>
            <w:tcW w:w="1485" w:type="dxa"/>
          </w:tcPr>
          <w:p w14:paraId="234A63F1" w14:textId="3442C04E" w:rsidR="255BAFEA" w:rsidRDefault="0097638D" w:rsidP="00F318C1">
            <w:pPr>
              <w:jc w:val="center"/>
              <w:rPr>
                <w:rFonts w:ascii="Calibri" w:eastAsia="Calibri" w:hAnsi="Calibri" w:cs="Calibri"/>
              </w:rPr>
            </w:pPr>
            <w:r>
              <w:rPr>
                <w:rFonts w:ascii="Calibri" w:eastAsia="Calibri" w:hAnsi="Calibri" w:cs="Calibri"/>
              </w:rPr>
              <w:t>60.00%</w:t>
            </w:r>
          </w:p>
        </w:tc>
        <w:tc>
          <w:tcPr>
            <w:tcW w:w="1485" w:type="dxa"/>
          </w:tcPr>
          <w:p w14:paraId="472870F6" w14:textId="236CBB31" w:rsidR="255BAFEA" w:rsidRDefault="0097638D" w:rsidP="00F318C1">
            <w:pPr>
              <w:jc w:val="center"/>
              <w:rPr>
                <w:rFonts w:ascii="Calibri" w:eastAsia="Calibri" w:hAnsi="Calibri" w:cs="Calibri"/>
              </w:rPr>
            </w:pPr>
            <w:r>
              <w:rPr>
                <w:rFonts w:ascii="Calibri" w:eastAsia="Calibri" w:hAnsi="Calibri" w:cs="Calibri"/>
              </w:rPr>
              <w:t>60.00%</w:t>
            </w:r>
          </w:p>
        </w:tc>
      </w:tr>
      <w:tr w:rsidR="255BAFEA" w14:paraId="596D596B" w14:textId="77777777" w:rsidTr="009A6A83">
        <w:trPr>
          <w:tblHeader/>
        </w:trPr>
        <w:tc>
          <w:tcPr>
            <w:tcW w:w="2065" w:type="dxa"/>
          </w:tcPr>
          <w:p w14:paraId="07745EDE" w14:textId="22338FEE"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2C0C6DCB" w:rsidRPr="4DF1C38C">
              <w:rPr>
                <w:rFonts w:ascii="Calibri" w:eastAsia="Calibri" w:hAnsi="Calibri" w:cs="Calibri"/>
              </w:rPr>
              <w:t>14</w:t>
            </w:r>
            <w:r w:rsidRPr="4DF1C38C">
              <w:rPr>
                <w:rFonts w:ascii="Calibri" w:eastAsia="Calibri" w:hAnsi="Calibri" w:cs="Calibri"/>
              </w:rPr>
              <w:t xml:space="preserve">C </w:t>
            </w:r>
            <w:r w:rsidR="0097638D" w:rsidRPr="4DF1C38C">
              <w:rPr>
                <w:rFonts w:ascii="Calibri" w:eastAsia="Calibri" w:hAnsi="Calibri" w:cs="Calibri"/>
              </w:rPr>
              <w:t>≥</w:t>
            </w:r>
          </w:p>
        </w:tc>
        <w:tc>
          <w:tcPr>
            <w:tcW w:w="1215" w:type="dxa"/>
          </w:tcPr>
          <w:p w14:paraId="54AEFD22" w14:textId="187FB84F"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2655E58F" w14:textId="77B2E81A"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324BAC00" w14:textId="17BA1C52"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7CF91FB7" w14:textId="6897DCB6"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1A2B19EA" w14:textId="7FD8411B"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c>
          <w:tcPr>
            <w:tcW w:w="1485" w:type="dxa"/>
          </w:tcPr>
          <w:p w14:paraId="7B8371F5" w14:textId="7F61CDD0"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r>
    </w:tbl>
    <w:p w14:paraId="39EEFF5C" w14:textId="52D2F1D8" w:rsidR="31504613" w:rsidRDefault="31504613" w:rsidP="00F318C1">
      <w:pPr>
        <w:spacing w:before="120" w:after="0" w:line="240" w:lineRule="auto"/>
        <w:rPr>
          <w:rFonts w:ascii="Calibri" w:eastAsia="Calibri" w:hAnsi="Calibri" w:cs="Calibri"/>
          <w:color w:val="408740"/>
          <w:sz w:val="24"/>
          <w:szCs w:val="24"/>
        </w:rPr>
      </w:pPr>
      <w:r w:rsidRPr="70986129">
        <w:rPr>
          <w:rFonts w:ascii="Calibri" w:eastAsia="Calibri" w:hAnsi="Calibri" w:cs="Calibri"/>
          <w:b/>
          <w:bCs/>
          <w:color w:val="408740"/>
          <w:sz w:val="24"/>
          <w:szCs w:val="24"/>
        </w:rPr>
        <w:t>Example B</w:t>
      </w:r>
      <w:r w:rsidR="006E75B2">
        <w:rPr>
          <w:rFonts w:ascii="Calibri" w:eastAsia="Calibri" w:hAnsi="Calibri" w:cs="Calibri"/>
          <w:b/>
          <w:bCs/>
          <w:color w:val="408740"/>
          <w:sz w:val="24"/>
          <w:szCs w:val="24"/>
        </w:rPr>
        <w:t xml:space="preserve">. </w:t>
      </w:r>
      <w:r w:rsidR="006E75B2" w:rsidRPr="70986129">
        <w:rPr>
          <w:rFonts w:ascii="Calibri" w:eastAsia="Calibri" w:hAnsi="Calibri" w:cs="Calibri"/>
          <w:color w:val="000000" w:themeColor="text1"/>
          <w:sz w:val="24"/>
          <w:szCs w:val="24"/>
        </w:rPr>
        <w:t>Example B shows more growth.</w:t>
      </w:r>
    </w:p>
    <w:tbl>
      <w:tblPr>
        <w:tblStyle w:val="TableGrid"/>
        <w:tblW w:w="0" w:type="auto"/>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36C31074" w14:textId="77777777" w:rsidTr="009A6A83">
        <w:trPr>
          <w:tblHeader/>
        </w:trPr>
        <w:tc>
          <w:tcPr>
            <w:tcW w:w="2065" w:type="dxa"/>
            <w:shd w:val="clear" w:color="auto" w:fill="FFD966" w:themeFill="accent4" w:themeFillTint="99"/>
          </w:tcPr>
          <w:p w14:paraId="1ECF530F" w14:textId="5D20D6B5" w:rsidR="255BAFEA" w:rsidRDefault="255BAFEA" w:rsidP="00F318C1">
            <w:pPr>
              <w:jc w:val="center"/>
              <w:rPr>
                <w:rFonts w:ascii="Calibri" w:eastAsia="Calibri" w:hAnsi="Calibri" w:cs="Calibri"/>
              </w:rPr>
            </w:pPr>
            <w:r w:rsidRPr="255BAFEA">
              <w:rPr>
                <w:rFonts w:ascii="Calibri" w:eastAsia="Calibri" w:hAnsi="Calibri" w:cs="Calibri"/>
                <w:b/>
                <w:bCs/>
              </w:rPr>
              <w:t>FFY</w:t>
            </w:r>
          </w:p>
        </w:tc>
        <w:tc>
          <w:tcPr>
            <w:tcW w:w="1215" w:type="dxa"/>
            <w:shd w:val="clear" w:color="auto" w:fill="FFD966" w:themeFill="accent4" w:themeFillTint="99"/>
          </w:tcPr>
          <w:p w14:paraId="66D7EBEA" w14:textId="2B281215" w:rsidR="4BB76A98" w:rsidRDefault="4BB76A98" w:rsidP="00F318C1">
            <w:pPr>
              <w:jc w:val="center"/>
              <w:rPr>
                <w:rFonts w:ascii="Calibri" w:eastAsia="Calibri" w:hAnsi="Calibri" w:cs="Calibri"/>
                <w:b/>
                <w:bCs/>
              </w:rPr>
            </w:pPr>
            <w:r w:rsidRPr="4BB76A98">
              <w:rPr>
                <w:rFonts w:ascii="Calibri" w:eastAsia="Calibri" w:hAnsi="Calibri" w:cs="Calibri"/>
                <w:b/>
                <w:bCs/>
              </w:rPr>
              <w:t>2020</w:t>
            </w:r>
          </w:p>
        </w:tc>
        <w:tc>
          <w:tcPr>
            <w:tcW w:w="1485" w:type="dxa"/>
            <w:shd w:val="clear" w:color="auto" w:fill="FFD966" w:themeFill="accent4" w:themeFillTint="99"/>
          </w:tcPr>
          <w:p w14:paraId="11D5334E" w14:textId="1871A870" w:rsidR="4BB76A98" w:rsidRDefault="4BB76A98" w:rsidP="00F318C1">
            <w:pPr>
              <w:jc w:val="center"/>
              <w:rPr>
                <w:rFonts w:ascii="Calibri" w:eastAsia="Calibri" w:hAnsi="Calibri" w:cs="Calibri"/>
              </w:rPr>
            </w:pPr>
            <w:r w:rsidRPr="4BB76A98">
              <w:rPr>
                <w:rFonts w:ascii="Calibri" w:eastAsia="Calibri" w:hAnsi="Calibri" w:cs="Calibri"/>
                <w:b/>
                <w:bCs/>
              </w:rPr>
              <w:t>2021</w:t>
            </w:r>
          </w:p>
        </w:tc>
        <w:tc>
          <w:tcPr>
            <w:tcW w:w="1485" w:type="dxa"/>
            <w:shd w:val="clear" w:color="auto" w:fill="FFD966" w:themeFill="accent4" w:themeFillTint="99"/>
          </w:tcPr>
          <w:p w14:paraId="02091FC8" w14:textId="13E00F2E" w:rsidR="4BB76A98" w:rsidRDefault="4BB76A98" w:rsidP="00F318C1">
            <w:pPr>
              <w:jc w:val="center"/>
              <w:rPr>
                <w:rFonts w:ascii="Calibri" w:eastAsia="Calibri" w:hAnsi="Calibri" w:cs="Calibri"/>
              </w:rPr>
            </w:pPr>
            <w:r w:rsidRPr="4BB76A98">
              <w:rPr>
                <w:rFonts w:ascii="Calibri" w:eastAsia="Calibri" w:hAnsi="Calibri" w:cs="Calibri"/>
                <w:b/>
                <w:bCs/>
              </w:rPr>
              <w:t>2022</w:t>
            </w:r>
          </w:p>
        </w:tc>
        <w:tc>
          <w:tcPr>
            <w:tcW w:w="1485" w:type="dxa"/>
            <w:shd w:val="clear" w:color="auto" w:fill="FFD966" w:themeFill="accent4" w:themeFillTint="99"/>
          </w:tcPr>
          <w:p w14:paraId="2DD64213" w14:textId="7C4601FA" w:rsidR="4BB76A98" w:rsidRDefault="4BB76A98" w:rsidP="00F318C1">
            <w:pPr>
              <w:jc w:val="center"/>
              <w:rPr>
                <w:rFonts w:ascii="Calibri" w:eastAsia="Calibri" w:hAnsi="Calibri" w:cs="Calibri"/>
              </w:rPr>
            </w:pPr>
            <w:r w:rsidRPr="4BB76A98">
              <w:rPr>
                <w:rFonts w:ascii="Calibri" w:eastAsia="Calibri" w:hAnsi="Calibri" w:cs="Calibri"/>
                <w:b/>
                <w:bCs/>
              </w:rPr>
              <w:t>2023</w:t>
            </w:r>
          </w:p>
        </w:tc>
        <w:tc>
          <w:tcPr>
            <w:tcW w:w="1485" w:type="dxa"/>
            <w:shd w:val="clear" w:color="auto" w:fill="FFD966" w:themeFill="accent4" w:themeFillTint="99"/>
          </w:tcPr>
          <w:p w14:paraId="571A458F" w14:textId="55FF4EBA" w:rsidR="4BB76A98" w:rsidRDefault="4BB76A98" w:rsidP="00F318C1">
            <w:pPr>
              <w:jc w:val="center"/>
              <w:rPr>
                <w:rFonts w:ascii="Calibri" w:eastAsia="Calibri" w:hAnsi="Calibri" w:cs="Calibri"/>
              </w:rPr>
            </w:pPr>
            <w:r w:rsidRPr="4BB76A98">
              <w:rPr>
                <w:rFonts w:ascii="Calibri" w:eastAsia="Calibri" w:hAnsi="Calibri" w:cs="Calibri"/>
                <w:b/>
                <w:bCs/>
              </w:rPr>
              <w:t>2024</w:t>
            </w:r>
          </w:p>
        </w:tc>
        <w:tc>
          <w:tcPr>
            <w:tcW w:w="1485" w:type="dxa"/>
            <w:shd w:val="clear" w:color="auto" w:fill="FFD966" w:themeFill="accent4" w:themeFillTint="99"/>
          </w:tcPr>
          <w:p w14:paraId="2579CA00" w14:textId="2277E88B" w:rsidR="4BB76A98" w:rsidRDefault="4BB76A98" w:rsidP="00F318C1">
            <w:pPr>
              <w:jc w:val="center"/>
              <w:rPr>
                <w:rFonts w:ascii="Calibri" w:eastAsia="Calibri" w:hAnsi="Calibri" w:cs="Calibri"/>
              </w:rPr>
            </w:pPr>
            <w:r w:rsidRPr="4BB76A98">
              <w:rPr>
                <w:rFonts w:ascii="Calibri" w:eastAsia="Calibri" w:hAnsi="Calibri" w:cs="Calibri"/>
                <w:b/>
                <w:bCs/>
              </w:rPr>
              <w:t>2025</w:t>
            </w:r>
          </w:p>
        </w:tc>
      </w:tr>
      <w:tr w:rsidR="255BAFEA" w14:paraId="28F43C79" w14:textId="77777777" w:rsidTr="009A6A83">
        <w:tc>
          <w:tcPr>
            <w:tcW w:w="2065" w:type="dxa"/>
          </w:tcPr>
          <w:p w14:paraId="29A550CF" w14:textId="247EF85A"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21105F9C" w:rsidRPr="4DF1C38C">
              <w:rPr>
                <w:rFonts w:ascii="Calibri" w:eastAsia="Calibri" w:hAnsi="Calibri" w:cs="Calibri"/>
              </w:rPr>
              <w:t>14</w:t>
            </w:r>
            <w:r w:rsidRPr="4DF1C38C">
              <w:rPr>
                <w:rFonts w:ascii="Calibri" w:eastAsia="Calibri" w:hAnsi="Calibri" w:cs="Calibri"/>
              </w:rPr>
              <w:t>A ≥</w:t>
            </w:r>
          </w:p>
        </w:tc>
        <w:tc>
          <w:tcPr>
            <w:tcW w:w="1215" w:type="dxa"/>
          </w:tcPr>
          <w:p w14:paraId="45952E14" w14:textId="0AC4D58C" w:rsidR="255BAFEA" w:rsidRDefault="00F318C1" w:rsidP="00F318C1">
            <w:pPr>
              <w:jc w:val="center"/>
              <w:rPr>
                <w:rFonts w:ascii="Calibri" w:eastAsia="Calibri" w:hAnsi="Calibri" w:cs="Calibri"/>
              </w:rPr>
            </w:pPr>
            <w:r>
              <w:rPr>
                <w:rFonts w:ascii="Calibri" w:eastAsia="Calibri" w:hAnsi="Calibri" w:cs="Calibri"/>
              </w:rPr>
              <w:t>32</w:t>
            </w:r>
            <w:r w:rsidR="0097638D">
              <w:rPr>
                <w:rFonts w:ascii="Calibri" w:eastAsia="Calibri" w:hAnsi="Calibri" w:cs="Calibri"/>
              </w:rPr>
              <w:t>.00%</w:t>
            </w:r>
          </w:p>
        </w:tc>
        <w:tc>
          <w:tcPr>
            <w:tcW w:w="1485" w:type="dxa"/>
          </w:tcPr>
          <w:p w14:paraId="5B9F93B0" w14:textId="3C41236B" w:rsidR="255BAFEA" w:rsidRDefault="00F318C1" w:rsidP="00F318C1">
            <w:pPr>
              <w:jc w:val="center"/>
              <w:rPr>
                <w:rFonts w:ascii="Calibri" w:eastAsia="Calibri" w:hAnsi="Calibri" w:cs="Calibri"/>
              </w:rPr>
            </w:pPr>
            <w:r>
              <w:rPr>
                <w:rFonts w:ascii="Calibri" w:eastAsia="Calibri" w:hAnsi="Calibri" w:cs="Calibri"/>
              </w:rPr>
              <w:t>33</w:t>
            </w:r>
            <w:r w:rsidR="0097638D">
              <w:rPr>
                <w:rFonts w:ascii="Calibri" w:eastAsia="Calibri" w:hAnsi="Calibri" w:cs="Calibri"/>
              </w:rPr>
              <w:t>.00%</w:t>
            </w:r>
          </w:p>
        </w:tc>
        <w:tc>
          <w:tcPr>
            <w:tcW w:w="1485" w:type="dxa"/>
          </w:tcPr>
          <w:p w14:paraId="5F4E3539" w14:textId="29F88542" w:rsidR="255BAFEA" w:rsidRDefault="00F318C1" w:rsidP="00F318C1">
            <w:pPr>
              <w:jc w:val="center"/>
              <w:rPr>
                <w:rFonts w:ascii="Calibri" w:eastAsia="Calibri" w:hAnsi="Calibri" w:cs="Calibri"/>
              </w:rPr>
            </w:pPr>
            <w:r>
              <w:rPr>
                <w:rFonts w:ascii="Calibri" w:eastAsia="Calibri" w:hAnsi="Calibri" w:cs="Calibri"/>
              </w:rPr>
              <w:t>34</w:t>
            </w:r>
            <w:r w:rsidR="0097638D">
              <w:rPr>
                <w:rFonts w:ascii="Calibri" w:eastAsia="Calibri" w:hAnsi="Calibri" w:cs="Calibri"/>
              </w:rPr>
              <w:t>.00%</w:t>
            </w:r>
          </w:p>
        </w:tc>
        <w:tc>
          <w:tcPr>
            <w:tcW w:w="1485" w:type="dxa"/>
          </w:tcPr>
          <w:p w14:paraId="3A478066" w14:textId="3E1CF018" w:rsidR="255BAFEA" w:rsidRDefault="00F318C1" w:rsidP="00F318C1">
            <w:pPr>
              <w:jc w:val="center"/>
              <w:rPr>
                <w:rFonts w:ascii="Calibri" w:eastAsia="Calibri" w:hAnsi="Calibri" w:cs="Calibri"/>
              </w:rPr>
            </w:pPr>
            <w:r>
              <w:rPr>
                <w:rFonts w:ascii="Calibri" w:eastAsia="Calibri" w:hAnsi="Calibri" w:cs="Calibri"/>
              </w:rPr>
              <w:t>35</w:t>
            </w:r>
            <w:r w:rsidR="0097638D">
              <w:rPr>
                <w:rFonts w:ascii="Calibri" w:eastAsia="Calibri" w:hAnsi="Calibri" w:cs="Calibri"/>
              </w:rPr>
              <w:t>.00%</w:t>
            </w:r>
          </w:p>
        </w:tc>
        <w:tc>
          <w:tcPr>
            <w:tcW w:w="1485" w:type="dxa"/>
          </w:tcPr>
          <w:p w14:paraId="4B190F78" w14:textId="7733AE9E" w:rsidR="255BAFEA" w:rsidRDefault="00F318C1" w:rsidP="00F318C1">
            <w:pPr>
              <w:jc w:val="center"/>
              <w:rPr>
                <w:rFonts w:ascii="Calibri" w:eastAsia="Calibri" w:hAnsi="Calibri" w:cs="Calibri"/>
              </w:rPr>
            </w:pPr>
            <w:r>
              <w:rPr>
                <w:rFonts w:ascii="Calibri" w:eastAsia="Calibri" w:hAnsi="Calibri" w:cs="Calibri"/>
              </w:rPr>
              <w:t>36</w:t>
            </w:r>
            <w:r w:rsidR="0097638D">
              <w:rPr>
                <w:rFonts w:ascii="Calibri" w:eastAsia="Calibri" w:hAnsi="Calibri" w:cs="Calibri"/>
              </w:rPr>
              <w:t>.00%</w:t>
            </w:r>
          </w:p>
        </w:tc>
        <w:tc>
          <w:tcPr>
            <w:tcW w:w="1485" w:type="dxa"/>
          </w:tcPr>
          <w:p w14:paraId="52EA2190" w14:textId="14BEE4CD" w:rsidR="255BAFEA" w:rsidRDefault="00F318C1" w:rsidP="00F318C1">
            <w:pPr>
              <w:jc w:val="center"/>
              <w:rPr>
                <w:rFonts w:ascii="Calibri" w:eastAsia="Calibri" w:hAnsi="Calibri" w:cs="Calibri"/>
              </w:rPr>
            </w:pPr>
            <w:r>
              <w:rPr>
                <w:rFonts w:ascii="Calibri" w:eastAsia="Calibri" w:hAnsi="Calibri" w:cs="Calibri"/>
              </w:rPr>
              <w:t>37</w:t>
            </w:r>
            <w:r w:rsidR="0097638D">
              <w:rPr>
                <w:rFonts w:ascii="Calibri" w:eastAsia="Calibri" w:hAnsi="Calibri" w:cs="Calibri"/>
              </w:rPr>
              <w:t>.00%</w:t>
            </w:r>
          </w:p>
        </w:tc>
      </w:tr>
      <w:tr w:rsidR="255BAFEA" w14:paraId="5C722184" w14:textId="77777777" w:rsidTr="009A6A83">
        <w:tc>
          <w:tcPr>
            <w:tcW w:w="2065" w:type="dxa"/>
          </w:tcPr>
          <w:p w14:paraId="3CF8DD9F" w14:textId="0929CD87"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3138D753" w:rsidRPr="4DF1C38C">
              <w:rPr>
                <w:rFonts w:ascii="Calibri" w:eastAsia="Calibri" w:hAnsi="Calibri" w:cs="Calibri"/>
              </w:rPr>
              <w:t>14</w:t>
            </w:r>
            <w:r w:rsidRPr="4DF1C38C">
              <w:rPr>
                <w:rFonts w:ascii="Calibri" w:eastAsia="Calibri" w:hAnsi="Calibri" w:cs="Calibri"/>
              </w:rPr>
              <w:t xml:space="preserve">B </w:t>
            </w:r>
            <w:r w:rsidR="0097638D" w:rsidRPr="4DF1C38C">
              <w:rPr>
                <w:rFonts w:ascii="Calibri" w:eastAsia="Calibri" w:hAnsi="Calibri" w:cs="Calibri"/>
              </w:rPr>
              <w:t>≥</w:t>
            </w:r>
          </w:p>
        </w:tc>
        <w:tc>
          <w:tcPr>
            <w:tcW w:w="1215" w:type="dxa"/>
          </w:tcPr>
          <w:p w14:paraId="32154B03" w14:textId="7A5C5A9F" w:rsidR="255BAFEA" w:rsidRDefault="00F318C1" w:rsidP="00F318C1">
            <w:pPr>
              <w:jc w:val="center"/>
              <w:rPr>
                <w:rFonts w:ascii="Calibri" w:eastAsia="Calibri" w:hAnsi="Calibri" w:cs="Calibri"/>
              </w:rPr>
            </w:pPr>
            <w:r>
              <w:rPr>
                <w:rFonts w:ascii="Calibri" w:eastAsia="Calibri" w:hAnsi="Calibri" w:cs="Calibri"/>
              </w:rPr>
              <w:t>56</w:t>
            </w:r>
            <w:r w:rsidR="0097638D">
              <w:rPr>
                <w:rFonts w:ascii="Calibri" w:eastAsia="Calibri" w:hAnsi="Calibri" w:cs="Calibri"/>
              </w:rPr>
              <w:t>.00%</w:t>
            </w:r>
          </w:p>
        </w:tc>
        <w:tc>
          <w:tcPr>
            <w:tcW w:w="1485" w:type="dxa"/>
          </w:tcPr>
          <w:p w14:paraId="1FAC3F1F" w14:textId="77779C3A" w:rsidR="255BAFEA" w:rsidRDefault="00F318C1" w:rsidP="00F318C1">
            <w:pPr>
              <w:jc w:val="center"/>
              <w:rPr>
                <w:rFonts w:ascii="Calibri" w:eastAsia="Calibri" w:hAnsi="Calibri" w:cs="Calibri"/>
              </w:rPr>
            </w:pPr>
            <w:r>
              <w:rPr>
                <w:rFonts w:ascii="Calibri" w:eastAsia="Calibri" w:hAnsi="Calibri" w:cs="Calibri"/>
              </w:rPr>
              <w:t>57</w:t>
            </w:r>
            <w:r w:rsidR="0097638D">
              <w:rPr>
                <w:rFonts w:ascii="Calibri" w:eastAsia="Calibri" w:hAnsi="Calibri" w:cs="Calibri"/>
              </w:rPr>
              <w:t>.00%</w:t>
            </w:r>
          </w:p>
        </w:tc>
        <w:tc>
          <w:tcPr>
            <w:tcW w:w="1485" w:type="dxa"/>
          </w:tcPr>
          <w:p w14:paraId="328BB30B" w14:textId="296ACEAE" w:rsidR="255BAFEA" w:rsidRDefault="00F318C1" w:rsidP="00F318C1">
            <w:pPr>
              <w:jc w:val="center"/>
              <w:rPr>
                <w:rFonts w:ascii="Calibri" w:eastAsia="Calibri" w:hAnsi="Calibri" w:cs="Calibri"/>
              </w:rPr>
            </w:pPr>
            <w:r>
              <w:rPr>
                <w:rFonts w:ascii="Calibri" w:eastAsia="Calibri" w:hAnsi="Calibri" w:cs="Calibri"/>
              </w:rPr>
              <w:t>58</w:t>
            </w:r>
            <w:r w:rsidR="0097638D">
              <w:rPr>
                <w:rFonts w:ascii="Calibri" w:eastAsia="Calibri" w:hAnsi="Calibri" w:cs="Calibri"/>
              </w:rPr>
              <w:t>.00%</w:t>
            </w:r>
          </w:p>
        </w:tc>
        <w:tc>
          <w:tcPr>
            <w:tcW w:w="1485" w:type="dxa"/>
          </w:tcPr>
          <w:p w14:paraId="1A6FE7BE" w14:textId="3315BD74" w:rsidR="255BAFEA" w:rsidRDefault="00F318C1" w:rsidP="00F318C1">
            <w:pPr>
              <w:jc w:val="center"/>
              <w:rPr>
                <w:rFonts w:ascii="Calibri" w:eastAsia="Calibri" w:hAnsi="Calibri" w:cs="Calibri"/>
              </w:rPr>
            </w:pPr>
            <w:r>
              <w:rPr>
                <w:rFonts w:ascii="Calibri" w:eastAsia="Calibri" w:hAnsi="Calibri" w:cs="Calibri"/>
              </w:rPr>
              <w:t>60</w:t>
            </w:r>
            <w:r w:rsidR="0097638D">
              <w:rPr>
                <w:rFonts w:ascii="Calibri" w:eastAsia="Calibri" w:hAnsi="Calibri" w:cs="Calibri"/>
              </w:rPr>
              <w:t>.00%</w:t>
            </w:r>
          </w:p>
        </w:tc>
        <w:tc>
          <w:tcPr>
            <w:tcW w:w="1485" w:type="dxa"/>
          </w:tcPr>
          <w:p w14:paraId="3D613D17" w14:textId="47231D76" w:rsidR="255BAFEA" w:rsidRDefault="00F318C1" w:rsidP="00F318C1">
            <w:pPr>
              <w:jc w:val="center"/>
              <w:rPr>
                <w:rFonts w:ascii="Calibri" w:eastAsia="Calibri" w:hAnsi="Calibri" w:cs="Calibri"/>
              </w:rPr>
            </w:pPr>
            <w:r>
              <w:rPr>
                <w:rFonts w:ascii="Calibri" w:eastAsia="Calibri" w:hAnsi="Calibri" w:cs="Calibri"/>
              </w:rPr>
              <w:t>61</w:t>
            </w:r>
            <w:r w:rsidR="0097638D">
              <w:rPr>
                <w:rFonts w:ascii="Calibri" w:eastAsia="Calibri" w:hAnsi="Calibri" w:cs="Calibri"/>
              </w:rPr>
              <w:t>.00%</w:t>
            </w:r>
          </w:p>
        </w:tc>
        <w:tc>
          <w:tcPr>
            <w:tcW w:w="1485" w:type="dxa"/>
          </w:tcPr>
          <w:p w14:paraId="3BEB96DD" w14:textId="3F5CB4D6" w:rsidR="255BAFEA" w:rsidRDefault="00F318C1" w:rsidP="00F318C1">
            <w:pPr>
              <w:jc w:val="center"/>
              <w:rPr>
                <w:rFonts w:ascii="Calibri" w:eastAsia="Calibri" w:hAnsi="Calibri" w:cs="Calibri"/>
              </w:rPr>
            </w:pPr>
            <w:r>
              <w:rPr>
                <w:rFonts w:ascii="Calibri" w:eastAsia="Calibri" w:hAnsi="Calibri" w:cs="Calibri"/>
              </w:rPr>
              <w:t>62</w:t>
            </w:r>
            <w:r w:rsidR="0097638D">
              <w:rPr>
                <w:rFonts w:ascii="Calibri" w:eastAsia="Calibri" w:hAnsi="Calibri" w:cs="Calibri"/>
              </w:rPr>
              <w:t>.00%</w:t>
            </w:r>
          </w:p>
        </w:tc>
      </w:tr>
      <w:tr w:rsidR="255BAFEA" w14:paraId="5C9A9750" w14:textId="77777777" w:rsidTr="009A6A83">
        <w:tc>
          <w:tcPr>
            <w:tcW w:w="2065" w:type="dxa"/>
          </w:tcPr>
          <w:p w14:paraId="332B98F9" w14:textId="5928212D" w:rsidR="255BAFEA" w:rsidRDefault="255BAFEA" w:rsidP="009A6A83">
            <w:pPr>
              <w:jc w:val="center"/>
              <w:rPr>
                <w:rFonts w:ascii="Calibri" w:eastAsia="Calibri" w:hAnsi="Calibri" w:cs="Calibri"/>
              </w:rPr>
            </w:pPr>
            <w:r w:rsidRPr="4DF1C38C">
              <w:rPr>
                <w:rFonts w:ascii="Calibri" w:eastAsia="Calibri" w:hAnsi="Calibri" w:cs="Calibri"/>
              </w:rPr>
              <w:t xml:space="preserve">Targets for </w:t>
            </w:r>
            <w:r w:rsidR="5D04E5E5" w:rsidRPr="4DF1C38C">
              <w:rPr>
                <w:rFonts w:ascii="Calibri" w:eastAsia="Calibri" w:hAnsi="Calibri" w:cs="Calibri"/>
              </w:rPr>
              <w:t>14</w:t>
            </w:r>
            <w:r w:rsidRPr="4DF1C38C">
              <w:rPr>
                <w:rFonts w:ascii="Calibri" w:eastAsia="Calibri" w:hAnsi="Calibri" w:cs="Calibri"/>
              </w:rPr>
              <w:t xml:space="preserve">C </w:t>
            </w:r>
            <w:r w:rsidR="0097638D" w:rsidRPr="4DF1C38C">
              <w:rPr>
                <w:rFonts w:ascii="Calibri" w:eastAsia="Calibri" w:hAnsi="Calibri" w:cs="Calibri"/>
              </w:rPr>
              <w:t>≥</w:t>
            </w:r>
          </w:p>
        </w:tc>
        <w:tc>
          <w:tcPr>
            <w:tcW w:w="1215" w:type="dxa"/>
          </w:tcPr>
          <w:p w14:paraId="3E0BC8EB" w14:textId="440D70E9"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24E6F3B0" w14:textId="42B14825" w:rsidR="255BAFEA" w:rsidRDefault="00A139EC" w:rsidP="00F318C1">
            <w:pPr>
              <w:jc w:val="center"/>
              <w:rPr>
                <w:rFonts w:ascii="Calibri" w:eastAsia="Calibri" w:hAnsi="Calibri" w:cs="Calibri"/>
              </w:rPr>
            </w:pPr>
            <w:r>
              <w:rPr>
                <w:rFonts w:ascii="Calibri" w:eastAsia="Calibri" w:hAnsi="Calibri" w:cs="Calibri"/>
              </w:rPr>
              <w:t>75</w:t>
            </w:r>
            <w:r w:rsidR="0097638D">
              <w:rPr>
                <w:rFonts w:ascii="Calibri" w:eastAsia="Calibri" w:hAnsi="Calibri" w:cs="Calibri"/>
              </w:rPr>
              <w:t>.00%</w:t>
            </w:r>
          </w:p>
        </w:tc>
        <w:tc>
          <w:tcPr>
            <w:tcW w:w="1485" w:type="dxa"/>
          </w:tcPr>
          <w:p w14:paraId="2C35A31F" w14:textId="0187B0FF"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1E744704" w14:textId="6411D398"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c>
          <w:tcPr>
            <w:tcW w:w="1485" w:type="dxa"/>
          </w:tcPr>
          <w:p w14:paraId="3CA9968D" w14:textId="292E0F03" w:rsidR="255BAFEA" w:rsidRDefault="00A139EC" w:rsidP="00F318C1">
            <w:pPr>
              <w:jc w:val="center"/>
              <w:rPr>
                <w:rFonts w:ascii="Calibri" w:eastAsia="Calibri" w:hAnsi="Calibri" w:cs="Calibri"/>
              </w:rPr>
            </w:pPr>
            <w:r>
              <w:rPr>
                <w:rFonts w:ascii="Calibri" w:eastAsia="Calibri" w:hAnsi="Calibri" w:cs="Calibri"/>
              </w:rPr>
              <w:t>79</w:t>
            </w:r>
            <w:r w:rsidR="0097638D">
              <w:rPr>
                <w:rFonts w:ascii="Calibri" w:eastAsia="Calibri" w:hAnsi="Calibri" w:cs="Calibri"/>
              </w:rPr>
              <w:t>.00%</w:t>
            </w:r>
          </w:p>
        </w:tc>
        <w:tc>
          <w:tcPr>
            <w:tcW w:w="1485" w:type="dxa"/>
          </w:tcPr>
          <w:p w14:paraId="17B9BDD0" w14:textId="62924D2F" w:rsidR="255BAFEA" w:rsidRDefault="00A139EC" w:rsidP="00F318C1">
            <w:pPr>
              <w:jc w:val="center"/>
              <w:rPr>
                <w:rFonts w:ascii="Calibri" w:eastAsia="Calibri" w:hAnsi="Calibri" w:cs="Calibri"/>
              </w:rPr>
            </w:pPr>
            <w:r>
              <w:rPr>
                <w:rFonts w:ascii="Calibri" w:eastAsia="Calibri" w:hAnsi="Calibri" w:cs="Calibri"/>
              </w:rPr>
              <w:t>80</w:t>
            </w:r>
            <w:r w:rsidR="0097638D">
              <w:rPr>
                <w:rFonts w:ascii="Calibri" w:eastAsia="Calibri" w:hAnsi="Calibri" w:cs="Calibri"/>
              </w:rPr>
              <w:t>.00%</w:t>
            </w:r>
          </w:p>
        </w:tc>
      </w:tr>
    </w:tbl>
    <w:p w14:paraId="39E73E3D" w14:textId="52FFE0CF" w:rsidR="70986129" w:rsidRDefault="5DF7B56A" w:rsidP="00F318C1">
      <w:pPr>
        <w:spacing w:before="120" w:after="0" w:line="240" w:lineRule="auto"/>
        <w:jc w:val="center"/>
        <w:rPr>
          <w:rFonts w:ascii="Calibri" w:eastAsia="Calibri" w:hAnsi="Calibri" w:cs="Calibri"/>
          <w:color w:val="000000" w:themeColor="text1"/>
          <w:sz w:val="24"/>
          <w:szCs w:val="24"/>
        </w:rPr>
      </w:pPr>
      <w:r w:rsidRPr="70986129">
        <w:rPr>
          <w:rFonts w:ascii="Calibri" w:eastAsia="Calibri" w:hAnsi="Calibri" w:cs="Calibri"/>
          <w:b/>
          <w:bCs/>
          <w:color w:val="407641"/>
        </w:rPr>
        <w:t>If you need more information in order to provide input, please contact Sally Simich, Education Specialist, at</w:t>
      </w:r>
      <w:r w:rsidRPr="70986129">
        <w:rPr>
          <w:rFonts w:ascii="Calibri" w:eastAsia="Calibri" w:hAnsi="Calibri" w:cs="Calibri"/>
          <w:b/>
          <w:bCs/>
          <w:color w:val="000000" w:themeColor="text1"/>
        </w:rPr>
        <w:t xml:space="preserve"> </w:t>
      </w:r>
      <w:hyperlink r:id="rId18">
        <w:r w:rsidRPr="70986129">
          <w:rPr>
            <w:rStyle w:val="Hyperlink"/>
            <w:rFonts w:ascii="Calibri" w:eastAsia="Calibri" w:hAnsi="Calibri" w:cs="Calibri"/>
            <w:b/>
            <w:bCs/>
          </w:rPr>
          <w:t>sally.simich@state.or.us</w:t>
        </w:r>
      </w:hyperlink>
      <w:r w:rsidR="65BEDA81" w:rsidRPr="70986129">
        <w:rPr>
          <w:rStyle w:val="Hyperlink"/>
          <w:rFonts w:ascii="Calibri" w:eastAsia="Calibri" w:hAnsi="Calibri" w:cs="Calibri"/>
          <w:u w:val="none"/>
        </w:rPr>
        <w:t>.</w:t>
      </w:r>
    </w:p>
    <w:sectPr w:rsidR="70986129" w:rsidSect="00B97BA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LTZ Sarah * ODE" w:date="2021-11-10T12:18:00Z" w:initials="SO">
    <w:p w14:paraId="4977CD2D" w14:textId="36FF022B" w:rsidR="2B5EA53A" w:rsidRDefault="2B5EA53A">
      <w:pPr>
        <w:pStyle w:val="CommentText"/>
      </w:pPr>
      <w:r>
        <w:t>the text cuts off at the end of the heading of this graph (c)</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7CD2D"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6EA3A41C" w16cex:dateUtc="2021-10-27T22:25:41.993Z"/>
  <w16cex:commentExtensible w16cex:durableId="6A227152" w16cex:dateUtc="2021-11-10T20:18:46.626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9577576" w16cid:durableId="6EA3A41C"/>
  <w16cid:commentId w16cid:paraId="4977CD2D" w16cid:durableId="6A227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AAB56CB"/>
    <w:multiLevelType w:val="hybridMultilevel"/>
    <w:tmpl w:val="C3922DB4"/>
    <w:lvl w:ilvl="0" w:tplc="9794A48E">
      <w:start w:val="1"/>
      <w:numFmt w:val="bullet"/>
      <w:lvlText w:val=""/>
      <w:lvlJc w:val="left"/>
      <w:pPr>
        <w:ind w:left="720" w:hanging="360"/>
      </w:pPr>
      <w:rPr>
        <w:rFonts w:ascii="Symbol" w:hAnsi="Symbol" w:hint="default"/>
      </w:rPr>
    </w:lvl>
    <w:lvl w:ilvl="1" w:tplc="4F504008">
      <w:start w:val="1"/>
      <w:numFmt w:val="bullet"/>
      <w:lvlText w:val="o"/>
      <w:lvlJc w:val="left"/>
      <w:pPr>
        <w:ind w:left="1440" w:hanging="360"/>
      </w:pPr>
      <w:rPr>
        <w:rFonts w:ascii="Courier New" w:hAnsi="Courier New" w:hint="default"/>
      </w:rPr>
    </w:lvl>
    <w:lvl w:ilvl="2" w:tplc="FAB6E006">
      <w:start w:val="1"/>
      <w:numFmt w:val="bullet"/>
      <w:lvlText w:val=""/>
      <w:lvlJc w:val="left"/>
      <w:pPr>
        <w:ind w:left="2160" w:hanging="360"/>
      </w:pPr>
      <w:rPr>
        <w:rFonts w:ascii="Wingdings" w:hAnsi="Wingdings" w:hint="default"/>
      </w:rPr>
    </w:lvl>
    <w:lvl w:ilvl="3" w:tplc="02721FF0">
      <w:start w:val="1"/>
      <w:numFmt w:val="bullet"/>
      <w:lvlText w:val=""/>
      <w:lvlJc w:val="left"/>
      <w:pPr>
        <w:ind w:left="2880" w:hanging="360"/>
      </w:pPr>
      <w:rPr>
        <w:rFonts w:ascii="Symbol" w:hAnsi="Symbol" w:hint="default"/>
      </w:rPr>
    </w:lvl>
    <w:lvl w:ilvl="4" w:tplc="BD16A376">
      <w:start w:val="1"/>
      <w:numFmt w:val="bullet"/>
      <w:lvlText w:val="o"/>
      <w:lvlJc w:val="left"/>
      <w:pPr>
        <w:ind w:left="3600" w:hanging="360"/>
      </w:pPr>
      <w:rPr>
        <w:rFonts w:ascii="Courier New" w:hAnsi="Courier New" w:hint="default"/>
      </w:rPr>
    </w:lvl>
    <w:lvl w:ilvl="5" w:tplc="6BD64AD2">
      <w:start w:val="1"/>
      <w:numFmt w:val="bullet"/>
      <w:lvlText w:val=""/>
      <w:lvlJc w:val="left"/>
      <w:pPr>
        <w:ind w:left="4320" w:hanging="360"/>
      </w:pPr>
      <w:rPr>
        <w:rFonts w:ascii="Wingdings" w:hAnsi="Wingdings" w:hint="default"/>
      </w:rPr>
    </w:lvl>
    <w:lvl w:ilvl="6" w:tplc="CFF0AB12">
      <w:start w:val="1"/>
      <w:numFmt w:val="bullet"/>
      <w:lvlText w:val=""/>
      <w:lvlJc w:val="left"/>
      <w:pPr>
        <w:ind w:left="5040" w:hanging="360"/>
      </w:pPr>
      <w:rPr>
        <w:rFonts w:ascii="Symbol" w:hAnsi="Symbol" w:hint="default"/>
      </w:rPr>
    </w:lvl>
    <w:lvl w:ilvl="7" w:tplc="6C1CE770">
      <w:start w:val="1"/>
      <w:numFmt w:val="bullet"/>
      <w:lvlText w:val="o"/>
      <w:lvlJc w:val="left"/>
      <w:pPr>
        <w:ind w:left="5760" w:hanging="360"/>
      </w:pPr>
      <w:rPr>
        <w:rFonts w:ascii="Courier New" w:hAnsi="Courier New" w:hint="default"/>
      </w:rPr>
    </w:lvl>
    <w:lvl w:ilvl="8" w:tplc="4418B87E">
      <w:start w:val="1"/>
      <w:numFmt w:val="bullet"/>
      <w:lvlText w:val=""/>
      <w:lvlJc w:val="left"/>
      <w:pPr>
        <w:ind w:left="6480" w:hanging="360"/>
      </w:pPr>
      <w:rPr>
        <w:rFonts w:ascii="Wingdings" w:hAnsi="Wingdings" w:hint="default"/>
      </w:rPr>
    </w:lvl>
  </w:abstractNum>
  <w:abstractNum w:abstractNumId="4" w15:restartNumberingAfterBreak="0">
    <w:nsid w:val="1F094161"/>
    <w:multiLevelType w:val="hybridMultilevel"/>
    <w:tmpl w:val="E788D16E"/>
    <w:lvl w:ilvl="0" w:tplc="274E3188">
      <w:start w:val="1"/>
      <w:numFmt w:val="bullet"/>
      <w:lvlText w:val=""/>
      <w:lvlJc w:val="left"/>
      <w:pPr>
        <w:ind w:left="720" w:hanging="360"/>
      </w:pPr>
      <w:rPr>
        <w:rFonts w:ascii="Symbol" w:hAnsi="Symbol" w:hint="default"/>
      </w:rPr>
    </w:lvl>
    <w:lvl w:ilvl="1" w:tplc="78561CFA">
      <w:start w:val="1"/>
      <w:numFmt w:val="bullet"/>
      <w:lvlText w:val="o"/>
      <w:lvlJc w:val="left"/>
      <w:pPr>
        <w:ind w:left="1440" w:hanging="360"/>
      </w:pPr>
      <w:rPr>
        <w:rFonts w:ascii="Courier New" w:hAnsi="Courier New" w:hint="default"/>
      </w:rPr>
    </w:lvl>
    <w:lvl w:ilvl="2" w:tplc="F4F4CFFC">
      <w:start w:val="1"/>
      <w:numFmt w:val="bullet"/>
      <w:lvlText w:val=""/>
      <w:lvlJc w:val="left"/>
      <w:pPr>
        <w:ind w:left="2160" w:hanging="360"/>
      </w:pPr>
      <w:rPr>
        <w:rFonts w:ascii="Wingdings" w:hAnsi="Wingdings" w:hint="default"/>
      </w:rPr>
    </w:lvl>
    <w:lvl w:ilvl="3" w:tplc="769CB9EA">
      <w:start w:val="1"/>
      <w:numFmt w:val="bullet"/>
      <w:lvlText w:val=""/>
      <w:lvlJc w:val="left"/>
      <w:pPr>
        <w:ind w:left="2880" w:hanging="360"/>
      </w:pPr>
      <w:rPr>
        <w:rFonts w:ascii="Symbol" w:hAnsi="Symbol" w:hint="default"/>
      </w:rPr>
    </w:lvl>
    <w:lvl w:ilvl="4" w:tplc="CD68AC7A">
      <w:start w:val="1"/>
      <w:numFmt w:val="bullet"/>
      <w:lvlText w:val="o"/>
      <w:lvlJc w:val="left"/>
      <w:pPr>
        <w:ind w:left="3600" w:hanging="360"/>
      </w:pPr>
      <w:rPr>
        <w:rFonts w:ascii="Courier New" w:hAnsi="Courier New" w:hint="default"/>
      </w:rPr>
    </w:lvl>
    <w:lvl w:ilvl="5" w:tplc="60146252">
      <w:start w:val="1"/>
      <w:numFmt w:val="bullet"/>
      <w:lvlText w:val=""/>
      <w:lvlJc w:val="left"/>
      <w:pPr>
        <w:ind w:left="4320" w:hanging="360"/>
      </w:pPr>
      <w:rPr>
        <w:rFonts w:ascii="Wingdings" w:hAnsi="Wingdings" w:hint="default"/>
      </w:rPr>
    </w:lvl>
    <w:lvl w:ilvl="6" w:tplc="51F20778">
      <w:start w:val="1"/>
      <w:numFmt w:val="bullet"/>
      <w:lvlText w:val=""/>
      <w:lvlJc w:val="left"/>
      <w:pPr>
        <w:ind w:left="5040" w:hanging="360"/>
      </w:pPr>
      <w:rPr>
        <w:rFonts w:ascii="Symbol" w:hAnsi="Symbol" w:hint="default"/>
      </w:rPr>
    </w:lvl>
    <w:lvl w:ilvl="7" w:tplc="C59EE7C4">
      <w:start w:val="1"/>
      <w:numFmt w:val="bullet"/>
      <w:lvlText w:val="o"/>
      <w:lvlJc w:val="left"/>
      <w:pPr>
        <w:ind w:left="5760" w:hanging="360"/>
      </w:pPr>
      <w:rPr>
        <w:rFonts w:ascii="Courier New" w:hAnsi="Courier New" w:hint="default"/>
      </w:rPr>
    </w:lvl>
    <w:lvl w:ilvl="8" w:tplc="C7E40F16">
      <w:start w:val="1"/>
      <w:numFmt w:val="bullet"/>
      <w:lvlText w:val=""/>
      <w:lvlJc w:val="left"/>
      <w:pPr>
        <w:ind w:left="6480" w:hanging="360"/>
      </w:pPr>
      <w:rPr>
        <w:rFonts w:ascii="Wingdings" w:hAnsi="Wingdings" w:hint="default"/>
      </w:rPr>
    </w:lvl>
  </w:abstractNum>
  <w:abstractNum w:abstractNumId="5"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6"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7" w15:restartNumberingAfterBreak="0">
    <w:nsid w:val="2A565190"/>
    <w:multiLevelType w:val="hybridMultilevel"/>
    <w:tmpl w:val="AF4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606D3"/>
    <w:multiLevelType w:val="hybridMultilevel"/>
    <w:tmpl w:val="0F9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0"/>
  </w:num>
  <w:num w:numId="8">
    <w:abstractNumId w:val="11"/>
  </w:num>
  <w:num w:numId="9">
    <w:abstractNumId w:val="8"/>
  </w:num>
  <w:num w:numId="10">
    <w:abstractNumId w:val="9"/>
  </w:num>
  <w:num w:numId="11">
    <w:abstractNumId w:val="13"/>
  </w:num>
  <w:num w:numId="12">
    <w:abstractNumId w:val="14"/>
  </w:num>
  <w:num w:numId="13">
    <w:abstractNumId w:val="1"/>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TZ Sarah * ODE">
    <w15:presenceInfo w15:providerId="AD" w15:userId="S::soltzs@ode.state.or.us::751f620e-5731-4c3a-ae93-2ddbcc787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14229"/>
    <w:rsid w:val="000B7B51"/>
    <w:rsid w:val="000E4FA0"/>
    <w:rsid w:val="001B52CA"/>
    <w:rsid w:val="00263F05"/>
    <w:rsid w:val="0026797A"/>
    <w:rsid w:val="0027587A"/>
    <w:rsid w:val="002A100A"/>
    <w:rsid w:val="002D66CC"/>
    <w:rsid w:val="00300812"/>
    <w:rsid w:val="00300F93"/>
    <w:rsid w:val="00327EB0"/>
    <w:rsid w:val="00334269"/>
    <w:rsid w:val="0035614D"/>
    <w:rsid w:val="00356BE5"/>
    <w:rsid w:val="00373050"/>
    <w:rsid w:val="0037459E"/>
    <w:rsid w:val="00472F13"/>
    <w:rsid w:val="00484AB3"/>
    <w:rsid w:val="00496DD9"/>
    <w:rsid w:val="004E0AFE"/>
    <w:rsid w:val="00502B50"/>
    <w:rsid w:val="00506FC3"/>
    <w:rsid w:val="00551272"/>
    <w:rsid w:val="00551BCB"/>
    <w:rsid w:val="005B4DF4"/>
    <w:rsid w:val="005C31E2"/>
    <w:rsid w:val="005D6523"/>
    <w:rsid w:val="006231FB"/>
    <w:rsid w:val="00665A1E"/>
    <w:rsid w:val="00686AA4"/>
    <w:rsid w:val="006B3525"/>
    <w:rsid w:val="006E75B2"/>
    <w:rsid w:val="00770DA0"/>
    <w:rsid w:val="007911BE"/>
    <w:rsid w:val="00800077"/>
    <w:rsid w:val="008707C4"/>
    <w:rsid w:val="00872B58"/>
    <w:rsid w:val="00872BA4"/>
    <w:rsid w:val="008C295F"/>
    <w:rsid w:val="00963CE4"/>
    <w:rsid w:val="0097638D"/>
    <w:rsid w:val="00976EA9"/>
    <w:rsid w:val="00980D00"/>
    <w:rsid w:val="009A01C3"/>
    <w:rsid w:val="009A23AC"/>
    <w:rsid w:val="009A6A83"/>
    <w:rsid w:val="009C5702"/>
    <w:rsid w:val="009E0F91"/>
    <w:rsid w:val="00A015AF"/>
    <w:rsid w:val="00A106D4"/>
    <w:rsid w:val="00A139EC"/>
    <w:rsid w:val="00A42905"/>
    <w:rsid w:val="00AD794D"/>
    <w:rsid w:val="00AE1D50"/>
    <w:rsid w:val="00B03719"/>
    <w:rsid w:val="00B33013"/>
    <w:rsid w:val="00B51C91"/>
    <w:rsid w:val="00B542E4"/>
    <w:rsid w:val="00B77D28"/>
    <w:rsid w:val="00B87EF5"/>
    <w:rsid w:val="00B9167F"/>
    <w:rsid w:val="00B97BAB"/>
    <w:rsid w:val="00BB0B34"/>
    <w:rsid w:val="00C06C4E"/>
    <w:rsid w:val="00C30AE1"/>
    <w:rsid w:val="00C41661"/>
    <w:rsid w:val="00C43BD2"/>
    <w:rsid w:val="00C53B82"/>
    <w:rsid w:val="00CA3BE5"/>
    <w:rsid w:val="00CD2C98"/>
    <w:rsid w:val="00CF5502"/>
    <w:rsid w:val="00D330A6"/>
    <w:rsid w:val="00DB37A5"/>
    <w:rsid w:val="00DC5156"/>
    <w:rsid w:val="00E441BE"/>
    <w:rsid w:val="00EB209B"/>
    <w:rsid w:val="00EC75DD"/>
    <w:rsid w:val="00F318C1"/>
    <w:rsid w:val="00F87909"/>
    <w:rsid w:val="00FB5DC0"/>
    <w:rsid w:val="00FC0AA2"/>
    <w:rsid w:val="022B6019"/>
    <w:rsid w:val="02358C42"/>
    <w:rsid w:val="02554B3E"/>
    <w:rsid w:val="04D98F98"/>
    <w:rsid w:val="055792E3"/>
    <w:rsid w:val="0662D283"/>
    <w:rsid w:val="06EA6DB7"/>
    <w:rsid w:val="072D457F"/>
    <w:rsid w:val="07C5025F"/>
    <w:rsid w:val="0926063C"/>
    <w:rsid w:val="09335D90"/>
    <w:rsid w:val="095E90F4"/>
    <w:rsid w:val="0A003D7F"/>
    <w:rsid w:val="0A290BC8"/>
    <w:rsid w:val="0B187ED5"/>
    <w:rsid w:val="0B773283"/>
    <w:rsid w:val="0B8E293D"/>
    <w:rsid w:val="0BBE2522"/>
    <w:rsid w:val="0CD70CBB"/>
    <w:rsid w:val="0ECBA6C1"/>
    <w:rsid w:val="0FDD4E93"/>
    <w:rsid w:val="109A458A"/>
    <w:rsid w:val="11464267"/>
    <w:rsid w:val="118102CB"/>
    <w:rsid w:val="11B8660A"/>
    <w:rsid w:val="12098CED"/>
    <w:rsid w:val="126127CC"/>
    <w:rsid w:val="12892083"/>
    <w:rsid w:val="1304DF78"/>
    <w:rsid w:val="1413B60D"/>
    <w:rsid w:val="14312103"/>
    <w:rsid w:val="144A7F77"/>
    <w:rsid w:val="151F506C"/>
    <w:rsid w:val="155C44BC"/>
    <w:rsid w:val="15AF866E"/>
    <w:rsid w:val="188C2F12"/>
    <w:rsid w:val="190339A9"/>
    <w:rsid w:val="190889A1"/>
    <w:rsid w:val="1A140396"/>
    <w:rsid w:val="1AFD238B"/>
    <w:rsid w:val="1AFD7B23"/>
    <w:rsid w:val="1B40C75E"/>
    <w:rsid w:val="1BB7808F"/>
    <w:rsid w:val="1CA5BE2B"/>
    <w:rsid w:val="1E2A045C"/>
    <w:rsid w:val="1F729DD9"/>
    <w:rsid w:val="20A9E5D0"/>
    <w:rsid w:val="21105F9C"/>
    <w:rsid w:val="2177A349"/>
    <w:rsid w:val="21966300"/>
    <w:rsid w:val="2296438A"/>
    <w:rsid w:val="23BC567F"/>
    <w:rsid w:val="246DA1D6"/>
    <w:rsid w:val="24C15646"/>
    <w:rsid w:val="255BAFEA"/>
    <w:rsid w:val="25BD0434"/>
    <w:rsid w:val="2784CA6D"/>
    <w:rsid w:val="27A54298"/>
    <w:rsid w:val="27ABDF2D"/>
    <w:rsid w:val="2822FAC6"/>
    <w:rsid w:val="28911805"/>
    <w:rsid w:val="28B5D30A"/>
    <w:rsid w:val="28E53CE7"/>
    <w:rsid w:val="2AADD8C1"/>
    <w:rsid w:val="2AC3BAFD"/>
    <w:rsid w:val="2B5EA53A"/>
    <w:rsid w:val="2B73B5F1"/>
    <w:rsid w:val="2C0C6DCB"/>
    <w:rsid w:val="2C7F5050"/>
    <w:rsid w:val="2DE2A700"/>
    <w:rsid w:val="2EE2732F"/>
    <w:rsid w:val="2F622D3C"/>
    <w:rsid w:val="3138D753"/>
    <w:rsid w:val="31504613"/>
    <w:rsid w:val="328E971D"/>
    <w:rsid w:val="32B1B4D3"/>
    <w:rsid w:val="33C543B9"/>
    <w:rsid w:val="3498CC82"/>
    <w:rsid w:val="3514A6A7"/>
    <w:rsid w:val="351FFE73"/>
    <w:rsid w:val="356B7D05"/>
    <w:rsid w:val="35BA8F2D"/>
    <w:rsid w:val="36E6BB1F"/>
    <w:rsid w:val="38171751"/>
    <w:rsid w:val="38702D18"/>
    <w:rsid w:val="38AF2955"/>
    <w:rsid w:val="39042C2B"/>
    <w:rsid w:val="3998374B"/>
    <w:rsid w:val="39F6436E"/>
    <w:rsid w:val="3AFF09C3"/>
    <w:rsid w:val="3B36CF23"/>
    <w:rsid w:val="3B374162"/>
    <w:rsid w:val="3BA15668"/>
    <w:rsid w:val="3C153C4A"/>
    <w:rsid w:val="3CC56506"/>
    <w:rsid w:val="3CEBC7E1"/>
    <w:rsid w:val="3D962B31"/>
    <w:rsid w:val="3DF2E0AE"/>
    <w:rsid w:val="3E64F3E0"/>
    <w:rsid w:val="3EA8BBDF"/>
    <w:rsid w:val="3FBAC02B"/>
    <w:rsid w:val="3FD50262"/>
    <w:rsid w:val="41427122"/>
    <w:rsid w:val="425CA830"/>
    <w:rsid w:val="428E0291"/>
    <w:rsid w:val="42C41C9A"/>
    <w:rsid w:val="433DFD85"/>
    <w:rsid w:val="43E389B2"/>
    <w:rsid w:val="46DCA98D"/>
    <w:rsid w:val="47438964"/>
    <w:rsid w:val="476173B4"/>
    <w:rsid w:val="47655737"/>
    <w:rsid w:val="47BCFA9B"/>
    <w:rsid w:val="492EBE27"/>
    <w:rsid w:val="4942F759"/>
    <w:rsid w:val="4A9B697A"/>
    <w:rsid w:val="4AB86F41"/>
    <w:rsid w:val="4B376A98"/>
    <w:rsid w:val="4BB76A98"/>
    <w:rsid w:val="4C55970D"/>
    <w:rsid w:val="4DC759FD"/>
    <w:rsid w:val="4DF1C38C"/>
    <w:rsid w:val="4E8233C4"/>
    <w:rsid w:val="4EA259BF"/>
    <w:rsid w:val="4FD1FDCF"/>
    <w:rsid w:val="4FFE963D"/>
    <w:rsid w:val="506120A0"/>
    <w:rsid w:val="51284726"/>
    <w:rsid w:val="52BF22C0"/>
    <w:rsid w:val="52D34636"/>
    <w:rsid w:val="539B885F"/>
    <w:rsid w:val="53F6C4EF"/>
    <w:rsid w:val="55553715"/>
    <w:rsid w:val="56277CA2"/>
    <w:rsid w:val="59405C85"/>
    <w:rsid w:val="5A78F6DC"/>
    <w:rsid w:val="5ADC2CE6"/>
    <w:rsid w:val="5BB66BB1"/>
    <w:rsid w:val="5D04E5E5"/>
    <w:rsid w:val="5D366AFE"/>
    <w:rsid w:val="5DDA8368"/>
    <w:rsid w:val="5DF7B56A"/>
    <w:rsid w:val="5E4C9A5B"/>
    <w:rsid w:val="5E543EBE"/>
    <w:rsid w:val="5F8E7A6C"/>
    <w:rsid w:val="5FB4F4E6"/>
    <w:rsid w:val="6002AB7F"/>
    <w:rsid w:val="600C24A6"/>
    <w:rsid w:val="6010CC80"/>
    <w:rsid w:val="60823D5F"/>
    <w:rsid w:val="60DBE48C"/>
    <w:rsid w:val="60E191B5"/>
    <w:rsid w:val="60E87CF3"/>
    <w:rsid w:val="61190FF6"/>
    <w:rsid w:val="616C1A8E"/>
    <w:rsid w:val="61ABECE6"/>
    <w:rsid w:val="62084D66"/>
    <w:rsid w:val="62F4FF9F"/>
    <w:rsid w:val="63ABBCAF"/>
    <w:rsid w:val="6444DFAF"/>
    <w:rsid w:val="64A619BC"/>
    <w:rsid w:val="64C34D71"/>
    <w:rsid w:val="64DF95C9"/>
    <w:rsid w:val="6551DB58"/>
    <w:rsid w:val="65943897"/>
    <w:rsid w:val="65BEDA81"/>
    <w:rsid w:val="65DFD2A5"/>
    <w:rsid w:val="65E9D2E5"/>
    <w:rsid w:val="6632F212"/>
    <w:rsid w:val="677BE8FE"/>
    <w:rsid w:val="67A7E7A3"/>
    <w:rsid w:val="6A0FF748"/>
    <w:rsid w:val="6B1097BA"/>
    <w:rsid w:val="6B2E1BF5"/>
    <w:rsid w:val="6B5ECC4A"/>
    <w:rsid w:val="6BE0EBE7"/>
    <w:rsid w:val="6C387B29"/>
    <w:rsid w:val="6CBDC2CC"/>
    <w:rsid w:val="6D1B4991"/>
    <w:rsid w:val="6E432AB4"/>
    <w:rsid w:val="6F93635F"/>
    <w:rsid w:val="70622CEC"/>
    <w:rsid w:val="70986129"/>
    <w:rsid w:val="709D1225"/>
    <w:rsid w:val="711BC9C9"/>
    <w:rsid w:val="718DF3DE"/>
    <w:rsid w:val="72EADE75"/>
    <w:rsid w:val="736CF1BD"/>
    <w:rsid w:val="73B2F60B"/>
    <w:rsid w:val="73D47371"/>
    <w:rsid w:val="743163CD"/>
    <w:rsid w:val="74A8A443"/>
    <w:rsid w:val="763E9884"/>
    <w:rsid w:val="764474A4"/>
    <w:rsid w:val="76EE7A50"/>
    <w:rsid w:val="7751BD9B"/>
    <w:rsid w:val="7B45601D"/>
    <w:rsid w:val="7CAC3AE1"/>
    <w:rsid w:val="7D5128D7"/>
    <w:rsid w:val="7D7C76F4"/>
    <w:rsid w:val="7DF0AAE8"/>
    <w:rsid w:val="7E680547"/>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mailto:sally.simich@state.o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56c698c68a144f779ce9c9372e067c25" TargetMode="External"/><Relationship Id="rId17" Type="http://schemas.microsoft.com/office/2011/relationships/commentsExtended" Target="commentsExtended.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B14 (Post-School Outcomes) Data</a:t>
            </a:r>
          </a:p>
          <a:p>
            <a:pPr>
              <a:defRPr/>
            </a:pPr>
            <a:r>
              <a:rPr lang="en-US" sz="1000" b="0">
                <a:solidFill>
                  <a:srgbClr val="1B75BC"/>
                </a:solidFill>
              </a:rPr>
              <a:t>Percent of youth with IEPs in effect at the time they left school who are enrolled in higher education within one year of leaving high school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B14A!$A$2</c:f>
              <c:strCache>
                <c:ptCount val="1"/>
                <c:pt idx="0">
                  <c:v>Data</c:v>
                </c:pt>
              </c:strCache>
            </c:strRef>
          </c:tx>
          <c:spPr>
            <a:ln w="28575" cap="rnd">
              <a:solidFill>
                <a:srgbClr val="1B75BC"/>
              </a:solidFill>
              <a:round/>
            </a:ln>
            <a:effectLst/>
          </c:spPr>
          <c:marker>
            <c:symbol val="none"/>
          </c:marker>
          <c:dLbls>
            <c:dLbl>
              <c:idx val="1"/>
              <c:layout>
                <c:manualLayout>
                  <c:x val="-5.5895496527701274E-2"/>
                  <c:y val="-6.93390773194987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85-4E95-9398-1C6A7DD11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B14A!$B$2:$G$2</c:f>
              <c:numCache>
                <c:formatCode>0.00%</c:formatCode>
                <c:ptCount val="6"/>
                <c:pt idx="0">
                  <c:v>0.22370000000000001</c:v>
                </c:pt>
                <c:pt idx="1">
                  <c:v>0.24410000000000001</c:v>
                </c:pt>
                <c:pt idx="2">
                  <c:v>0.24560000000000001</c:v>
                </c:pt>
                <c:pt idx="3">
                  <c:v>0.22819999999999999</c:v>
                </c:pt>
                <c:pt idx="4">
                  <c:v>0.25130000000000002</c:v>
                </c:pt>
                <c:pt idx="5">
                  <c:v>0.24840000000000001</c:v>
                </c:pt>
              </c:numCache>
            </c:numRef>
          </c:val>
          <c:smooth val="0"/>
          <c:extLst>
            <c:ext xmlns:c16="http://schemas.microsoft.com/office/drawing/2014/chart" uri="{C3380CC4-5D6E-409C-BE32-E72D297353CC}">
              <c16:uniqueId val="{00000000-9110-459F-89ED-0EB19466EB7A}"/>
            </c:ext>
          </c:extLst>
        </c:ser>
        <c:ser>
          <c:idx val="1"/>
          <c:order val="1"/>
          <c:tx>
            <c:strRef>
              <c:f>B14A!$A$3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B14A!$B$3:$G$3</c:f>
              <c:numCache>
                <c:formatCode>0.00%</c:formatCode>
                <c:ptCount val="6"/>
                <c:pt idx="0">
                  <c:v>0.28000000000000003</c:v>
                </c:pt>
                <c:pt idx="1">
                  <c:v>0.28999999999999998</c:v>
                </c:pt>
                <c:pt idx="2">
                  <c:v>0.3</c:v>
                </c:pt>
                <c:pt idx="3">
                  <c:v>0.31</c:v>
                </c:pt>
                <c:pt idx="4">
                  <c:v>0.32</c:v>
                </c:pt>
                <c:pt idx="5">
                  <c:v>0.32</c:v>
                </c:pt>
              </c:numCache>
            </c:numRef>
          </c:val>
          <c:smooth val="0"/>
          <c:extLst>
            <c:ext xmlns:c16="http://schemas.microsoft.com/office/drawing/2014/chart" uri="{C3380CC4-5D6E-409C-BE32-E72D297353CC}">
              <c16:uniqueId val="{00000001-9110-459F-89ED-0EB19466EB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3500000000000000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B14 (Post-School Outcomes) Data</a:t>
            </a:r>
          </a:p>
          <a:p>
            <a:pPr>
              <a:defRPr/>
            </a:pPr>
            <a:r>
              <a:rPr lang="en-US" sz="900" b="0">
                <a:solidFill>
                  <a:srgbClr val="1B75BC"/>
                </a:solidFill>
              </a:rPr>
              <a:t>Percent of youth with IEPs in effect at the time they left school who are enrolled in higher education or competitively employed within one year of leaving high school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B14B!$A$2</c:f>
              <c:strCache>
                <c:ptCount val="1"/>
                <c:pt idx="0">
                  <c:v>Data</c:v>
                </c:pt>
              </c:strCache>
            </c:strRef>
          </c:tx>
          <c:spPr>
            <a:ln w="28575" cap="rnd">
              <a:solidFill>
                <a:srgbClr val="1B75BC"/>
              </a:solidFill>
              <a:round/>
            </a:ln>
            <a:effectLst/>
          </c:spPr>
          <c:marker>
            <c:symbol val="none"/>
          </c:marker>
          <c:dLbls>
            <c:dLbl>
              <c:idx val="4"/>
              <c:layout>
                <c:manualLayout>
                  <c:x val="-0.10094070627535204"/>
                  <c:y val="-9.59819733144289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8B-4121-B974-F84FDFC24B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B14B!$B$1:$G$1</c:f>
              <c:numCache>
                <c:formatCode>General</c:formatCode>
                <c:ptCount val="6"/>
                <c:pt idx="0">
                  <c:v>2014</c:v>
                </c:pt>
                <c:pt idx="1">
                  <c:v>2015</c:v>
                </c:pt>
                <c:pt idx="2">
                  <c:v>2016</c:v>
                </c:pt>
                <c:pt idx="3">
                  <c:v>2017</c:v>
                </c:pt>
                <c:pt idx="4">
                  <c:v>2018</c:v>
                </c:pt>
                <c:pt idx="5">
                  <c:v>2019</c:v>
                </c:pt>
              </c:numCache>
            </c:numRef>
          </c:cat>
          <c:val>
            <c:numRef>
              <c:f>B14B!$B$2:$G$2</c:f>
              <c:numCache>
                <c:formatCode>0.00%</c:formatCode>
                <c:ptCount val="6"/>
                <c:pt idx="0">
                  <c:v>0.56399999999999995</c:v>
                </c:pt>
                <c:pt idx="1">
                  <c:v>0.59519999999999995</c:v>
                </c:pt>
                <c:pt idx="2">
                  <c:v>0.60460000000000003</c:v>
                </c:pt>
                <c:pt idx="3">
                  <c:v>0.61990000000000001</c:v>
                </c:pt>
                <c:pt idx="4">
                  <c:v>0.46460000000000001</c:v>
                </c:pt>
                <c:pt idx="5">
                  <c:v>0.60609999999999997</c:v>
                </c:pt>
              </c:numCache>
            </c:numRef>
          </c:val>
          <c:smooth val="0"/>
          <c:extLst>
            <c:ext xmlns:c16="http://schemas.microsoft.com/office/drawing/2014/chart" uri="{C3380CC4-5D6E-409C-BE32-E72D297353CC}">
              <c16:uniqueId val="{00000000-F28B-4121-B974-F84FDFC24BAD}"/>
            </c:ext>
          </c:extLst>
        </c:ser>
        <c:ser>
          <c:idx val="1"/>
          <c:order val="1"/>
          <c:tx>
            <c:strRef>
              <c:f>B14B!$A$3</c:f>
              <c:strCache>
                <c:ptCount val="1"/>
                <c:pt idx="0">
                  <c:v>Target &gt;=</c:v>
                </c:pt>
              </c:strCache>
            </c:strRef>
          </c:tx>
          <c:spPr>
            <a:ln w="28575" cap="rnd">
              <a:solidFill>
                <a:srgbClr val="408740"/>
              </a:solidFill>
              <a:round/>
            </a:ln>
            <a:effectLst/>
          </c:spPr>
          <c:marker>
            <c:symbol val="none"/>
          </c:marker>
          <c:dLbls>
            <c:dLbl>
              <c:idx val="0"/>
              <c:layout>
                <c:manualLayout>
                  <c:x val="-5.5486160820806513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8B-4121-B974-F84FDFC24BAD}"/>
                </c:ext>
              </c:extLst>
            </c:dLbl>
            <c:dLbl>
              <c:idx val="1"/>
              <c:layout>
                <c:manualLayout>
                  <c:x val="-5.8011413346058971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8B-4121-B974-F84FDFC24BAD}"/>
                </c:ext>
              </c:extLst>
            </c:dLbl>
            <c:dLbl>
              <c:idx val="2"/>
              <c:layout>
                <c:manualLayout>
                  <c:x val="-5.5486160820806534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8B-4121-B974-F84FDFC24BAD}"/>
                </c:ext>
              </c:extLst>
            </c:dLbl>
            <c:dLbl>
              <c:idx val="3"/>
              <c:layout>
                <c:manualLayout>
                  <c:x val="-5.5486160820806492E-2"/>
                  <c:y val="6.7572220674987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8B-4121-B974-F84FDFC24BAD}"/>
                </c:ext>
              </c:extLst>
            </c:dLbl>
            <c:dLbl>
              <c:idx val="5"/>
              <c:layout>
                <c:manualLayout>
                  <c:x val="-5.5486160820806582E-2"/>
                  <c:y val="7.40030888421905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28B-4121-B974-F84FDFC24BA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B14B!$B$1:$G$1</c:f>
              <c:numCache>
                <c:formatCode>General</c:formatCode>
                <c:ptCount val="6"/>
                <c:pt idx="0">
                  <c:v>2014</c:v>
                </c:pt>
                <c:pt idx="1">
                  <c:v>2015</c:v>
                </c:pt>
                <c:pt idx="2">
                  <c:v>2016</c:v>
                </c:pt>
                <c:pt idx="3">
                  <c:v>2017</c:v>
                </c:pt>
                <c:pt idx="4">
                  <c:v>2018</c:v>
                </c:pt>
                <c:pt idx="5">
                  <c:v>2019</c:v>
                </c:pt>
              </c:numCache>
            </c:numRef>
          </c:cat>
          <c:val>
            <c:numRef>
              <c:f>B14B!$B$3:$G$3</c:f>
              <c:numCache>
                <c:formatCode>0.00%</c:formatCode>
                <c:ptCount val="6"/>
                <c:pt idx="0">
                  <c:v>0.55000000000000004</c:v>
                </c:pt>
                <c:pt idx="1">
                  <c:v>0.55000000000000004</c:v>
                </c:pt>
                <c:pt idx="2">
                  <c:v>0.55500000000000005</c:v>
                </c:pt>
                <c:pt idx="3">
                  <c:v>0.55500000000000005</c:v>
                </c:pt>
                <c:pt idx="4">
                  <c:v>0.56000000000000005</c:v>
                </c:pt>
                <c:pt idx="5">
                  <c:v>0.56000000000000005</c:v>
                </c:pt>
              </c:numCache>
            </c:numRef>
          </c:val>
          <c:smooth val="0"/>
          <c:extLst>
            <c:ext xmlns:c16="http://schemas.microsoft.com/office/drawing/2014/chart" uri="{C3380CC4-5D6E-409C-BE32-E72D297353CC}">
              <c16:uniqueId val="{00000001-F28B-4121-B974-F84FDFC24BA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4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B14 (Post-School Outcomes) Data</a:t>
            </a:r>
          </a:p>
          <a:p>
            <a:pPr>
              <a:defRPr/>
            </a:pPr>
            <a:r>
              <a:rPr lang="en-US" sz="800" b="0" i="0" u="none" strike="noStrike" baseline="0">
                <a:solidFill>
                  <a:srgbClr val="1B75BC"/>
                </a:solidFill>
                <a:effectLst/>
              </a:rPr>
              <a:t>Percent of youth with IEPs in effect at the time they left school who are enrolled in higher education, enrolled in some other postsecondary education or training program, or competitively employed or in s</a:t>
            </a:r>
            <a:endParaRPr lang="en-US" sz="800"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B14C!$A$2</c:f>
              <c:strCache>
                <c:ptCount val="1"/>
                <c:pt idx="0">
                  <c:v>Data</c:v>
                </c:pt>
              </c:strCache>
            </c:strRef>
          </c:tx>
          <c:spPr>
            <a:ln w="28575" cap="rnd">
              <a:solidFill>
                <a:srgbClr val="1B75BC"/>
              </a:solidFill>
              <a:round/>
            </a:ln>
            <a:effectLst/>
          </c:spPr>
          <c:marker>
            <c:symbol val="none"/>
          </c:marker>
          <c:dLbls>
            <c:dLbl>
              <c:idx val="3"/>
              <c:layout>
                <c:manualLayout>
                  <c:x val="-7.1282252331472701E-2"/>
                  <c:y val="-6.05626268958893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CF-41D5-9DF2-09759658DB2F}"/>
                </c:ext>
              </c:extLst>
            </c:dLbl>
            <c:dLbl>
              <c:idx val="5"/>
              <c:layout>
                <c:manualLayout>
                  <c:x val="-3.8386477819892892E-2"/>
                  <c:y val="-5.22949298722880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F-41D5-9DF2-09759658DB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B14C!$B$2:$G$2</c:f>
              <c:numCache>
                <c:formatCode>0.00%</c:formatCode>
                <c:ptCount val="6"/>
                <c:pt idx="0">
                  <c:v>0.71340000000000003</c:v>
                </c:pt>
                <c:pt idx="1">
                  <c:v>0.73240000000000005</c:v>
                </c:pt>
                <c:pt idx="2">
                  <c:v>0.74590000000000001</c:v>
                </c:pt>
                <c:pt idx="3">
                  <c:v>0.74199999999999999</c:v>
                </c:pt>
                <c:pt idx="4">
                  <c:v>0.81559999999999999</c:v>
                </c:pt>
                <c:pt idx="5">
                  <c:v>0.77159999999999995</c:v>
                </c:pt>
              </c:numCache>
            </c:numRef>
          </c:val>
          <c:smooth val="0"/>
          <c:extLst>
            <c:ext xmlns:c16="http://schemas.microsoft.com/office/drawing/2014/chart" uri="{C3380CC4-5D6E-409C-BE32-E72D297353CC}">
              <c16:uniqueId val="{00000002-35CF-41D5-9DF2-09759658DB2F}"/>
            </c:ext>
          </c:extLst>
        </c:ser>
        <c:ser>
          <c:idx val="1"/>
          <c:order val="1"/>
          <c:tx>
            <c:strRef>
              <c:f>B14C!$A$3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CF-41D5-9DF2-09759658DB2F}"/>
                </c:ext>
              </c:extLst>
            </c:dLbl>
            <c:dLbl>
              <c:idx val="1"/>
              <c:layout>
                <c:manualLayout>
                  <c:x val="-3.8386477819892927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CF-41D5-9DF2-09759658DB2F}"/>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CF-41D5-9DF2-09759658DB2F}"/>
                </c:ext>
              </c:extLst>
            </c:dLbl>
            <c:dLbl>
              <c:idx val="3"/>
              <c:layout>
                <c:manualLayout>
                  <c:x val="-4.4456279584309311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CF-41D5-9DF2-09759658DB2F}"/>
                </c:ext>
              </c:extLst>
            </c:dLbl>
            <c:dLbl>
              <c:idx val="4"/>
              <c:layout>
                <c:manualLayout>
                  <c:x val="-3.6363210565087394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CF-41D5-9DF2-09759658DB2F}"/>
                </c:ext>
              </c:extLst>
            </c:dLbl>
            <c:dLbl>
              <c:idx val="5"/>
              <c:layout>
                <c:manualLayout>
                  <c:x val="-4.445627958430953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CF-41D5-9DF2-09759658DB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B14C!$B$3:$G$3</c:f>
              <c:numCache>
                <c:formatCode>0.00%</c:formatCode>
                <c:ptCount val="6"/>
                <c:pt idx="0">
                  <c:v>0.7</c:v>
                </c:pt>
                <c:pt idx="1">
                  <c:v>0.72</c:v>
                </c:pt>
                <c:pt idx="2">
                  <c:v>0.72</c:v>
                </c:pt>
                <c:pt idx="3">
                  <c:v>0.72</c:v>
                </c:pt>
                <c:pt idx="4">
                  <c:v>0.74</c:v>
                </c:pt>
                <c:pt idx="5">
                  <c:v>0.74</c:v>
                </c:pt>
              </c:numCache>
            </c:numRef>
          </c:val>
          <c:smooth val="0"/>
          <c:extLst>
            <c:ext xmlns:c16="http://schemas.microsoft.com/office/drawing/2014/chart" uri="{C3380CC4-5D6E-409C-BE32-E72D297353CC}">
              <c16:uniqueId val="{00000009-35CF-41D5-9DF2-09759658DB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6500000000000001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0494FACD-9B6C-444D-ABCA-B9C86B0B89B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2021-12-17T17:53:00Z</dcterms:created>
  <dcterms:modified xsi:type="dcterms:W3CDTF">2021-12-17T17:53:00Z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