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1B7C5E0B" w14:paraId="084C1F72" w14:textId="77777777" w:rsidTr="003554B6">
        <w:trPr>
          <w:tblHeader/>
        </w:trPr>
        <w:tc>
          <w:tcPr>
            <w:tcW w:w="2160" w:type="dxa"/>
            <w:vAlign w:val="center"/>
          </w:tcPr>
          <w:p w14:paraId="57AF7FFA" w14:textId="77777777" w:rsidR="1B7C5E0B" w:rsidRDefault="1B7C5E0B" w:rsidP="1B7C5E0B">
            <w:pPr>
              <w:spacing w:after="200"/>
              <w:jc w:val="center"/>
              <w:rPr>
                <w:rFonts w:eastAsia="Arial"/>
                <w:b/>
                <w:bCs/>
                <w:color w:val="082A75"/>
                <w:sz w:val="36"/>
                <w:szCs w:val="36"/>
              </w:rPr>
            </w:pPr>
            <w:r>
              <w:rPr>
                <w:noProof/>
                <w:lang w:val="en-US"/>
              </w:rPr>
              <w:drawing>
                <wp:inline distT="0" distB="0" distL="0" distR="0" wp14:anchorId="2310871B" wp14:editId="7BCFE3E0">
                  <wp:extent cx="1077554" cy="1145969"/>
                  <wp:effectExtent l="0" t="0" r="8890" b="0"/>
                  <wp:docPr id="102924986" name="Picture 1944659586"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72F2D8A2" w14:textId="77777777" w:rsidR="004F6C8F" w:rsidRPr="007C77D4" w:rsidRDefault="004F6C8F" w:rsidP="004F6C8F">
            <w:pPr>
              <w:pStyle w:val="Title"/>
              <w:spacing w:after="200"/>
              <w:jc w:val="center"/>
              <w:rPr>
                <w:rFonts w:asciiTheme="minorHAnsi" w:eastAsia="Arial" w:hAnsiTheme="minorHAnsi" w:cstheme="minorBidi"/>
                <w:b/>
                <w:bCs/>
                <w:color w:val="1B75BC"/>
                <w:sz w:val="48"/>
                <w:szCs w:val="48"/>
              </w:rPr>
            </w:pPr>
            <w:r>
              <w:rPr>
                <w:rFonts w:asciiTheme="minorHAnsi" w:hAnsiTheme="minorHAnsi"/>
                <w:b/>
                <w:bCs/>
                <w:color w:val="1B75BC"/>
                <w:sz w:val="48"/>
                <w:szCs w:val="48"/>
              </w:rPr>
              <w:t>Qorshaha Waxqabadka Gobolka (SPP)</w:t>
            </w:r>
          </w:p>
          <w:p w14:paraId="2F0F70D4" w14:textId="696DA8F3" w:rsidR="1B7C5E0B" w:rsidRDefault="004F6C8F" w:rsidP="004F6C8F">
            <w:pPr>
              <w:pStyle w:val="Title"/>
              <w:spacing w:after="200"/>
              <w:jc w:val="center"/>
              <w:rPr>
                <w:rFonts w:asciiTheme="minorHAnsi" w:eastAsia="Arial" w:hAnsiTheme="minorHAnsi" w:cstheme="minorBidi"/>
                <w:b/>
                <w:bCs/>
                <w:color w:val="082A75"/>
                <w:sz w:val="48"/>
                <w:szCs w:val="48"/>
              </w:rPr>
            </w:pPr>
            <w:r>
              <w:rPr>
                <w:rFonts w:asciiTheme="minorHAnsi" w:hAnsiTheme="minorHAnsi"/>
                <w:b/>
                <w:bCs/>
                <w:color w:val="1B75BC"/>
                <w:sz w:val="48"/>
                <w:szCs w:val="48"/>
              </w:rPr>
              <w:t>Xaanshida Xaqiiqda</w:t>
            </w:r>
          </w:p>
          <w:p w14:paraId="2846B97B" w14:textId="70C34184" w:rsidR="1B7C5E0B" w:rsidRDefault="1B7C5E0B" w:rsidP="1B7C5E0B">
            <w:pPr>
              <w:pStyle w:val="Title"/>
              <w:spacing w:after="200"/>
              <w:jc w:val="center"/>
              <w:rPr>
                <w:rFonts w:asciiTheme="minorHAnsi" w:eastAsia="Arial" w:hAnsiTheme="minorHAnsi" w:cstheme="minorBidi"/>
                <w:b/>
                <w:bCs/>
                <w:color w:val="082A75"/>
                <w:sz w:val="32"/>
                <w:szCs w:val="32"/>
              </w:rPr>
            </w:pPr>
            <w:r>
              <w:rPr>
                <w:rFonts w:asciiTheme="minorHAnsi" w:hAnsiTheme="minorHAnsi"/>
                <w:b/>
                <w:bCs/>
                <w:color w:val="1B75BC"/>
                <w:sz w:val="32"/>
                <w:szCs w:val="32"/>
              </w:rPr>
              <w:t>Tilmaamaha B4A: Ka Joojinta iyo Ka Cayrinta Waxbarashada</w:t>
            </w:r>
          </w:p>
        </w:tc>
      </w:tr>
      <w:tr w:rsidR="1B7C5E0B" w14:paraId="2E1D28EB" w14:textId="77777777" w:rsidTr="1B7C5E0B">
        <w:trPr>
          <w:trHeight w:val="72"/>
        </w:trPr>
        <w:tc>
          <w:tcPr>
            <w:tcW w:w="2484" w:type="dxa"/>
            <w:gridSpan w:val="2"/>
            <w:shd w:val="clear" w:color="auto" w:fill="9F2065"/>
          </w:tcPr>
          <w:p w14:paraId="4F3C832A" w14:textId="77777777" w:rsidR="1B7C5E0B" w:rsidRDefault="1B7C5E0B" w:rsidP="1B7C5E0B">
            <w:pPr>
              <w:rPr>
                <w:noProof/>
              </w:rPr>
            </w:pPr>
          </w:p>
        </w:tc>
        <w:tc>
          <w:tcPr>
            <w:tcW w:w="2484" w:type="dxa"/>
            <w:shd w:val="clear" w:color="auto" w:fill="E26B2A"/>
          </w:tcPr>
          <w:p w14:paraId="1561D28A" w14:textId="77777777" w:rsidR="1B7C5E0B" w:rsidRDefault="1B7C5E0B" w:rsidP="1B7C5E0B">
            <w:pPr>
              <w:pStyle w:val="Title"/>
              <w:rPr>
                <w:rFonts w:asciiTheme="minorHAnsi" w:eastAsia="Arial" w:hAnsiTheme="minorHAnsi" w:cstheme="minorBidi"/>
                <w:b/>
                <w:bCs/>
                <w:color w:val="082974"/>
                <w:sz w:val="22"/>
                <w:szCs w:val="22"/>
              </w:rPr>
            </w:pPr>
          </w:p>
        </w:tc>
        <w:tc>
          <w:tcPr>
            <w:tcW w:w="2484" w:type="dxa"/>
            <w:shd w:val="clear" w:color="auto" w:fill="1B75BC"/>
          </w:tcPr>
          <w:p w14:paraId="628B44D2" w14:textId="77777777" w:rsidR="1B7C5E0B" w:rsidRDefault="1B7C5E0B" w:rsidP="1B7C5E0B">
            <w:pPr>
              <w:pStyle w:val="Title"/>
              <w:rPr>
                <w:rFonts w:asciiTheme="minorHAnsi" w:eastAsia="Arial" w:hAnsiTheme="minorHAnsi" w:cstheme="minorBidi"/>
                <w:b/>
                <w:bCs/>
                <w:color w:val="082974"/>
                <w:sz w:val="22"/>
                <w:szCs w:val="22"/>
              </w:rPr>
            </w:pPr>
          </w:p>
        </w:tc>
        <w:tc>
          <w:tcPr>
            <w:tcW w:w="2484" w:type="dxa"/>
            <w:shd w:val="clear" w:color="auto" w:fill="408740"/>
          </w:tcPr>
          <w:p w14:paraId="062CAE25" w14:textId="46579079" w:rsidR="1B7C5E0B" w:rsidRDefault="1B7C5E0B" w:rsidP="1B7C5E0B">
            <w:pPr>
              <w:pStyle w:val="Title"/>
              <w:rPr>
                <w:rFonts w:asciiTheme="minorHAnsi" w:eastAsia="Arial" w:hAnsiTheme="minorHAnsi" w:cstheme="minorBidi"/>
                <w:b/>
                <w:bCs/>
                <w:color w:val="082974"/>
                <w:sz w:val="22"/>
                <w:szCs w:val="22"/>
              </w:rPr>
            </w:pPr>
          </w:p>
        </w:tc>
      </w:tr>
    </w:tbl>
    <w:p w14:paraId="4FF6F2F1" w14:textId="0C6F4ABE" w:rsidR="2E477674" w:rsidRPr="00C407A5" w:rsidRDefault="2E477674" w:rsidP="001010B9">
      <w:pPr>
        <w:pStyle w:val="Heading1"/>
        <w:rPr>
          <w:rFonts w:ascii="Calibri" w:eastAsia="Calibri" w:hAnsi="Calibri" w:cs="Calibri"/>
          <w:color w:val="1B75BC"/>
          <w:sz w:val="28"/>
          <w:szCs w:val="28"/>
        </w:rPr>
      </w:pPr>
      <w:r w:rsidRPr="00C407A5">
        <w:rPr>
          <w:rFonts w:ascii="Calibri" w:hAnsi="Calibri"/>
          <w:b/>
          <w:bCs/>
          <w:color w:val="1B75BC"/>
          <w:sz w:val="28"/>
          <w:szCs w:val="28"/>
        </w:rPr>
        <w:t>Qorshaha Waxqabadka Gobolka Oregon</w:t>
      </w:r>
    </w:p>
    <w:p w14:paraId="54D091D1" w14:textId="2E4BBF14" w:rsidR="003931A2" w:rsidRPr="00C407A5" w:rsidRDefault="003931A2" w:rsidP="003931A2">
      <w:pPr>
        <w:spacing w:line="240" w:lineRule="auto"/>
        <w:rPr>
          <w:rFonts w:ascii="Calibri" w:eastAsia="Calibri" w:hAnsi="Calibri" w:cs="Calibri"/>
          <w:color w:val="000000" w:themeColor="text1"/>
          <w:sz w:val="19"/>
          <w:szCs w:val="19"/>
        </w:rPr>
      </w:pPr>
      <w:r w:rsidRPr="00C407A5">
        <w:rPr>
          <w:rFonts w:ascii="Calibri" w:hAnsi="Calibri"/>
          <w:color w:val="000000" w:themeColor="text1"/>
          <w:sz w:val="19"/>
          <w:szCs w:val="19"/>
        </w:rPr>
        <w:t xml:space="preserve">Marka loo eego Xeerka Waxbarashada Shaqsiyaadka Naafada ah ee 2004 (IDEA), Waaxda Waxbarashada Oregon (ODE) waxaa looga baahan yahay inay u soo gudbiso Qorshaha Waxqabadka Gobolka (SPP) ee lixda sanno ah Xafiiska Barnaamijyada Waxbarashada Gaarka ah (OSEP). OSEP wuxuu soo saaray cabbirada waxqabadyada muhiimka ah, oo loo yaqaano tilmaamayaasha, si loo cabbiro u hoggaansanaanta iyo natiijooyinka labudaba. OSEP wuxuu dejiyaa bartilmaameedyada loogu talagalay tilmaamayaasha u hoggaansanaanta oo ODE waxay dejiyaan bartilmaameedyada tilmaamayaasha natiijooyinka. SPP waa inay ku jiraan bartilmaameedyada loogu talagalay tilmaame kasta ee natiijooyinka. ODE waxay uga warbixisaa horusocodka laga sameeyay tilmaamayaashaan sannad kasta Warbixinta Waxqabadka Sannadlaha ah (APR). Lixdii sannaba mar ODE waa inay dib-u-eegto bartilmaameedyada natiijooyinka waana inay la hawlgalaan shuraakada muhiimka ah si ay u sameeystaan bartilmaameedyo cusub. ODE waxay hadda raadinayaan fikrado la xiriira tilmaamayaasha ay tahay inay horseedaan bartilmaameedyada waxayna qaban doontaa kulan talo-bixin dadweyne si looga wadhadlo xogta la xiriirta tilmaamahan bisha Diseembar 2021. Fadlan ka eeg </w:t>
      </w:r>
      <w:hyperlink r:id="rId11">
        <w:r w:rsidRPr="00C407A5">
          <w:rPr>
            <w:rStyle w:val="Hyperlink"/>
            <w:rFonts w:ascii="Calibri" w:hAnsi="Calibri"/>
            <w:sz w:val="19"/>
            <w:szCs w:val="19"/>
          </w:rPr>
          <w:t>Qorshaha Waxqabadka Gobolka ee ODE iyo Warbixinada Sannadlaha ah ee Waxbarashada Gaarka ah bogga mareegta</w:t>
        </w:r>
      </w:hyperlink>
      <w:r w:rsidRPr="00C407A5">
        <w:rPr>
          <w:rFonts w:ascii="Calibri" w:hAnsi="Calibri"/>
          <w:color w:val="000000" w:themeColor="text1"/>
          <w:sz w:val="19"/>
          <w:szCs w:val="19"/>
        </w:rPr>
        <w:t xml:space="preserve"> si aad u hesho macluumaad dheeraad ah iyo si aad isugu diiwaangeliso kulanka talada dadweynaha. Waxaad sidoo kale dhiiban kartaa fikrad adigoo kaqaybgalin kulanka adoo u maraya </w:t>
      </w:r>
      <w:hyperlink r:id="rId12">
        <w:r w:rsidRPr="00C407A5">
          <w:rPr>
            <w:rStyle w:val="Hyperlink"/>
            <w:rFonts w:ascii="Calibri" w:hAnsi="Calibri"/>
            <w:sz w:val="19"/>
            <w:szCs w:val="19"/>
          </w:rPr>
          <w:t>sahankan</w:t>
        </w:r>
      </w:hyperlink>
      <w:r w:rsidRPr="00C407A5">
        <w:rPr>
          <w:rFonts w:ascii="Calibri" w:hAnsi="Calibri"/>
          <w:color w:val="000000" w:themeColor="text1"/>
          <w:sz w:val="19"/>
          <w:szCs w:val="19"/>
        </w:rPr>
        <w:t xml:space="preserve">. </w:t>
      </w:r>
    </w:p>
    <w:p w14:paraId="4B73E1C3" w14:textId="0BC52818" w:rsidR="000E4FA0" w:rsidRPr="00C407A5" w:rsidRDefault="00CA3BE5" w:rsidP="001010B9">
      <w:pPr>
        <w:pStyle w:val="Heading1"/>
        <w:rPr>
          <w:rFonts w:asciiTheme="minorHAnsi" w:hAnsiTheme="minorHAnsi" w:cstheme="minorBidi"/>
          <w:b/>
          <w:bCs/>
          <w:color w:val="1B75BC"/>
          <w:sz w:val="28"/>
          <w:szCs w:val="28"/>
        </w:rPr>
      </w:pPr>
      <w:r w:rsidRPr="00C407A5">
        <w:rPr>
          <w:rFonts w:asciiTheme="minorHAnsi" w:hAnsiTheme="minorHAnsi"/>
          <w:b/>
          <w:bCs/>
          <w:color w:val="1B75BC"/>
          <w:sz w:val="28"/>
          <w:szCs w:val="28"/>
        </w:rPr>
        <w:t>Muxuu tilmaamahan cabbiraa muxuuna muhiim u yahay?</w:t>
      </w:r>
    </w:p>
    <w:p w14:paraId="7556F5CC" w14:textId="5D8E6EE6" w:rsidR="0B99F1C1" w:rsidRPr="00C407A5" w:rsidRDefault="39725B81" w:rsidP="00D762C9">
      <w:pPr>
        <w:spacing w:after="0"/>
        <w:rPr>
          <w:rFonts w:ascii="Calibri" w:eastAsia="Calibri" w:hAnsi="Calibri" w:cs="Calibri"/>
          <w:color w:val="000000" w:themeColor="text1"/>
          <w:sz w:val="19"/>
          <w:szCs w:val="19"/>
        </w:rPr>
      </w:pPr>
      <w:r w:rsidRPr="00C407A5">
        <w:rPr>
          <w:sz w:val="19"/>
          <w:szCs w:val="19"/>
        </w:rPr>
        <w:t xml:space="preserve">Tilmaamaha B4 waxaa loo qaybiyaa laba qaybood. Tilmaamaha B4A waa tilmaame waxqabad wax ka qabta </w:t>
      </w:r>
      <w:r w:rsidRPr="00C407A5">
        <w:rPr>
          <w:rFonts w:ascii="Calibri" w:hAnsi="Calibri"/>
          <w:color w:val="000000" w:themeColor="text1"/>
          <w:sz w:val="19"/>
          <w:szCs w:val="19"/>
        </w:rPr>
        <w:t>Waxbarashada Dadwaynaha Ku Habboon ee Bilaashka ah (FAPE) ee ka dhacda Goobta Xannibaada Waxbarasho ee Ugu Yar Ka Jirto (LRE)</w:t>
      </w:r>
      <w:r w:rsidRPr="00C407A5">
        <w:rPr>
          <w:sz w:val="19"/>
          <w:szCs w:val="19"/>
        </w:rPr>
        <w:t xml:space="preserve"> iyadoo la cabbirayo boqolleyda d</w:t>
      </w:r>
      <w:r w:rsidRPr="00C407A5">
        <w:rPr>
          <w:color w:val="000000" w:themeColor="text1"/>
          <w:sz w:val="19"/>
          <w:szCs w:val="19"/>
        </w:rPr>
        <w:t xml:space="preserve">egmooyinka farqiga weyn u dhexeeyo heerka ka joojinta iyo ka cayrinta waxbarashada ee ka badan 10 maalmood sannad-dugsiyeedka carruurta heshay IEP-yada (Barnaamijyada Waxbarashada Shakhsiyeed). </w:t>
      </w:r>
      <w:r w:rsidRPr="00C407A5">
        <w:rPr>
          <w:sz w:val="19"/>
          <w:szCs w:val="19"/>
        </w:rPr>
        <w:t xml:space="preserve">Tilmaamaha B4B waxay cabbiraan </w:t>
      </w:r>
      <w:r w:rsidRPr="00C407A5">
        <w:rPr>
          <w:color w:val="000000" w:themeColor="text1"/>
          <w:sz w:val="19"/>
          <w:szCs w:val="19"/>
        </w:rPr>
        <w:t xml:space="preserve">heerarka ka joojinta iyo ka cayrinta waxbarashada isir/qowmiyad ahaan, waa tilmaamaha hoggaansanaanta, wuxuuna u baahan yahay bartilmaameed dhan 0%. </w:t>
      </w:r>
      <w:r w:rsidRPr="00C407A5">
        <w:rPr>
          <w:rFonts w:ascii="Calibri" w:hAnsi="Calibri"/>
          <w:color w:val="000000" w:themeColor="text1"/>
          <w:sz w:val="19"/>
          <w:szCs w:val="19"/>
        </w:rPr>
        <w:t>Tilmaamaha B4 waa tilmaame muhiim u ah xaqsoorka kaasoo qiimeeya heerka ka joojinta/ka cayrinta waxbarashada carruurta naafada ah marka la barbardhigo heerka degmada ee ka joojinta/ka cayrinta waxbarashada carruurta aan naafada ahayn. Wuxuu ka hadlayaa awoodda Oregon u leedahay inay wax u barato carruurta naafada ah iyadoo aan la isticmaalin edbin ka cayrinta waxbarashadata.</w:t>
      </w:r>
    </w:p>
    <w:p w14:paraId="21AABC0C" w14:textId="359082F6" w:rsidR="6CBDC2CC" w:rsidRPr="00C407A5" w:rsidRDefault="00356BE5" w:rsidP="594D45D0">
      <w:pPr>
        <w:pStyle w:val="Heading1"/>
        <w:rPr>
          <w:rFonts w:asciiTheme="minorHAnsi" w:hAnsiTheme="minorHAnsi" w:cstheme="minorBidi"/>
          <w:b/>
          <w:bCs/>
          <w:color w:val="1B75BC"/>
          <w:sz w:val="28"/>
          <w:szCs w:val="28"/>
        </w:rPr>
      </w:pPr>
      <w:r w:rsidRPr="00C407A5">
        <w:rPr>
          <w:rFonts w:asciiTheme="minorHAnsi" w:hAnsiTheme="minorHAnsi"/>
          <w:b/>
          <w:bCs/>
          <w:color w:val="1B75BC"/>
          <w:sz w:val="28"/>
          <w:szCs w:val="28"/>
        </w:rPr>
        <w:t>Waa maxay xigashada xogta ee Tilmaamaha 4?</w:t>
      </w:r>
    </w:p>
    <w:p w14:paraId="547500C5" w14:textId="083F6790" w:rsidR="0D0A4BA7" w:rsidRPr="00C407A5" w:rsidRDefault="5216D46F" w:rsidP="1B7C5E0B">
      <w:pPr>
        <w:rPr>
          <w:rFonts w:eastAsiaTheme="minorEastAsia"/>
          <w:color w:val="000000" w:themeColor="text1"/>
          <w:sz w:val="19"/>
          <w:szCs w:val="19"/>
        </w:rPr>
      </w:pPr>
      <w:r w:rsidRPr="00C407A5">
        <w:rPr>
          <w:color w:val="000000" w:themeColor="text1"/>
          <w:sz w:val="19"/>
          <w:szCs w:val="19"/>
        </w:rPr>
        <w:t>Tilmaamaha B4 (B4A iyo B4B labaduba) waxay adeegsadaan xogta edbinta ee Gobolka, oo ay ku jirto falanqaynta Gobolka ee xogta Edbinta ee Gobolka ee lagu soo uruuriyay Qeybta IDEA 618. Farqiga ayaa la xisaabin karaa iyadoo la isbarbardhigayo heerarka ka joojinta iyo ka cayrinta waxbarashada carruurta heshay Barnaamijyada Waxbarashada Shaqsiyeed (IEPs) ilaa heerarka carruurta aan naafada ahayn ee ku waxbarta Goobta Xannibaada Waxbarasho ee Ugu Yar Ka Jirto (LEA) iyo heerarka ka joojinta iyo ka cayrinta waxbarashada carruurta heshay Barnaamijyada Waxbarashada Shaqsiyeed (IEPs) ee ku waxbarta Goobaha Xannibaada Waxbarasho ee Ugu Yar Ka Jirto (LEAs) ee ku dhex yaala gudaha Gobolka. Gudaha Oregon, xogtan waxaa la xisaabiyaa iyadoo la isbarbardhigayo heerarka ka joojinta iyo ka cayrinta carruurta heshay Barnaamijyada Waxbarashada Shaqsiyeed (IEPs) iyo heerarka carruurta aan naafada ahayn ee ku waxbarta Goobta Xannibaada Waxbarasho ee Ugu Yar Ka Jirto (LEA).</w:t>
      </w:r>
    </w:p>
    <w:p w14:paraId="397FDAF9" w14:textId="632789CB" w:rsidR="001010B9" w:rsidRPr="00C407A5" w:rsidRDefault="001010B9" w:rsidP="001010B9">
      <w:pPr>
        <w:pStyle w:val="Heading1"/>
        <w:rPr>
          <w:rFonts w:asciiTheme="minorHAnsi" w:hAnsiTheme="minorHAnsi" w:cstheme="minorBidi"/>
          <w:b/>
          <w:bCs/>
          <w:color w:val="1B75BC"/>
          <w:sz w:val="28"/>
          <w:szCs w:val="28"/>
        </w:rPr>
      </w:pPr>
      <w:r w:rsidRPr="00C407A5">
        <w:rPr>
          <w:rFonts w:asciiTheme="minorHAnsi" w:hAnsiTheme="minorHAnsi"/>
          <w:b/>
          <w:bCs/>
          <w:color w:val="1B75BC"/>
          <w:sz w:val="28"/>
          <w:szCs w:val="28"/>
        </w:rPr>
        <w:t>Ma loo baahan yahay gundhiga in loo sameeyo ama dib loogu sameeyo tilmaamahan?</w:t>
      </w:r>
    </w:p>
    <w:p w14:paraId="26E510EF" w14:textId="745C734E" w:rsidR="001010B9" w:rsidRDefault="00D762C9" w:rsidP="003931A2">
      <w:pPr>
        <w:rPr>
          <w:sz w:val="19"/>
          <w:szCs w:val="19"/>
        </w:rPr>
      </w:pPr>
      <w:r w:rsidRPr="00C407A5">
        <w:rPr>
          <w:sz w:val="19"/>
          <w:szCs w:val="19"/>
        </w:rPr>
        <w:t>Haa, ODE waxay soojeedinaysaa isticmaalida xogta ugu dambaysay ee la heli karo (62.00%, gudaha 2019) iyadoo gundhig cusub u ah tilmaamahan loogu talagalay Qorshaha Waxqabadka Gobolka ee Sannad Maaliyadeedka Dawladda Dhexe (FFY) 2020-2025.</w:t>
      </w:r>
    </w:p>
    <w:p w14:paraId="19C06AF4" w14:textId="05D3D09C" w:rsidR="00010CE0" w:rsidRPr="00010CE0" w:rsidRDefault="00010CE0" w:rsidP="00010CE0">
      <w:pPr>
        <w:rPr>
          <w:sz w:val="19"/>
          <w:szCs w:val="19"/>
        </w:rPr>
      </w:pPr>
    </w:p>
    <w:p w14:paraId="29F6AC77" w14:textId="7743291E" w:rsidR="00010CE0" w:rsidRPr="00010CE0" w:rsidRDefault="00010CE0" w:rsidP="00010CE0">
      <w:pPr>
        <w:tabs>
          <w:tab w:val="left" w:pos="3969"/>
        </w:tabs>
        <w:rPr>
          <w:sz w:val="19"/>
          <w:szCs w:val="19"/>
        </w:rPr>
      </w:pPr>
      <w:r>
        <w:rPr>
          <w:sz w:val="19"/>
          <w:szCs w:val="19"/>
        </w:rPr>
        <w:tab/>
      </w:r>
    </w:p>
    <w:p w14:paraId="0A61ADA5" w14:textId="616C03DB" w:rsidR="00C06C4E" w:rsidRPr="00C407A5" w:rsidRDefault="137D2887" w:rsidP="0E16BC08">
      <w:pPr>
        <w:pStyle w:val="Heading1"/>
        <w:spacing w:after="120"/>
        <w:rPr>
          <w:rFonts w:asciiTheme="minorHAnsi" w:hAnsiTheme="minorHAnsi" w:cstheme="minorBidi"/>
          <w:b/>
          <w:bCs/>
          <w:color w:val="1B75BC"/>
          <w:sz w:val="28"/>
          <w:szCs w:val="28"/>
        </w:rPr>
      </w:pPr>
      <w:r w:rsidRPr="00C407A5">
        <w:rPr>
          <w:rFonts w:asciiTheme="minorHAnsi" w:hAnsiTheme="minorHAnsi"/>
          <w:b/>
          <w:bCs/>
          <w:color w:val="1B75BC"/>
          <w:sz w:val="28"/>
          <w:szCs w:val="28"/>
        </w:rPr>
        <w:lastRenderedPageBreak/>
        <w:t>Sidee gobolka Oregon wax u qabtay muddo kadib</w:t>
      </w:r>
      <w:bookmarkStart w:id="0" w:name="_GoBack"/>
      <w:bookmarkEnd w:id="0"/>
      <w:r w:rsidRPr="00C407A5">
        <w:rPr>
          <w:rFonts w:asciiTheme="minorHAnsi" w:hAnsiTheme="minorHAnsi"/>
          <w:b/>
          <w:bCs/>
          <w:color w:val="1B75BC"/>
          <w:sz w:val="28"/>
          <w:szCs w:val="28"/>
        </w:rPr>
        <w:t>?</w:t>
      </w:r>
    </w:p>
    <w:p w14:paraId="206EE662" w14:textId="7B1CBA5C" w:rsidR="00D762C9" w:rsidRPr="00C407A5" w:rsidRDefault="00DE49CF" w:rsidP="005A7631">
      <w:pPr>
        <w:jc w:val="center"/>
        <w:rPr>
          <w:rFonts w:ascii="Arial" w:eastAsia="Arial" w:hAnsi="Arial" w:cs="Arial"/>
          <w:b/>
          <w:bCs/>
          <w:color w:val="000000" w:themeColor="text1"/>
          <w:sz w:val="19"/>
          <w:szCs w:val="19"/>
        </w:rPr>
      </w:pPr>
      <w:r w:rsidRPr="00C407A5">
        <w:rPr>
          <w:noProof/>
          <w:sz w:val="19"/>
          <w:szCs w:val="19"/>
          <w:lang w:val="en-US"/>
        </w:rPr>
        <mc:AlternateContent>
          <mc:Choice Requires="wps">
            <w:drawing>
              <wp:anchor distT="0" distB="0" distL="114300" distR="114300" simplePos="0" relativeHeight="251661312" behindDoc="0" locked="0" layoutInCell="1" allowOverlap="1" wp14:anchorId="41CC8100" wp14:editId="79DE6768">
                <wp:simplePos x="0" y="0"/>
                <wp:positionH relativeFrom="column">
                  <wp:posOffset>1154707</wp:posOffset>
                </wp:positionH>
                <wp:positionV relativeFrom="paragraph">
                  <wp:posOffset>818127</wp:posOffset>
                </wp:positionV>
                <wp:extent cx="1338470" cy="733287"/>
                <wp:effectExtent l="0" t="0" r="14605" b="10160"/>
                <wp:wrapNone/>
                <wp:docPr id="5" name="Rectangle 4"/>
                <wp:cNvGraphicFramePr/>
                <a:graphic xmlns:a="http://schemas.openxmlformats.org/drawingml/2006/main">
                  <a:graphicData uri="http://schemas.microsoft.com/office/word/2010/wordprocessingShape">
                    <wps:wsp>
                      <wps:cNvSpPr/>
                      <wps:spPr>
                        <a:xfrm>
                          <a:off x="0" y="0"/>
                          <a:ext cx="1338470" cy="7332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0BF4B7" w14:textId="77777777" w:rsidR="00800630" w:rsidRPr="00C407A5" w:rsidRDefault="00800630" w:rsidP="00800630">
                            <w:pPr>
                              <w:pStyle w:val="NormalWeb"/>
                              <w:spacing w:before="0" w:beforeAutospacing="0" w:after="0" w:afterAutospacing="0"/>
                              <w:jc w:val="center"/>
                              <w:rPr>
                                <w:sz w:val="16"/>
                                <w:szCs w:val="16"/>
                              </w:rPr>
                            </w:pPr>
                            <w:r w:rsidRPr="00C407A5">
                              <w:rPr>
                                <w:rFonts w:asciiTheme="minorHAnsi" w:hAnsi="Calibri"/>
                                <w:color w:val="FFFFFF" w:themeColor="light1"/>
                                <w:sz w:val="16"/>
                                <w:szCs w:val="16"/>
                              </w:rPr>
                              <w:t>Boqolleydaan waxaa la xisaabiyay iyadoo la isticmaalayo degmooyinka oo dhan iyadoo la eegayn cabbirka-n.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CC8100" id="Rectangle 4" o:spid="_x0000_s1026" style="position:absolute;left:0;text-align:left;margin-left:90.9pt;margin-top:64.4pt;width:105.4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" fillcolor="#4472c4 [3204]" strokecolor="#1f3763 [1604]" strokeweight="1pt">
                <v:textbox>
                  <w:txbxContent>
                    <w:p w14:paraId="2D0BF4B7" w14:textId="77777777" w:rsidR="00800630" w:rsidRPr="00C407A5" w:rsidRDefault="00800630" w:rsidP="00800630">
                      <w:pPr>
                        <w:pStyle w:val="NormalWeb"/>
                        <w:spacing w:before="0" w:beforeAutospacing="0" w:after="0" w:afterAutospacing="0"/>
                        <w:jc w:val="center"/>
                        <w:rPr>
                          <w:sz w:val="16"/>
                          <w:szCs w:val="16"/>
                        </w:rPr>
                      </w:pPr>
                      <w:r w:rsidRPr="00C407A5">
                        <w:rPr>
                          <w:rFonts w:asciiTheme="minorHAnsi" w:hAnsi="Calibri"/>
                          <w:color w:val="FFFFFF" w:themeColor="light1"/>
                          <w:sz w:val="16"/>
                          <w:szCs w:val="16"/>
                        </w:rPr>
                        <w:t>Boqolleydaan waxaa la xisaabiyay iyadoo la isticmaalayo degmooyinka oo dhan iyadoo la eegayn cabbirka-n.</w:t>
                      </w:r>
                    </w:p>
                  </w:txbxContent>
                </v:textbox>
              </v:rect>
            </w:pict>
          </mc:Fallback>
        </mc:AlternateContent>
      </w:r>
      <w:r w:rsidRPr="00C407A5">
        <w:rPr>
          <w:rFonts w:ascii="Arial" w:hAnsi="Arial"/>
          <w:b/>
          <w:bCs/>
          <w:noProof/>
          <w:color w:val="000000" w:themeColor="text1"/>
          <w:sz w:val="19"/>
          <w:szCs w:val="19"/>
          <w:lang w:val="en-US"/>
        </w:rPr>
        <mc:AlternateContent>
          <mc:Choice Requires="wps">
            <w:drawing>
              <wp:anchor distT="0" distB="0" distL="114300" distR="114300" simplePos="0" relativeHeight="251659264" behindDoc="0" locked="0" layoutInCell="1" allowOverlap="1" wp14:anchorId="51424591" wp14:editId="26862874">
                <wp:simplePos x="0" y="0"/>
                <wp:positionH relativeFrom="column">
                  <wp:posOffset>2784580</wp:posOffset>
                </wp:positionH>
                <wp:positionV relativeFrom="paragraph">
                  <wp:posOffset>470535</wp:posOffset>
                </wp:positionV>
                <wp:extent cx="0" cy="2322195"/>
                <wp:effectExtent l="0" t="0" r="19050" b="20955"/>
                <wp:wrapNone/>
                <wp:docPr id="3" name="Straight Connector 3" descr="This is a vertical line on top of the graph showing Oregon's statewide targets and actual data for Indicator B4A. The line sits in a gap in the data between 2015 and 2016, representing a change in the baseline data Oregon uses for indicator B4A." title="Phase Change Line"/>
                <wp:cNvGraphicFramePr/>
                <a:graphic xmlns:a="http://schemas.openxmlformats.org/drawingml/2006/main">
                  <a:graphicData uri="http://schemas.microsoft.com/office/word/2010/wordprocessingShape">
                    <wps:wsp>
                      <wps:cNvCnPr/>
                      <wps:spPr>
                        <a:xfrm>
                          <a:off x="0" y="0"/>
                          <a:ext cx="0" cy="2322195"/>
                        </a:xfrm>
                        <a:prstGeom prst="line">
                          <a:avLst/>
                        </a:prstGeom>
                        <a:ln w="19050" cap="flat" cmpd="sng" algn="ctr">
                          <a:solidFill>
                            <a:srgbClr val="1B75BC"/>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Title: Phase Change Line - Description: This is a vertical line on top of the graph showing Oregon's statewide targets and actual data for Indicator B4A. The line sits in a gap in the data between 2015 and 2016, representing a change in the baseline data Oregon uses for indicator B4A." o:spid="_x0000_s1026" strokecolor="#1b75bc" strokeweight="1.5pt" from="219.25pt,37.05pt" to="219.25pt,219.9pt" w14:anchorId="27515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"/>
            </w:pict>
          </mc:Fallback>
        </mc:AlternateContent>
      </w:r>
      <w:r w:rsidRPr="00C407A5">
        <w:rPr>
          <w:noProof/>
          <w:sz w:val="19"/>
          <w:szCs w:val="19"/>
          <w:lang w:val="en-US"/>
        </w:rPr>
        <mc:AlternateContent>
          <mc:Choice Requires="wps">
            <w:drawing>
              <wp:anchor distT="0" distB="0" distL="114300" distR="114300" simplePos="0" relativeHeight="251663360" behindDoc="0" locked="0" layoutInCell="1" allowOverlap="1" wp14:anchorId="5266A3E6" wp14:editId="18265602">
                <wp:simplePos x="0" y="0"/>
                <wp:positionH relativeFrom="column">
                  <wp:posOffset>3486746</wp:posOffset>
                </wp:positionH>
                <wp:positionV relativeFrom="paragraph">
                  <wp:posOffset>1818332</wp:posOffset>
                </wp:positionV>
                <wp:extent cx="1470792" cy="819150"/>
                <wp:effectExtent l="0" t="0" r="15240" b="19050"/>
                <wp:wrapNone/>
                <wp:docPr id="6" name="Rectangle 5"/>
                <wp:cNvGraphicFramePr/>
                <a:graphic xmlns:a="http://schemas.openxmlformats.org/drawingml/2006/main">
                  <a:graphicData uri="http://schemas.microsoft.com/office/word/2010/wordprocessingShape">
                    <wps:wsp>
                      <wps:cNvSpPr/>
                      <wps:spPr>
                        <a:xfrm>
                          <a:off x="0" y="0"/>
                          <a:ext cx="1470792" cy="819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8C6622" w14:textId="77777777" w:rsidR="00800630" w:rsidRPr="00C407A5" w:rsidRDefault="00800630" w:rsidP="00800630">
                            <w:pPr>
                              <w:pStyle w:val="NormalWeb"/>
                              <w:spacing w:before="0" w:beforeAutospacing="0" w:after="0" w:afterAutospacing="0"/>
                              <w:jc w:val="center"/>
                              <w:rPr>
                                <w:sz w:val="20"/>
                                <w:szCs w:val="20"/>
                              </w:rPr>
                            </w:pPr>
                            <w:r w:rsidRPr="00C407A5">
                              <w:rPr>
                                <w:rFonts w:asciiTheme="minorHAnsi" w:hAnsi="Calibri"/>
                                <w:color w:val="FFFFFF" w:themeColor="light1"/>
                                <w:sz w:val="20"/>
                                <w:szCs w:val="20"/>
                              </w:rPr>
                              <w:t>Gudaha sannadkii 2016, ODE waxay dejisay gundhig cusub oo lagu xisaabinayo cabbirka-n.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66A3E6" id="Rectangle 5" o:spid="_x0000_s1027" style="position:absolute;left:0;text-align:left;margin-left:274.55pt;margin-top:143.2pt;width:115.8pt;height:6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" fillcolor="#4472c4 [3204]" strokecolor="#1f3763 [1604]" strokeweight="1pt">
                <v:textbox>
                  <w:txbxContent>
                    <w:p w14:paraId="398C6622" w14:textId="77777777" w:rsidR="00800630" w:rsidRPr="00C407A5" w:rsidRDefault="00800630" w:rsidP="00800630">
                      <w:pPr>
                        <w:pStyle w:val="NormalWeb"/>
                        <w:spacing w:before="0" w:beforeAutospacing="0" w:after="0" w:afterAutospacing="0"/>
                        <w:jc w:val="center"/>
                        <w:rPr>
                          <w:sz w:val="20"/>
                          <w:szCs w:val="20"/>
                        </w:rPr>
                      </w:pPr>
                      <w:r w:rsidRPr="00C407A5">
                        <w:rPr>
                          <w:rFonts w:asciiTheme="minorHAnsi" w:hAnsi="Calibri"/>
                          <w:color w:val="FFFFFF" w:themeColor="light1"/>
                          <w:sz w:val="20"/>
                          <w:szCs w:val="20"/>
                        </w:rPr>
                        <w:t xml:space="preserve">Gudaha </w:t>
                      </w:r>
                      <w:r w:rsidRPr="00C407A5">
                        <w:rPr>
                          <w:rFonts w:asciiTheme="minorHAnsi" w:hAnsi="Calibri"/>
                          <w:color w:val="FFFFFF" w:themeColor="light1"/>
                          <w:sz w:val="20"/>
                          <w:szCs w:val="20"/>
                        </w:rPr>
                        <w:t>sannadkii 2016, ODE waxay dejisay gundhig cusub oo lagu xisaabinayo cabbirka-n.</w:t>
                      </w:r>
                    </w:p>
                  </w:txbxContent>
                </v:textbox>
              </v:rect>
            </w:pict>
          </mc:Fallback>
        </mc:AlternateContent>
      </w:r>
      <w:r w:rsidRPr="00C407A5">
        <w:rPr>
          <w:noProof/>
          <w:sz w:val="19"/>
          <w:szCs w:val="19"/>
          <w:lang w:val="en-US"/>
        </w:rPr>
        <w:drawing>
          <wp:inline distT="0" distB="0" distL="0" distR="0" wp14:anchorId="17E698DF" wp14:editId="69FCA9AD">
            <wp:extent cx="5315357" cy="3383280"/>
            <wp:effectExtent l="0" t="0" r="0" b="7620"/>
            <wp:docPr id="1" name="Chart 1" descr="This chart shows Oregon's targets and actual statewide data from 2014 - 2019.  There is a gap between 2015 and 2016, with a vertical line to represent two different phases of data. The data on the right side of the line uses the current SPP baseline for Indicator B4B, which was established in 2016." title="Oregon's Indicator B4A (Suspension/Expulsion) 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TableGrid"/>
        <w:tblW w:w="5000" w:type="pct"/>
        <w:jc w:val="center"/>
        <w:tblLook w:val="04A0" w:firstRow="1" w:lastRow="0" w:firstColumn="1" w:lastColumn="0" w:noHBand="0" w:noVBand="1"/>
        <w:tblCaption w:val="Oregon's Indicator B4B Data"/>
        <w:tblDescription w:val="This table shows the statewide targets and actual data for Oregon for Indicator B4B."/>
      </w:tblPr>
      <w:tblGrid>
        <w:gridCol w:w="2320"/>
        <w:gridCol w:w="1313"/>
        <w:gridCol w:w="1071"/>
        <w:gridCol w:w="942"/>
        <w:gridCol w:w="1070"/>
        <w:gridCol w:w="1070"/>
        <w:gridCol w:w="1070"/>
        <w:gridCol w:w="1070"/>
      </w:tblGrid>
      <w:tr w:rsidR="005A7631" w:rsidRPr="00C407A5" w14:paraId="70744F58" w14:textId="77777777" w:rsidTr="00350362">
        <w:trPr>
          <w:tblHeader/>
          <w:jc w:val="center"/>
        </w:trPr>
        <w:tc>
          <w:tcPr>
            <w:tcW w:w="1168" w:type="pct"/>
          </w:tcPr>
          <w:p w14:paraId="1F0AF2BE" w14:textId="77777777" w:rsidR="005A7631" w:rsidRPr="00C407A5" w:rsidRDefault="005A7631" w:rsidP="00137C0D">
            <w:pPr>
              <w:jc w:val="center"/>
              <w:rPr>
                <w:b/>
                <w:sz w:val="18"/>
                <w:szCs w:val="18"/>
              </w:rPr>
            </w:pPr>
            <w:r w:rsidRPr="00C407A5">
              <w:rPr>
                <w:b/>
                <w:sz w:val="18"/>
                <w:szCs w:val="18"/>
              </w:rPr>
              <w:t>FFY</w:t>
            </w:r>
          </w:p>
        </w:tc>
        <w:tc>
          <w:tcPr>
            <w:tcW w:w="661" w:type="pct"/>
          </w:tcPr>
          <w:p w14:paraId="020F2BDC" w14:textId="7C00AFA8" w:rsidR="005A7631" w:rsidRPr="00C407A5" w:rsidRDefault="005A7631" w:rsidP="00137C0D">
            <w:pPr>
              <w:jc w:val="center"/>
              <w:rPr>
                <w:b/>
                <w:bCs/>
                <w:sz w:val="18"/>
                <w:szCs w:val="18"/>
              </w:rPr>
            </w:pPr>
            <w:r w:rsidRPr="00C407A5">
              <w:rPr>
                <w:b/>
                <w:bCs/>
                <w:sz w:val="18"/>
                <w:szCs w:val="18"/>
              </w:rPr>
              <w:t>2016</w:t>
            </w:r>
          </w:p>
        </w:tc>
        <w:tc>
          <w:tcPr>
            <w:tcW w:w="539" w:type="pct"/>
            <w:tcBorders>
              <w:right w:val="single" w:sz="4" w:space="0" w:color="auto"/>
            </w:tcBorders>
            <w:shd w:val="clear" w:color="auto" w:fill="auto"/>
          </w:tcPr>
          <w:p w14:paraId="1B123951" w14:textId="77777777" w:rsidR="005A7631" w:rsidRPr="00C407A5" w:rsidRDefault="005A7631" w:rsidP="00137C0D">
            <w:pPr>
              <w:jc w:val="center"/>
              <w:rPr>
                <w:b/>
                <w:sz w:val="18"/>
                <w:szCs w:val="18"/>
              </w:rPr>
            </w:pPr>
            <w:r w:rsidRPr="00C407A5">
              <w:rPr>
                <w:b/>
                <w:sz w:val="18"/>
                <w:szCs w:val="18"/>
              </w:rPr>
              <w:t>2014</w:t>
            </w:r>
          </w:p>
        </w:tc>
        <w:tc>
          <w:tcPr>
            <w:tcW w:w="474" w:type="pct"/>
            <w:tcBorders>
              <w:top w:val="single" w:sz="4" w:space="0" w:color="auto"/>
              <w:left w:val="single" w:sz="4" w:space="0" w:color="auto"/>
              <w:bottom w:val="single" w:sz="4" w:space="0" w:color="auto"/>
              <w:right w:val="single" w:sz="18" w:space="0" w:color="1B75BC"/>
            </w:tcBorders>
            <w:shd w:val="clear" w:color="auto" w:fill="auto"/>
          </w:tcPr>
          <w:p w14:paraId="252D9A38" w14:textId="77777777" w:rsidR="005A7631" w:rsidRPr="00C407A5" w:rsidRDefault="005A7631" w:rsidP="00137C0D">
            <w:pPr>
              <w:jc w:val="center"/>
              <w:rPr>
                <w:b/>
                <w:sz w:val="18"/>
                <w:szCs w:val="18"/>
              </w:rPr>
            </w:pPr>
            <w:r w:rsidRPr="00C407A5">
              <w:rPr>
                <w:b/>
                <w:sz w:val="18"/>
                <w:szCs w:val="18"/>
              </w:rPr>
              <w:t>2015</w:t>
            </w:r>
          </w:p>
        </w:tc>
        <w:tc>
          <w:tcPr>
            <w:tcW w:w="539" w:type="pct"/>
            <w:tcBorders>
              <w:top w:val="single" w:sz="4" w:space="0" w:color="auto"/>
              <w:left w:val="single" w:sz="18" w:space="0" w:color="1B75BC"/>
              <w:bottom w:val="single" w:sz="4" w:space="0" w:color="auto"/>
              <w:right w:val="single" w:sz="4" w:space="0" w:color="auto"/>
            </w:tcBorders>
          </w:tcPr>
          <w:p w14:paraId="61820CE4" w14:textId="77777777" w:rsidR="005A7631" w:rsidRPr="00C407A5" w:rsidRDefault="005A7631" w:rsidP="00137C0D">
            <w:pPr>
              <w:jc w:val="center"/>
              <w:rPr>
                <w:b/>
                <w:sz w:val="18"/>
                <w:szCs w:val="18"/>
              </w:rPr>
            </w:pPr>
            <w:r w:rsidRPr="00C407A5">
              <w:rPr>
                <w:b/>
                <w:sz w:val="18"/>
                <w:szCs w:val="18"/>
              </w:rPr>
              <w:t>2016</w:t>
            </w:r>
          </w:p>
        </w:tc>
        <w:tc>
          <w:tcPr>
            <w:tcW w:w="539" w:type="pct"/>
            <w:tcBorders>
              <w:left w:val="single" w:sz="4" w:space="0" w:color="auto"/>
            </w:tcBorders>
          </w:tcPr>
          <w:p w14:paraId="553569A8" w14:textId="77777777" w:rsidR="005A7631" w:rsidRPr="00C407A5" w:rsidRDefault="005A7631" w:rsidP="00137C0D">
            <w:pPr>
              <w:jc w:val="center"/>
              <w:rPr>
                <w:b/>
                <w:sz w:val="18"/>
                <w:szCs w:val="18"/>
              </w:rPr>
            </w:pPr>
            <w:r w:rsidRPr="00C407A5">
              <w:rPr>
                <w:b/>
                <w:sz w:val="18"/>
                <w:szCs w:val="18"/>
              </w:rPr>
              <w:t>2017</w:t>
            </w:r>
          </w:p>
        </w:tc>
        <w:tc>
          <w:tcPr>
            <w:tcW w:w="539" w:type="pct"/>
          </w:tcPr>
          <w:p w14:paraId="7D234245" w14:textId="77777777" w:rsidR="005A7631" w:rsidRPr="00C407A5" w:rsidRDefault="005A7631" w:rsidP="00137C0D">
            <w:pPr>
              <w:jc w:val="center"/>
              <w:rPr>
                <w:b/>
                <w:sz w:val="18"/>
                <w:szCs w:val="18"/>
              </w:rPr>
            </w:pPr>
            <w:r w:rsidRPr="00C407A5">
              <w:rPr>
                <w:b/>
                <w:sz w:val="18"/>
                <w:szCs w:val="18"/>
              </w:rPr>
              <w:t>2018</w:t>
            </w:r>
          </w:p>
        </w:tc>
        <w:tc>
          <w:tcPr>
            <w:tcW w:w="539" w:type="pct"/>
          </w:tcPr>
          <w:p w14:paraId="4CB25504" w14:textId="77777777" w:rsidR="005A7631" w:rsidRPr="00C407A5" w:rsidRDefault="005A7631" w:rsidP="00137C0D">
            <w:pPr>
              <w:jc w:val="center"/>
              <w:rPr>
                <w:b/>
                <w:bCs/>
                <w:sz w:val="18"/>
                <w:szCs w:val="18"/>
              </w:rPr>
            </w:pPr>
            <w:r w:rsidRPr="00C407A5">
              <w:rPr>
                <w:b/>
                <w:bCs/>
                <w:sz w:val="18"/>
                <w:szCs w:val="18"/>
              </w:rPr>
              <w:t>2019</w:t>
            </w:r>
          </w:p>
        </w:tc>
      </w:tr>
      <w:tr w:rsidR="005A7631" w:rsidRPr="00C407A5" w14:paraId="0592D3BD" w14:textId="77777777" w:rsidTr="00350362">
        <w:trPr>
          <w:jc w:val="center"/>
        </w:trPr>
        <w:tc>
          <w:tcPr>
            <w:tcW w:w="1168" w:type="pct"/>
          </w:tcPr>
          <w:p w14:paraId="3914DB74" w14:textId="0825AA61" w:rsidR="005A7631" w:rsidRPr="00C407A5" w:rsidRDefault="005A7631" w:rsidP="005A7631">
            <w:pPr>
              <w:rPr>
                <w:sz w:val="18"/>
                <w:szCs w:val="18"/>
              </w:rPr>
            </w:pPr>
            <w:r w:rsidRPr="00C407A5">
              <w:rPr>
                <w:sz w:val="18"/>
                <w:szCs w:val="18"/>
              </w:rPr>
              <w:t>Bartilmaameedka ≤</w:t>
            </w:r>
          </w:p>
        </w:tc>
        <w:tc>
          <w:tcPr>
            <w:tcW w:w="661" w:type="pct"/>
          </w:tcPr>
          <w:p w14:paraId="7033CDF9" w14:textId="77777777" w:rsidR="005A7631" w:rsidRPr="00C407A5" w:rsidRDefault="005A7631" w:rsidP="005A7631">
            <w:pPr>
              <w:jc w:val="center"/>
              <w:rPr>
                <w:i/>
                <w:sz w:val="18"/>
                <w:szCs w:val="18"/>
              </w:rPr>
            </w:pPr>
            <w:r w:rsidRPr="00C407A5">
              <w:rPr>
                <w:i/>
                <w:sz w:val="18"/>
                <w:szCs w:val="18"/>
              </w:rPr>
              <w:t>Gundhiga</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0E71CBB0" w14:textId="2D5498D5" w:rsidR="005A7631" w:rsidRPr="00C407A5" w:rsidRDefault="005A7631" w:rsidP="005A7631">
            <w:pPr>
              <w:jc w:val="center"/>
              <w:rPr>
                <w:sz w:val="18"/>
                <w:szCs w:val="18"/>
              </w:rPr>
            </w:pPr>
            <w:r w:rsidRPr="00C407A5">
              <w:rPr>
                <w:sz w:val="18"/>
                <w:szCs w:val="18"/>
              </w:rPr>
              <w:t>7.20%</w:t>
            </w:r>
          </w:p>
        </w:tc>
        <w:tc>
          <w:tcPr>
            <w:tcW w:w="474" w:type="pct"/>
            <w:tcBorders>
              <w:top w:val="single" w:sz="4" w:space="0" w:color="auto"/>
              <w:left w:val="single" w:sz="4" w:space="0" w:color="auto"/>
              <w:bottom w:val="single" w:sz="4" w:space="0" w:color="auto"/>
              <w:right w:val="single" w:sz="18" w:space="0" w:color="1B75BC"/>
            </w:tcBorders>
            <w:shd w:val="clear" w:color="auto" w:fill="auto"/>
          </w:tcPr>
          <w:p w14:paraId="3E9FC6BA" w14:textId="2177F547" w:rsidR="005A7631" w:rsidRPr="00C407A5" w:rsidRDefault="005A7631" w:rsidP="005A7631">
            <w:pPr>
              <w:jc w:val="center"/>
              <w:rPr>
                <w:sz w:val="18"/>
                <w:szCs w:val="18"/>
              </w:rPr>
            </w:pPr>
            <w:r w:rsidRPr="00C407A5">
              <w:rPr>
                <w:sz w:val="18"/>
                <w:szCs w:val="18"/>
              </w:rPr>
              <w:t>6.70%</w:t>
            </w:r>
          </w:p>
        </w:tc>
        <w:tc>
          <w:tcPr>
            <w:tcW w:w="539" w:type="pct"/>
            <w:tcBorders>
              <w:top w:val="single" w:sz="4" w:space="0" w:color="auto"/>
              <w:left w:val="single" w:sz="18" w:space="0" w:color="1B75BC"/>
              <w:bottom w:val="single" w:sz="4" w:space="0" w:color="auto"/>
              <w:right w:val="single" w:sz="4" w:space="0" w:color="auto"/>
            </w:tcBorders>
            <w:shd w:val="clear" w:color="auto" w:fill="auto"/>
          </w:tcPr>
          <w:p w14:paraId="1297925C" w14:textId="12096CBA" w:rsidR="005A7631" w:rsidRPr="00C407A5" w:rsidRDefault="005A7631" w:rsidP="005A7631">
            <w:pPr>
              <w:jc w:val="center"/>
              <w:rPr>
                <w:sz w:val="18"/>
                <w:szCs w:val="18"/>
              </w:rPr>
            </w:pPr>
            <w:r w:rsidRPr="00C407A5">
              <w:rPr>
                <w:sz w:val="18"/>
                <w:szCs w:val="18"/>
              </w:rPr>
              <w:t>68.65%</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5BD67D28" w14:textId="0E9CDD70" w:rsidR="005A7631" w:rsidRPr="00C407A5" w:rsidRDefault="005A7631" w:rsidP="005A7631">
            <w:pPr>
              <w:jc w:val="center"/>
              <w:rPr>
                <w:sz w:val="18"/>
                <w:szCs w:val="18"/>
              </w:rPr>
            </w:pPr>
            <w:r w:rsidRPr="00C407A5">
              <w:rPr>
                <w:sz w:val="18"/>
                <w:szCs w:val="18"/>
              </w:rPr>
              <w:t>68.15%</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4E8C480A" w14:textId="32E7B834" w:rsidR="005A7631" w:rsidRPr="00C407A5" w:rsidRDefault="005A7631" w:rsidP="005A7631">
            <w:pPr>
              <w:jc w:val="center"/>
              <w:rPr>
                <w:sz w:val="18"/>
                <w:szCs w:val="18"/>
              </w:rPr>
            </w:pPr>
            <w:r w:rsidRPr="00C407A5">
              <w:rPr>
                <w:sz w:val="18"/>
                <w:szCs w:val="18"/>
              </w:rPr>
              <w:t>67.65%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6B47FAC" w14:textId="23C29C89" w:rsidR="005A7631" w:rsidRPr="00C407A5" w:rsidRDefault="005A7631" w:rsidP="005A7631">
            <w:pPr>
              <w:jc w:val="center"/>
              <w:rPr>
                <w:sz w:val="18"/>
                <w:szCs w:val="18"/>
              </w:rPr>
            </w:pPr>
            <w:r w:rsidRPr="00C407A5">
              <w:rPr>
                <w:sz w:val="18"/>
                <w:szCs w:val="18"/>
              </w:rPr>
              <w:t>62.00%</w:t>
            </w:r>
          </w:p>
        </w:tc>
      </w:tr>
      <w:tr w:rsidR="005A7631" w:rsidRPr="00C407A5" w14:paraId="3C801418" w14:textId="77777777" w:rsidTr="00350362">
        <w:trPr>
          <w:jc w:val="center"/>
        </w:trPr>
        <w:tc>
          <w:tcPr>
            <w:tcW w:w="1168" w:type="pct"/>
          </w:tcPr>
          <w:p w14:paraId="6CD19CA6" w14:textId="77777777" w:rsidR="005A7631" w:rsidRPr="00C407A5" w:rsidRDefault="005A7631" w:rsidP="005A7631">
            <w:pPr>
              <w:rPr>
                <w:sz w:val="18"/>
                <w:szCs w:val="18"/>
              </w:rPr>
            </w:pPr>
            <w:r w:rsidRPr="00C407A5">
              <w:rPr>
                <w:sz w:val="18"/>
                <w:szCs w:val="18"/>
              </w:rPr>
              <w:t>Xogta</w:t>
            </w:r>
          </w:p>
        </w:tc>
        <w:tc>
          <w:tcPr>
            <w:tcW w:w="661" w:type="pct"/>
          </w:tcPr>
          <w:p w14:paraId="407385D7" w14:textId="66CEF3D9" w:rsidR="005A7631" w:rsidRPr="00C407A5" w:rsidRDefault="005A7631" w:rsidP="005A7631">
            <w:pPr>
              <w:jc w:val="center"/>
              <w:rPr>
                <w:sz w:val="18"/>
                <w:szCs w:val="18"/>
              </w:rPr>
            </w:pPr>
            <w:r w:rsidRPr="00C407A5">
              <w:rPr>
                <w:sz w:val="18"/>
                <w:szCs w:val="18"/>
              </w:rPr>
              <w:t>62.96%</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2AE2548F" w14:textId="7E92644D" w:rsidR="005A7631" w:rsidRPr="00C407A5" w:rsidRDefault="005A7631" w:rsidP="005A7631">
            <w:pPr>
              <w:jc w:val="center"/>
              <w:rPr>
                <w:sz w:val="18"/>
                <w:szCs w:val="18"/>
              </w:rPr>
            </w:pPr>
            <w:r w:rsidRPr="00C407A5">
              <w:rPr>
                <w:sz w:val="18"/>
                <w:szCs w:val="18"/>
              </w:rPr>
              <w:t>13.71%</w:t>
            </w:r>
          </w:p>
        </w:tc>
        <w:tc>
          <w:tcPr>
            <w:tcW w:w="474" w:type="pct"/>
            <w:tcBorders>
              <w:top w:val="single" w:sz="4" w:space="0" w:color="auto"/>
              <w:left w:val="single" w:sz="4" w:space="0" w:color="auto"/>
              <w:bottom w:val="single" w:sz="4" w:space="0" w:color="auto"/>
              <w:right w:val="single" w:sz="18" w:space="0" w:color="1B75BC"/>
            </w:tcBorders>
            <w:shd w:val="clear" w:color="auto" w:fill="auto"/>
          </w:tcPr>
          <w:p w14:paraId="47D2C86B" w14:textId="511ECDC4" w:rsidR="005A7631" w:rsidRPr="00C407A5" w:rsidRDefault="005A7631" w:rsidP="005A7631">
            <w:pPr>
              <w:jc w:val="center"/>
              <w:rPr>
                <w:sz w:val="18"/>
                <w:szCs w:val="18"/>
              </w:rPr>
            </w:pPr>
            <w:r w:rsidRPr="00C407A5">
              <w:rPr>
                <w:sz w:val="18"/>
                <w:szCs w:val="18"/>
              </w:rPr>
              <w:t>8.63%</w:t>
            </w:r>
          </w:p>
        </w:tc>
        <w:tc>
          <w:tcPr>
            <w:tcW w:w="539" w:type="pct"/>
            <w:tcBorders>
              <w:top w:val="single" w:sz="4" w:space="0" w:color="auto"/>
              <w:left w:val="single" w:sz="18" w:space="0" w:color="1B75BC"/>
              <w:bottom w:val="single" w:sz="4" w:space="0" w:color="auto"/>
              <w:right w:val="single" w:sz="4" w:space="0" w:color="auto"/>
            </w:tcBorders>
            <w:shd w:val="clear" w:color="auto" w:fill="auto"/>
          </w:tcPr>
          <w:p w14:paraId="7C5F7BDF" w14:textId="25C8B258" w:rsidR="005A7631" w:rsidRPr="00C407A5" w:rsidRDefault="005A7631" w:rsidP="005A7631">
            <w:pPr>
              <w:jc w:val="center"/>
              <w:rPr>
                <w:sz w:val="18"/>
                <w:szCs w:val="18"/>
              </w:rPr>
            </w:pPr>
            <w:r w:rsidRPr="00C407A5">
              <w:rPr>
                <w:sz w:val="18"/>
                <w:szCs w:val="18"/>
              </w:rPr>
              <w:t>62.96%</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76201364" w14:textId="1F6EA127" w:rsidR="005A7631" w:rsidRPr="00C407A5" w:rsidRDefault="005A7631" w:rsidP="005A7631">
            <w:pPr>
              <w:jc w:val="center"/>
              <w:rPr>
                <w:sz w:val="18"/>
                <w:szCs w:val="18"/>
              </w:rPr>
            </w:pPr>
            <w:r w:rsidRPr="00C407A5">
              <w:rPr>
                <w:sz w:val="18"/>
                <w:szCs w:val="18"/>
              </w:rPr>
              <w:t>66.67%</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4794ED6C" w14:textId="72291E12" w:rsidR="005A7631" w:rsidRPr="00C407A5" w:rsidRDefault="005A7631" w:rsidP="005A7631">
            <w:pPr>
              <w:jc w:val="center"/>
              <w:rPr>
                <w:sz w:val="18"/>
                <w:szCs w:val="18"/>
              </w:rPr>
            </w:pPr>
            <w:r w:rsidRPr="00C407A5">
              <w:rPr>
                <w:sz w:val="18"/>
                <w:szCs w:val="18"/>
              </w:rPr>
              <w:t>53.13%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7651915" w14:textId="093AEA0A" w:rsidR="005A7631" w:rsidRPr="00C407A5" w:rsidRDefault="005A7631" w:rsidP="005A7631">
            <w:pPr>
              <w:jc w:val="center"/>
              <w:rPr>
                <w:sz w:val="18"/>
                <w:szCs w:val="18"/>
              </w:rPr>
            </w:pPr>
            <w:r w:rsidRPr="00C407A5">
              <w:rPr>
                <w:sz w:val="18"/>
                <w:szCs w:val="18"/>
              </w:rPr>
              <w:t>67.74%</w:t>
            </w:r>
          </w:p>
        </w:tc>
      </w:tr>
    </w:tbl>
    <w:p w14:paraId="57E819B6" w14:textId="01C032CB" w:rsidR="4BBB7754" w:rsidRPr="00C407A5" w:rsidRDefault="4BBB7754" w:rsidP="11458547">
      <w:pPr>
        <w:pStyle w:val="Heading1"/>
        <w:rPr>
          <w:rFonts w:ascii="Calibri" w:eastAsia="Calibri" w:hAnsi="Calibri" w:cs="Calibri"/>
          <w:color w:val="1B75BC"/>
          <w:sz w:val="28"/>
          <w:szCs w:val="28"/>
        </w:rPr>
      </w:pPr>
      <w:r w:rsidRPr="00C407A5">
        <w:rPr>
          <w:rFonts w:ascii="Calibri" w:hAnsi="Calibri"/>
          <w:b/>
          <w:bCs/>
          <w:color w:val="1B75BC"/>
          <w:sz w:val="28"/>
          <w:szCs w:val="28"/>
        </w:rPr>
        <w:t>Maxay yihiin bartilmaameedyada cusub?</w:t>
      </w:r>
    </w:p>
    <w:p w14:paraId="22ADC927" w14:textId="32B5F5D1" w:rsidR="4BBB7754" w:rsidRPr="00C407A5" w:rsidRDefault="4BBB7754" w:rsidP="00F14F43">
      <w:pPr>
        <w:spacing w:after="0"/>
        <w:rPr>
          <w:rFonts w:ascii="Calibri" w:eastAsia="Calibri" w:hAnsi="Calibri" w:cs="Calibri"/>
          <w:color w:val="000000" w:themeColor="text1"/>
          <w:sz w:val="19"/>
          <w:szCs w:val="19"/>
        </w:rPr>
      </w:pPr>
      <w:r w:rsidRPr="00C407A5">
        <w:rPr>
          <w:rFonts w:ascii="Calibri" w:hAnsi="Calibri"/>
          <w:color w:val="000000" w:themeColor="text1"/>
          <w:sz w:val="19"/>
          <w:szCs w:val="19"/>
        </w:rPr>
        <w:t>ODE ma dejin doonto bartilmaameedyo cusub ilaa aan ka maqalno shuraakadayada. Waxaa jira dhowr qaab oo loo sameeyo bartilmaameedyo cusub: Waxay noqon kartaa hoos u dhac boqolley ah, bilow hawsha adoo guusha maanka ku hayo, ama fiiri isbeddellada waqti kadib oo samee saadaal ku saleysan isbeddellada. Qaar ka mid ah macluumaadka waxtarka leh ee ku saabsan dejinta bartilmaameedyada:</w:t>
      </w:r>
    </w:p>
    <w:p w14:paraId="4551AD98" w14:textId="77777777" w:rsidR="001D55B0" w:rsidRPr="00C407A5" w:rsidRDefault="001D55B0" w:rsidP="001D55B0">
      <w:pPr>
        <w:pStyle w:val="ListParagraph"/>
        <w:numPr>
          <w:ilvl w:val="0"/>
          <w:numId w:val="1"/>
        </w:numPr>
        <w:rPr>
          <w:rFonts w:ascii="Calibri" w:eastAsia="Calibri" w:hAnsi="Calibri" w:cs="Calibri"/>
          <w:color w:val="000000" w:themeColor="text1"/>
          <w:sz w:val="19"/>
          <w:szCs w:val="19"/>
        </w:rPr>
      </w:pPr>
      <w:r w:rsidRPr="00C407A5">
        <w:rPr>
          <w:rFonts w:ascii="Calibri" w:hAnsi="Calibri"/>
          <w:color w:val="000000" w:themeColor="text1"/>
          <w:sz w:val="19"/>
          <w:szCs w:val="19"/>
        </w:rPr>
        <w:t xml:space="preserve">Bartilmaameedyada waxaa loola jeedaa in lagu taageero natiijooyinka la wanaajiyay iyo natiijooyinka loogu talagalay carruurta iyo qoysaska. Waa in la gaari karo balse weli muujinayaan koboc. </w:t>
      </w:r>
    </w:p>
    <w:p w14:paraId="1E4FA14B" w14:textId="640BD67D" w:rsidR="4BBB7754" w:rsidRPr="00C407A5" w:rsidRDefault="001D55B0" w:rsidP="001D55B0">
      <w:pPr>
        <w:pStyle w:val="ListParagraph"/>
        <w:numPr>
          <w:ilvl w:val="0"/>
          <w:numId w:val="1"/>
        </w:numPr>
        <w:rPr>
          <w:rFonts w:ascii="Calibri" w:eastAsia="Calibri" w:hAnsi="Calibri" w:cs="Calibri"/>
          <w:color w:val="000000" w:themeColor="text1"/>
          <w:sz w:val="19"/>
          <w:szCs w:val="19"/>
        </w:rPr>
      </w:pPr>
      <w:r w:rsidRPr="00C407A5">
        <w:rPr>
          <w:rFonts w:ascii="Calibri" w:hAnsi="Calibri"/>
          <w:color w:val="000000" w:themeColor="text1"/>
          <w:sz w:val="19"/>
          <w:szCs w:val="19"/>
        </w:rPr>
        <w:t>Isbeddelku wuxuu qaataa waqti. Bartilmaameedyada ayaa la sameyn karaa iyadoo fahamkan maanka lagu hayo. Tusaale ahaan, bartilmaameedyadu sidooda ayay ahaan karaan dhowr sanno oo isxiga, kadibna wax yar ayay hoos u dhici karaan inta lagu jiro sannadka ugu dambeeya ee bartilmaameedka (FFY 2025). Taasi beddelkeeda, bartilmaameedyadu waxay muujin karaan hoos u dhac yar sannad kasta.</w:t>
      </w:r>
    </w:p>
    <w:p w14:paraId="477534C5" w14:textId="1B5E3036" w:rsidR="547E444A" w:rsidRPr="00C407A5" w:rsidRDefault="547E444A" w:rsidP="00BC1904">
      <w:pPr>
        <w:pStyle w:val="ListParagraph"/>
        <w:numPr>
          <w:ilvl w:val="0"/>
          <w:numId w:val="1"/>
        </w:numPr>
        <w:spacing w:after="120"/>
        <w:rPr>
          <w:color w:val="000000" w:themeColor="text1"/>
          <w:sz w:val="19"/>
          <w:szCs w:val="19"/>
        </w:rPr>
      </w:pPr>
      <w:r w:rsidRPr="00C407A5">
        <w:rPr>
          <w:rFonts w:ascii="Calibri" w:hAnsi="Calibri"/>
          <w:b/>
          <w:bCs/>
          <w:i/>
          <w:iCs/>
          <w:sz w:val="19"/>
          <w:szCs w:val="19"/>
        </w:rPr>
        <w:t>Xogta edbinta FFY 2020 iyo FFY 2021 waxaa saameeya COVID-19.</w:t>
      </w:r>
    </w:p>
    <w:p w14:paraId="08B9EDF3" w14:textId="099234F4" w:rsidR="4BBB7754" w:rsidRPr="00C407A5" w:rsidRDefault="4BBB7754" w:rsidP="00BC1904">
      <w:pPr>
        <w:spacing w:after="120"/>
        <w:rPr>
          <w:rFonts w:ascii="Calibri" w:eastAsia="Calibri" w:hAnsi="Calibri" w:cs="Calibri"/>
          <w:color w:val="408740"/>
          <w:sz w:val="19"/>
          <w:szCs w:val="19"/>
        </w:rPr>
      </w:pPr>
      <w:r w:rsidRPr="00C407A5">
        <w:rPr>
          <w:rFonts w:ascii="Calibri" w:hAnsi="Calibri"/>
          <w:b/>
          <w:bCs/>
          <w:color w:val="408740"/>
          <w:sz w:val="19"/>
          <w:szCs w:val="19"/>
        </w:rPr>
        <w:t xml:space="preserve">Tusaalaha A ee loogu talagalay Bartilmaameedyada B4A: Sannadka Gundhiga ah ee 2019 ee la bartilmaameedsanayo 62% </w:t>
      </w:r>
    </w:p>
    <w:tbl>
      <w:tblPr>
        <w:tblStyle w:val="TableGrid"/>
        <w:tblW w:w="0" w:type="auto"/>
        <w:tblLayout w:type="fixed"/>
        <w:tblLook w:val="04A0" w:firstRow="1" w:lastRow="0" w:firstColumn="1" w:lastColumn="0" w:noHBand="0" w:noVBand="1"/>
        <w:tblCaption w:val="Example Targets"/>
        <w:tblDescription w:val="This table shows one possible set of targets Oregon could use for this indicator."/>
      </w:tblPr>
      <w:tblGrid>
        <w:gridCol w:w="2220"/>
        <w:gridCol w:w="1275"/>
        <w:gridCol w:w="1275"/>
        <w:gridCol w:w="1275"/>
        <w:gridCol w:w="1275"/>
        <w:gridCol w:w="1275"/>
        <w:gridCol w:w="1275"/>
      </w:tblGrid>
      <w:tr w:rsidR="11458547" w:rsidRPr="00C407A5" w14:paraId="5D98BE62" w14:textId="77777777" w:rsidTr="003554B6">
        <w:trPr>
          <w:tblHeader/>
        </w:trPr>
        <w:tc>
          <w:tcPr>
            <w:tcW w:w="2220" w:type="dxa"/>
          </w:tcPr>
          <w:p w14:paraId="761F74D5" w14:textId="23EBD312" w:rsidR="11458547" w:rsidRPr="00C407A5" w:rsidRDefault="11458547" w:rsidP="11458547">
            <w:pPr>
              <w:spacing w:line="259" w:lineRule="auto"/>
              <w:jc w:val="center"/>
              <w:rPr>
                <w:rFonts w:ascii="Calibri" w:eastAsia="Calibri" w:hAnsi="Calibri" w:cs="Calibri"/>
                <w:sz w:val="19"/>
                <w:szCs w:val="19"/>
              </w:rPr>
            </w:pPr>
            <w:r w:rsidRPr="00C407A5">
              <w:rPr>
                <w:rFonts w:ascii="Calibri" w:hAnsi="Calibri"/>
                <w:b/>
                <w:bCs/>
                <w:sz w:val="19"/>
                <w:szCs w:val="19"/>
              </w:rPr>
              <w:t>FFY</w:t>
            </w:r>
          </w:p>
        </w:tc>
        <w:tc>
          <w:tcPr>
            <w:tcW w:w="1275" w:type="dxa"/>
          </w:tcPr>
          <w:p w14:paraId="6FF289AD" w14:textId="064B2D84" w:rsidR="11458547" w:rsidRPr="00C407A5" w:rsidRDefault="6A5506BC" w:rsidP="1B7C5E0B">
            <w:pPr>
              <w:spacing w:line="259" w:lineRule="auto"/>
              <w:jc w:val="center"/>
              <w:rPr>
                <w:rFonts w:ascii="Calibri" w:eastAsia="Calibri" w:hAnsi="Calibri" w:cs="Calibri"/>
                <w:sz w:val="19"/>
                <w:szCs w:val="19"/>
              </w:rPr>
            </w:pPr>
            <w:r w:rsidRPr="00C407A5">
              <w:rPr>
                <w:rFonts w:ascii="Calibri" w:hAnsi="Calibri"/>
                <w:b/>
                <w:bCs/>
                <w:sz w:val="19"/>
                <w:szCs w:val="19"/>
              </w:rPr>
              <w:t>2020</w:t>
            </w:r>
          </w:p>
        </w:tc>
        <w:tc>
          <w:tcPr>
            <w:tcW w:w="1275" w:type="dxa"/>
          </w:tcPr>
          <w:p w14:paraId="5F13C07F" w14:textId="224FB439" w:rsidR="11458547" w:rsidRPr="00C407A5" w:rsidRDefault="6A5506BC" w:rsidP="1B7C5E0B">
            <w:pPr>
              <w:spacing w:line="259" w:lineRule="auto"/>
              <w:jc w:val="center"/>
              <w:rPr>
                <w:rFonts w:ascii="Calibri" w:eastAsia="Calibri" w:hAnsi="Calibri" w:cs="Calibri"/>
                <w:sz w:val="19"/>
                <w:szCs w:val="19"/>
              </w:rPr>
            </w:pPr>
            <w:r w:rsidRPr="00C407A5">
              <w:rPr>
                <w:rFonts w:ascii="Calibri" w:hAnsi="Calibri"/>
                <w:b/>
                <w:bCs/>
                <w:sz w:val="19"/>
                <w:szCs w:val="19"/>
              </w:rPr>
              <w:t>2021</w:t>
            </w:r>
          </w:p>
        </w:tc>
        <w:tc>
          <w:tcPr>
            <w:tcW w:w="1275" w:type="dxa"/>
          </w:tcPr>
          <w:p w14:paraId="4C2A8153" w14:textId="1DBED9FF" w:rsidR="11458547" w:rsidRPr="00C407A5" w:rsidRDefault="11458547" w:rsidP="11458547">
            <w:pPr>
              <w:spacing w:line="259" w:lineRule="auto"/>
              <w:jc w:val="center"/>
              <w:rPr>
                <w:rFonts w:ascii="Calibri" w:eastAsia="Calibri" w:hAnsi="Calibri" w:cs="Calibri"/>
                <w:sz w:val="19"/>
                <w:szCs w:val="19"/>
              </w:rPr>
            </w:pPr>
            <w:r w:rsidRPr="00C407A5">
              <w:rPr>
                <w:rFonts w:ascii="Calibri" w:hAnsi="Calibri"/>
                <w:b/>
                <w:bCs/>
                <w:sz w:val="19"/>
                <w:szCs w:val="19"/>
              </w:rPr>
              <w:t>2022</w:t>
            </w:r>
          </w:p>
        </w:tc>
        <w:tc>
          <w:tcPr>
            <w:tcW w:w="1275" w:type="dxa"/>
          </w:tcPr>
          <w:p w14:paraId="06D8CCF0" w14:textId="49AB4782" w:rsidR="11458547" w:rsidRPr="00C407A5" w:rsidRDefault="11458547" w:rsidP="11458547">
            <w:pPr>
              <w:spacing w:line="259" w:lineRule="auto"/>
              <w:jc w:val="center"/>
              <w:rPr>
                <w:rFonts w:ascii="Calibri" w:eastAsia="Calibri" w:hAnsi="Calibri" w:cs="Calibri"/>
                <w:sz w:val="19"/>
                <w:szCs w:val="19"/>
              </w:rPr>
            </w:pPr>
            <w:r w:rsidRPr="00C407A5">
              <w:rPr>
                <w:rFonts w:ascii="Calibri" w:hAnsi="Calibri"/>
                <w:b/>
                <w:bCs/>
                <w:sz w:val="19"/>
                <w:szCs w:val="19"/>
              </w:rPr>
              <w:t>2023</w:t>
            </w:r>
          </w:p>
        </w:tc>
        <w:tc>
          <w:tcPr>
            <w:tcW w:w="1275" w:type="dxa"/>
          </w:tcPr>
          <w:p w14:paraId="21F7EA2C" w14:textId="2DF08A33" w:rsidR="11458547" w:rsidRPr="00C407A5" w:rsidRDefault="11458547" w:rsidP="11458547">
            <w:pPr>
              <w:spacing w:line="259" w:lineRule="auto"/>
              <w:jc w:val="center"/>
              <w:rPr>
                <w:rFonts w:ascii="Calibri" w:eastAsia="Calibri" w:hAnsi="Calibri" w:cs="Calibri"/>
                <w:sz w:val="19"/>
                <w:szCs w:val="19"/>
              </w:rPr>
            </w:pPr>
            <w:r w:rsidRPr="00C407A5">
              <w:rPr>
                <w:rFonts w:ascii="Calibri" w:hAnsi="Calibri"/>
                <w:b/>
                <w:bCs/>
                <w:sz w:val="19"/>
                <w:szCs w:val="19"/>
              </w:rPr>
              <w:t>2024</w:t>
            </w:r>
          </w:p>
        </w:tc>
        <w:tc>
          <w:tcPr>
            <w:tcW w:w="1275" w:type="dxa"/>
          </w:tcPr>
          <w:p w14:paraId="149E4E9B" w14:textId="51328839" w:rsidR="11458547" w:rsidRPr="00C407A5" w:rsidRDefault="11458547" w:rsidP="11458547">
            <w:pPr>
              <w:spacing w:line="259" w:lineRule="auto"/>
              <w:jc w:val="center"/>
              <w:rPr>
                <w:rFonts w:ascii="Calibri" w:eastAsia="Calibri" w:hAnsi="Calibri" w:cs="Calibri"/>
                <w:sz w:val="19"/>
                <w:szCs w:val="19"/>
              </w:rPr>
            </w:pPr>
            <w:r w:rsidRPr="00C407A5">
              <w:rPr>
                <w:rFonts w:ascii="Calibri" w:hAnsi="Calibri"/>
                <w:b/>
                <w:bCs/>
                <w:sz w:val="19"/>
                <w:szCs w:val="19"/>
              </w:rPr>
              <w:t>2025</w:t>
            </w:r>
          </w:p>
        </w:tc>
      </w:tr>
      <w:tr w:rsidR="11458547" w:rsidRPr="00C407A5" w14:paraId="6AF5CF9A" w14:textId="77777777" w:rsidTr="00BB6EA2">
        <w:trPr>
          <w:trHeight w:val="107"/>
        </w:trPr>
        <w:tc>
          <w:tcPr>
            <w:tcW w:w="2220" w:type="dxa"/>
          </w:tcPr>
          <w:p w14:paraId="069109CF" w14:textId="3A51A624" w:rsidR="439FDF39" w:rsidRPr="00C407A5" w:rsidRDefault="439FDF39" w:rsidP="00300D8D">
            <w:pPr>
              <w:spacing w:line="259" w:lineRule="auto"/>
              <w:rPr>
                <w:rFonts w:ascii="Calibri" w:eastAsia="Calibri" w:hAnsi="Calibri" w:cs="Calibri"/>
                <w:sz w:val="19"/>
                <w:szCs w:val="19"/>
              </w:rPr>
            </w:pPr>
            <w:r w:rsidRPr="00C407A5">
              <w:rPr>
                <w:rFonts w:ascii="Calibri" w:hAnsi="Calibri"/>
                <w:sz w:val="19"/>
                <w:szCs w:val="19"/>
              </w:rPr>
              <w:t>Bartilmaameedyada 4A ≥</w:t>
            </w:r>
          </w:p>
        </w:tc>
        <w:tc>
          <w:tcPr>
            <w:tcW w:w="1275" w:type="dxa"/>
          </w:tcPr>
          <w:p w14:paraId="0DC7BE9E" w14:textId="70593578" w:rsidR="11458547" w:rsidRPr="00C407A5" w:rsidRDefault="06953851" w:rsidP="1B7C5E0B">
            <w:pPr>
              <w:spacing w:line="259" w:lineRule="auto"/>
              <w:jc w:val="center"/>
              <w:rPr>
                <w:rFonts w:ascii="Calibri" w:eastAsia="Calibri" w:hAnsi="Calibri" w:cs="Calibri"/>
                <w:sz w:val="19"/>
                <w:szCs w:val="19"/>
              </w:rPr>
            </w:pPr>
            <w:r w:rsidRPr="00C407A5">
              <w:rPr>
                <w:rFonts w:ascii="Calibri" w:hAnsi="Calibri"/>
                <w:sz w:val="19"/>
                <w:szCs w:val="19"/>
              </w:rPr>
              <w:t>62.00%</w:t>
            </w:r>
          </w:p>
        </w:tc>
        <w:tc>
          <w:tcPr>
            <w:tcW w:w="1275" w:type="dxa"/>
          </w:tcPr>
          <w:p w14:paraId="0F18F025" w14:textId="3F02F31B" w:rsidR="11458547" w:rsidRPr="00C407A5" w:rsidRDefault="06953851" w:rsidP="1B7C5E0B">
            <w:pPr>
              <w:spacing w:line="259" w:lineRule="auto"/>
              <w:jc w:val="center"/>
              <w:rPr>
                <w:rFonts w:ascii="Calibri" w:eastAsia="Calibri" w:hAnsi="Calibri" w:cs="Calibri"/>
                <w:sz w:val="19"/>
                <w:szCs w:val="19"/>
              </w:rPr>
            </w:pPr>
            <w:r w:rsidRPr="00C407A5">
              <w:rPr>
                <w:rFonts w:ascii="Calibri" w:hAnsi="Calibri"/>
                <w:sz w:val="19"/>
                <w:szCs w:val="19"/>
              </w:rPr>
              <w:t>62.00%</w:t>
            </w:r>
          </w:p>
        </w:tc>
        <w:tc>
          <w:tcPr>
            <w:tcW w:w="1275" w:type="dxa"/>
          </w:tcPr>
          <w:p w14:paraId="201861D7" w14:textId="0FE27410" w:rsidR="11458547" w:rsidRPr="00C407A5" w:rsidRDefault="06953851" w:rsidP="1B7C5E0B">
            <w:pPr>
              <w:spacing w:line="259" w:lineRule="auto"/>
              <w:jc w:val="center"/>
              <w:rPr>
                <w:rFonts w:ascii="Calibri" w:eastAsia="Calibri" w:hAnsi="Calibri" w:cs="Calibri"/>
                <w:sz w:val="19"/>
                <w:szCs w:val="19"/>
              </w:rPr>
            </w:pPr>
            <w:r w:rsidRPr="00C407A5">
              <w:rPr>
                <w:rFonts w:ascii="Calibri" w:hAnsi="Calibri"/>
                <w:sz w:val="19"/>
                <w:szCs w:val="19"/>
              </w:rPr>
              <w:t>61.75%</w:t>
            </w:r>
          </w:p>
        </w:tc>
        <w:tc>
          <w:tcPr>
            <w:tcW w:w="1275" w:type="dxa"/>
          </w:tcPr>
          <w:p w14:paraId="75B0C0F7" w14:textId="6256E394" w:rsidR="11458547" w:rsidRPr="00C407A5" w:rsidRDefault="06953851" w:rsidP="00BB6EA2">
            <w:pPr>
              <w:spacing w:line="259" w:lineRule="auto"/>
              <w:jc w:val="center"/>
              <w:rPr>
                <w:rFonts w:ascii="Calibri" w:eastAsia="Calibri" w:hAnsi="Calibri" w:cs="Calibri"/>
                <w:sz w:val="19"/>
                <w:szCs w:val="19"/>
              </w:rPr>
            </w:pPr>
            <w:r w:rsidRPr="00C407A5">
              <w:rPr>
                <w:rFonts w:ascii="Calibri" w:hAnsi="Calibri"/>
                <w:sz w:val="19"/>
                <w:szCs w:val="19"/>
              </w:rPr>
              <w:t>61.50%</w:t>
            </w:r>
          </w:p>
        </w:tc>
        <w:tc>
          <w:tcPr>
            <w:tcW w:w="1275" w:type="dxa"/>
          </w:tcPr>
          <w:p w14:paraId="5D752F71" w14:textId="6F93A730" w:rsidR="11458547" w:rsidRPr="00C407A5" w:rsidRDefault="06953851" w:rsidP="00BB6EA2">
            <w:pPr>
              <w:spacing w:line="259" w:lineRule="auto"/>
              <w:jc w:val="center"/>
              <w:rPr>
                <w:rFonts w:ascii="Calibri" w:eastAsia="Calibri" w:hAnsi="Calibri" w:cs="Calibri"/>
                <w:sz w:val="19"/>
                <w:szCs w:val="19"/>
              </w:rPr>
            </w:pPr>
            <w:r w:rsidRPr="00C407A5">
              <w:rPr>
                <w:rFonts w:ascii="Calibri" w:hAnsi="Calibri"/>
                <w:sz w:val="19"/>
                <w:szCs w:val="19"/>
              </w:rPr>
              <w:t>61.25%</w:t>
            </w:r>
          </w:p>
        </w:tc>
        <w:tc>
          <w:tcPr>
            <w:tcW w:w="1275" w:type="dxa"/>
          </w:tcPr>
          <w:p w14:paraId="29839416" w14:textId="66DE3A84" w:rsidR="11458547" w:rsidRPr="00C407A5" w:rsidRDefault="06953851" w:rsidP="1B7C5E0B">
            <w:pPr>
              <w:spacing w:line="259" w:lineRule="auto"/>
              <w:jc w:val="center"/>
              <w:rPr>
                <w:rFonts w:ascii="Calibri" w:eastAsia="Calibri" w:hAnsi="Calibri" w:cs="Calibri"/>
                <w:sz w:val="19"/>
                <w:szCs w:val="19"/>
              </w:rPr>
            </w:pPr>
            <w:r w:rsidRPr="00C407A5">
              <w:rPr>
                <w:rFonts w:ascii="Calibri" w:hAnsi="Calibri"/>
                <w:sz w:val="19"/>
                <w:szCs w:val="19"/>
              </w:rPr>
              <w:t>61.00%</w:t>
            </w:r>
          </w:p>
        </w:tc>
      </w:tr>
    </w:tbl>
    <w:p w14:paraId="7C2E7CBC" w14:textId="4B65C366" w:rsidR="255201E7" w:rsidRPr="00C407A5" w:rsidRDefault="255201E7" w:rsidP="00BC1904">
      <w:pPr>
        <w:spacing w:after="120"/>
        <w:rPr>
          <w:rFonts w:ascii="Calibri" w:eastAsia="Calibri" w:hAnsi="Calibri" w:cs="Calibri"/>
          <w:color w:val="000000" w:themeColor="text1"/>
          <w:sz w:val="19"/>
          <w:szCs w:val="19"/>
        </w:rPr>
      </w:pPr>
      <w:r w:rsidRPr="00C407A5">
        <w:rPr>
          <w:rFonts w:ascii="Calibri" w:hAnsi="Calibri"/>
          <w:color w:val="000000" w:themeColor="text1"/>
          <w:sz w:val="19"/>
          <w:szCs w:val="19"/>
        </w:rPr>
        <w:t>Tusaalaha A ayaa muujinaya horusocod tartiib ah.</w:t>
      </w:r>
    </w:p>
    <w:p w14:paraId="39B5FF48" w14:textId="4E940495" w:rsidR="255201E7" w:rsidRPr="00C407A5" w:rsidRDefault="255201E7" w:rsidP="00BC1904">
      <w:pPr>
        <w:spacing w:after="120"/>
        <w:rPr>
          <w:rFonts w:ascii="Calibri" w:eastAsia="Calibri" w:hAnsi="Calibri" w:cs="Calibri"/>
          <w:color w:val="408740"/>
          <w:sz w:val="19"/>
          <w:szCs w:val="19"/>
        </w:rPr>
      </w:pPr>
      <w:r w:rsidRPr="00C407A5">
        <w:rPr>
          <w:rFonts w:ascii="Calibri" w:hAnsi="Calibri"/>
          <w:b/>
          <w:bCs/>
          <w:color w:val="408740"/>
          <w:sz w:val="19"/>
          <w:szCs w:val="19"/>
        </w:rPr>
        <w:t>Tusaalaha B ee loogu talagalay Bartilmaameedyada B4A: Sannadka Gundhiga ah ee 2019 ee la bartilmaameedsanayo 62%</w:t>
      </w:r>
    </w:p>
    <w:tbl>
      <w:tblPr>
        <w:tblStyle w:val="TableGrid"/>
        <w:tblW w:w="0" w:type="auto"/>
        <w:tblLayout w:type="fixed"/>
        <w:tblLook w:val="04A0" w:firstRow="1" w:lastRow="0" w:firstColumn="1" w:lastColumn="0" w:noHBand="0" w:noVBand="1"/>
        <w:tblCaption w:val="Example Targets"/>
        <w:tblDescription w:val="This table shows one possible set of targets Oregon could use for this indicator."/>
      </w:tblPr>
      <w:tblGrid>
        <w:gridCol w:w="2220"/>
        <w:gridCol w:w="1275"/>
        <w:gridCol w:w="1275"/>
        <w:gridCol w:w="1275"/>
        <w:gridCol w:w="1275"/>
        <w:gridCol w:w="1275"/>
        <w:gridCol w:w="1275"/>
      </w:tblGrid>
      <w:tr w:rsidR="11458547" w:rsidRPr="00C407A5" w14:paraId="0FAC3656" w14:textId="77777777" w:rsidTr="003554B6">
        <w:trPr>
          <w:tblHeader/>
        </w:trPr>
        <w:tc>
          <w:tcPr>
            <w:tcW w:w="2220" w:type="dxa"/>
          </w:tcPr>
          <w:p w14:paraId="0F4C8285" w14:textId="6E1B46F2" w:rsidR="11458547" w:rsidRPr="00C407A5" w:rsidRDefault="11458547" w:rsidP="11458547">
            <w:pPr>
              <w:spacing w:line="259" w:lineRule="auto"/>
              <w:jc w:val="center"/>
              <w:rPr>
                <w:rFonts w:ascii="Calibri" w:eastAsia="Calibri" w:hAnsi="Calibri" w:cs="Calibri"/>
                <w:sz w:val="19"/>
                <w:szCs w:val="19"/>
              </w:rPr>
            </w:pPr>
            <w:r w:rsidRPr="00C407A5">
              <w:rPr>
                <w:rFonts w:ascii="Calibri" w:hAnsi="Calibri"/>
                <w:b/>
                <w:bCs/>
                <w:sz w:val="19"/>
                <w:szCs w:val="19"/>
              </w:rPr>
              <w:t>FFY</w:t>
            </w:r>
          </w:p>
        </w:tc>
        <w:tc>
          <w:tcPr>
            <w:tcW w:w="1275" w:type="dxa"/>
          </w:tcPr>
          <w:p w14:paraId="051D9902" w14:textId="04C3D9DF" w:rsidR="11458547" w:rsidRPr="00C407A5" w:rsidRDefault="11458547" w:rsidP="11458547">
            <w:pPr>
              <w:spacing w:line="259" w:lineRule="auto"/>
              <w:jc w:val="center"/>
              <w:rPr>
                <w:rFonts w:ascii="Calibri" w:eastAsia="Calibri" w:hAnsi="Calibri" w:cs="Calibri"/>
                <w:sz w:val="19"/>
                <w:szCs w:val="19"/>
              </w:rPr>
            </w:pPr>
            <w:r w:rsidRPr="00C407A5">
              <w:rPr>
                <w:rFonts w:ascii="Calibri" w:hAnsi="Calibri"/>
                <w:b/>
                <w:bCs/>
                <w:sz w:val="19"/>
                <w:szCs w:val="19"/>
              </w:rPr>
              <w:t>2020</w:t>
            </w:r>
          </w:p>
        </w:tc>
        <w:tc>
          <w:tcPr>
            <w:tcW w:w="1275" w:type="dxa"/>
          </w:tcPr>
          <w:p w14:paraId="2CAB0210" w14:textId="2CAE7552" w:rsidR="11458547" w:rsidRPr="00C407A5" w:rsidRDefault="11458547" w:rsidP="11458547">
            <w:pPr>
              <w:spacing w:line="259" w:lineRule="auto"/>
              <w:jc w:val="center"/>
              <w:rPr>
                <w:rFonts w:ascii="Calibri" w:eastAsia="Calibri" w:hAnsi="Calibri" w:cs="Calibri"/>
                <w:sz w:val="19"/>
                <w:szCs w:val="19"/>
              </w:rPr>
            </w:pPr>
            <w:r w:rsidRPr="00C407A5">
              <w:rPr>
                <w:rFonts w:ascii="Calibri" w:hAnsi="Calibri"/>
                <w:b/>
                <w:bCs/>
                <w:sz w:val="19"/>
                <w:szCs w:val="19"/>
              </w:rPr>
              <w:t>2021</w:t>
            </w:r>
          </w:p>
        </w:tc>
        <w:tc>
          <w:tcPr>
            <w:tcW w:w="1275" w:type="dxa"/>
          </w:tcPr>
          <w:p w14:paraId="041A0AB9" w14:textId="358BD01F" w:rsidR="11458547" w:rsidRPr="00C407A5" w:rsidRDefault="11458547" w:rsidP="11458547">
            <w:pPr>
              <w:spacing w:line="259" w:lineRule="auto"/>
              <w:jc w:val="center"/>
              <w:rPr>
                <w:rFonts w:ascii="Calibri" w:eastAsia="Calibri" w:hAnsi="Calibri" w:cs="Calibri"/>
                <w:sz w:val="19"/>
                <w:szCs w:val="19"/>
              </w:rPr>
            </w:pPr>
            <w:r w:rsidRPr="00C407A5">
              <w:rPr>
                <w:rFonts w:ascii="Calibri" w:hAnsi="Calibri"/>
                <w:b/>
                <w:bCs/>
                <w:sz w:val="19"/>
                <w:szCs w:val="19"/>
              </w:rPr>
              <w:t>2022</w:t>
            </w:r>
          </w:p>
        </w:tc>
        <w:tc>
          <w:tcPr>
            <w:tcW w:w="1275" w:type="dxa"/>
          </w:tcPr>
          <w:p w14:paraId="47295C0D" w14:textId="6165BA72" w:rsidR="11458547" w:rsidRPr="00C407A5" w:rsidRDefault="11458547" w:rsidP="11458547">
            <w:pPr>
              <w:spacing w:line="259" w:lineRule="auto"/>
              <w:jc w:val="center"/>
              <w:rPr>
                <w:rFonts w:ascii="Calibri" w:eastAsia="Calibri" w:hAnsi="Calibri" w:cs="Calibri"/>
                <w:sz w:val="19"/>
                <w:szCs w:val="19"/>
              </w:rPr>
            </w:pPr>
            <w:r w:rsidRPr="00C407A5">
              <w:rPr>
                <w:rFonts w:ascii="Calibri" w:hAnsi="Calibri"/>
                <w:b/>
                <w:bCs/>
                <w:sz w:val="19"/>
                <w:szCs w:val="19"/>
              </w:rPr>
              <w:t>2023</w:t>
            </w:r>
          </w:p>
        </w:tc>
        <w:tc>
          <w:tcPr>
            <w:tcW w:w="1275" w:type="dxa"/>
          </w:tcPr>
          <w:p w14:paraId="0186D260" w14:textId="4B386DA3" w:rsidR="11458547" w:rsidRPr="00C407A5" w:rsidRDefault="11458547" w:rsidP="11458547">
            <w:pPr>
              <w:spacing w:line="259" w:lineRule="auto"/>
              <w:jc w:val="center"/>
              <w:rPr>
                <w:rFonts w:ascii="Calibri" w:eastAsia="Calibri" w:hAnsi="Calibri" w:cs="Calibri"/>
                <w:sz w:val="19"/>
                <w:szCs w:val="19"/>
              </w:rPr>
            </w:pPr>
            <w:r w:rsidRPr="00C407A5">
              <w:rPr>
                <w:rFonts w:ascii="Calibri" w:hAnsi="Calibri"/>
                <w:b/>
                <w:bCs/>
                <w:sz w:val="19"/>
                <w:szCs w:val="19"/>
              </w:rPr>
              <w:t>2024</w:t>
            </w:r>
          </w:p>
        </w:tc>
        <w:tc>
          <w:tcPr>
            <w:tcW w:w="1275" w:type="dxa"/>
          </w:tcPr>
          <w:p w14:paraId="478A199B" w14:textId="048C9FA8" w:rsidR="11458547" w:rsidRPr="00C407A5" w:rsidRDefault="11458547" w:rsidP="11458547">
            <w:pPr>
              <w:spacing w:line="259" w:lineRule="auto"/>
              <w:jc w:val="center"/>
              <w:rPr>
                <w:rFonts w:ascii="Calibri" w:eastAsia="Calibri" w:hAnsi="Calibri" w:cs="Calibri"/>
                <w:sz w:val="19"/>
                <w:szCs w:val="19"/>
              </w:rPr>
            </w:pPr>
            <w:r w:rsidRPr="00C407A5">
              <w:rPr>
                <w:rFonts w:ascii="Calibri" w:hAnsi="Calibri"/>
                <w:b/>
                <w:bCs/>
                <w:sz w:val="19"/>
                <w:szCs w:val="19"/>
              </w:rPr>
              <w:t>2025</w:t>
            </w:r>
          </w:p>
        </w:tc>
      </w:tr>
      <w:tr w:rsidR="11458547" w:rsidRPr="00C407A5" w14:paraId="631770DF" w14:textId="77777777" w:rsidTr="1B7C5E0B">
        <w:tc>
          <w:tcPr>
            <w:tcW w:w="2220" w:type="dxa"/>
          </w:tcPr>
          <w:p w14:paraId="39F47907" w14:textId="09D5DE17" w:rsidR="11458547" w:rsidRPr="00C407A5" w:rsidRDefault="11458547" w:rsidP="00300D8D">
            <w:pPr>
              <w:spacing w:line="259" w:lineRule="auto"/>
              <w:rPr>
                <w:rFonts w:ascii="Calibri" w:eastAsia="Calibri" w:hAnsi="Calibri" w:cs="Calibri"/>
                <w:sz w:val="19"/>
                <w:szCs w:val="19"/>
              </w:rPr>
            </w:pPr>
            <w:r w:rsidRPr="00C407A5">
              <w:rPr>
                <w:rFonts w:ascii="Calibri" w:hAnsi="Calibri"/>
                <w:sz w:val="19"/>
                <w:szCs w:val="19"/>
              </w:rPr>
              <w:t>Bartilmaameedyada 4A ≥</w:t>
            </w:r>
          </w:p>
        </w:tc>
        <w:tc>
          <w:tcPr>
            <w:tcW w:w="1275" w:type="dxa"/>
          </w:tcPr>
          <w:p w14:paraId="1BE3574C" w14:textId="6396B2D1" w:rsidR="11458547" w:rsidRPr="00C407A5" w:rsidRDefault="00BB6EA2" w:rsidP="1B7C5E0B">
            <w:pPr>
              <w:spacing w:line="259" w:lineRule="auto"/>
              <w:jc w:val="center"/>
              <w:rPr>
                <w:rFonts w:ascii="Calibri" w:eastAsia="Calibri" w:hAnsi="Calibri" w:cs="Calibri"/>
                <w:sz w:val="19"/>
                <w:szCs w:val="19"/>
              </w:rPr>
            </w:pPr>
            <w:r w:rsidRPr="00C407A5">
              <w:rPr>
                <w:rFonts w:ascii="Calibri" w:hAnsi="Calibri"/>
                <w:sz w:val="19"/>
                <w:szCs w:val="19"/>
              </w:rPr>
              <w:t>62.00%</w:t>
            </w:r>
          </w:p>
        </w:tc>
        <w:tc>
          <w:tcPr>
            <w:tcW w:w="1275" w:type="dxa"/>
          </w:tcPr>
          <w:p w14:paraId="27B9FB50" w14:textId="6EA0F2D7" w:rsidR="11458547" w:rsidRPr="00C407A5" w:rsidRDefault="00BB6EA2" w:rsidP="00BB6EA2">
            <w:pPr>
              <w:spacing w:line="259" w:lineRule="auto"/>
              <w:jc w:val="center"/>
              <w:rPr>
                <w:rFonts w:ascii="Calibri" w:eastAsia="Calibri" w:hAnsi="Calibri" w:cs="Calibri"/>
                <w:sz w:val="19"/>
                <w:szCs w:val="19"/>
              </w:rPr>
            </w:pPr>
            <w:r w:rsidRPr="00C407A5">
              <w:rPr>
                <w:rFonts w:ascii="Calibri" w:hAnsi="Calibri"/>
                <w:sz w:val="19"/>
                <w:szCs w:val="19"/>
              </w:rPr>
              <w:t>62.00%</w:t>
            </w:r>
          </w:p>
        </w:tc>
        <w:tc>
          <w:tcPr>
            <w:tcW w:w="1275" w:type="dxa"/>
          </w:tcPr>
          <w:p w14:paraId="5E5CA2C5" w14:textId="1BEA0AFC" w:rsidR="11458547" w:rsidRPr="00C407A5" w:rsidRDefault="00BB6EA2" w:rsidP="00BB6EA2">
            <w:pPr>
              <w:spacing w:line="259" w:lineRule="auto"/>
              <w:jc w:val="center"/>
              <w:rPr>
                <w:rFonts w:ascii="Calibri" w:eastAsia="Calibri" w:hAnsi="Calibri" w:cs="Calibri"/>
                <w:sz w:val="19"/>
                <w:szCs w:val="19"/>
              </w:rPr>
            </w:pPr>
            <w:r w:rsidRPr="00C407A5">
              <w:rPr>
                <w:rFonts w:ascii="Calibri" w:hAnsi="Calibri"/>
                <w:sz w:val="19"/>
                <w:szCs w:val="19"/>
              </w:rPr>
              <w:t>61.50%</w:t>
            </w:r>
          </w:p>
        </w:tc>
        <w:tc>
          <w:tcPr>
            <w:tcW w:w="1275" w:type="dxa"/>
          </w:tcPr>
          <w:p w14:paraId="39CD7664" w14:textId="7B358D02" w:rsidR="11458547" w:rsidRPr="00C407A5" w:rsidRDefault="148FBD78" w:rsidP="1B7C5E0B">
            <w:pPr>
              <w:spacing w:line="259" w:lineRule="auto"/>
              <w:jc w:val="center"/>
              <w:rPr>
                <w:rFonts w:ascii="Calibri" w:eastAsia="Calibri" w:hAnsi="Calibri" w:cs="Calibri"/>
                <w:sz w:val="19"/>
                <w:szCs w:val="19"/>
              </w:rPr>
            </w:pPr>
            <w:r w:rsidRPr="00C407A5">
              <w:rPr>
                <w:rFonts w:ascii="Calibri" w:hAnsi="Calibri"/>
                <w:sz w:val="19"/>
                <w:szCs w:val="19"/>
              </w:rPr>
              <w:t>61.25%</w:t>
            </w:r>
          </w:p>
        </w:tc>
        <w:tc>
          <w:tcPr>
            <w:tcW w:w="1275" w:type="dxa"/>
          </w:tcPr>
          <w:p w14:paraId="4E98C006" w14:textId="06C47462" w:rsidR="11458547" w:rsidRPr="00C407A5" w:rsidRDefault="148FBD78" w:rsidP="1B7C5E0B">
            <w:pPr>
              <w:spacing w:line="259" w:lineRule="auto"/>
              <w:jc w:val="center"/>
              <w:rPr>
                <w:rFonts w:ascii="Calibri" w:eastAsia="Calibri" w:hAnsi="Calibri" w:cs="Calibri"/>
                <w:sz w:val="19"/>
                <w:szCs w:val="19"/>
              </w:rPr>
            </w:pPr>
            <w:r w:rsidRPr="00C407A5">
              <w:rPr>
                <w:rFonts w:ascii="Calibri" w:hAnsi="Calibri"/>
                <w:sz w:val="19"/>
                <w:szCs w:val="19"/>
              </w:rPr>
              <w:t>61.00%</w:t>
            </w:r>
          </w:p>
        </w:tc>
        <w:tc>
          <w:tcPr>
            <w:tcW w:w="1275" w:type="dxa"/>
          </w:tcPr>
          <w:p w14:paraId="2900B4A7" w14:textId="13B9272D" w:rsidR="11458547" w:rsidRPr="00C407A5" w:rsidRDefault="148FBD78" w:rsidP="1B7C5E0B">
            <w:pPr>
              <w:spacing w:line="259" w:lineRule="auto"/>
              <w:jc w:val="center"/>
              <w:rPr>
                <w:rFonts w:ascii="Calibri" w:eastAsia="Calibri" w:hAnsi="Calibri" w:cs="Calibri"/>
                <w:sz w:val="19"/>
                <w:szCs w:val="19"/>
              </w:rPr>
            </w:pPr>
            <w:r w:rsidRPr="00C407A5">
              <w:rPr>
                <w:rFonts w:ascii="Calibri" w:hAnsi="Calibri"/>
                <w:sz w:val="19"/>
                <w:szCs w:val="19"/>
              </w:rPr>
              <w:t>60.50%</w:t>
            </w:r>
          </w:p>
        </w:tc>
      </w:tr>
    </w:tbl>
    <w:p w14:paraId="5F35CFE9" w14:textId="4479FC23" w:rsidR="255201E7" w:rsidRPr="00C407A5" w:rsidRDefault="00BB6EA2" w:rsidP="00BC1904">
      <w:pPr>
        <w:spacing w:after="120"/>
        <w:rPr>
          <w:rFonts w:ascii="Calibri" w:eastAsia="Calibri" w:hAnsi="Calibri" w:cs="Calibri"/>
          <w:color w:val="000000" w:themeColor="text1"/>
          <w:sz w:val="19"/>
          <w:szCs w:val="19"/>
        </w:rPr>
      </w:pPr>
      <w:r w:rsidRPr="00C407A5">
        <w:rPr>
          <w:rFonts w:ascii="Calibri" w:hAnsi="Calibri"/>
          <w:color w:val="000000" w:themeColor="text1"/>
          <w:sz w:val="19"/>
          <w:szCs w:val="19"/>
        </w:rPr>
        <w:t>Tusaalaha B ayaa muujinaya horusocod dheeraad ah.</w:t>
      </w:r>
    </w:p>
    <w:p w14:paraId="0DD861B0" w14:textId="60A93722" w:rsidR="134DEFB0" w:rsidRPr="00C407A5" w:rsidRDefault="134DEFB0" w:rsidP="00863AC2">
      <w:pPr>
        <w:jc w:val="center"/>
        <w:rPr>
          <w:rFonts w:ascii="Calibri" w:eastAsia="Calibri" w:hAnsi="Calibri" w:cs="Calibri"/>
          <w:b/>
          <w:bCs/>
          <w:color w:val="000000" w:themeColor="text1"/>
          <w:sz w:val="19"/>
          <w:szCs w:val="19"/>
        </w:rPr>
      </w:pPr>
      <w:r w:rsidRPr="00C407A5">
        <w:rPr>
          <w:rFonts w:ascii="Calibri" w:hAnsi="Calibri"/>
          <w:b/>
          <w:bCs/>
          <w:color w:val="538135" w:themeColor="accent6" w:themeShade="BF"/>
          <w:sz w:val="19"/>
          <w:szCs w:val="19"/>
        </w:rPr>
        <w:t>Haddii aad u baahan tahay macluumaad dheeraad ah si aad u bixiso fikrad, fadlan kala xiriir:</w:t>
      </w:r>
      <w:r w:rsidRPr="00C407A5">
        <w:rPr>
          <w:rFonts w:ascii="Calibri" w:hAnsi="Calibri"/>
          <w:b/>
          <w:bCs/>
          <w:color w:val="538135" w:themeColor="accent6" w:themeShade="BF"/>
          <w:sz w:val="19"/>
          <w:szCs w:val="19"/>
        </w:rPr>
        <w:br/>
        <w:t>Lisa Bateman, Khabiir Waxbarasho, barta</w:t>
      </w:r>
      <w:r w:rsidRPr="00C407A5">
        <w:rPr>
          <w:rFonts w:ascii="Calibri" w:hAnsi="Calibri"/>
          <w:b/>
          <w:bCs/>
          <w:color w:val="000000" w:themeColor="text1"/>
          <w:sz w:val="19"/>
          <w:szCs w:val="19"/>
        </w:rPr>
        <w:t xml:space="preserve"> </w:t>
      </w:r>
      <w:r w:rsidRPr="00C407A5">
        <w:rPr>
          <w:rStyle w:val="Hyperlink"/>
          <w:rFonts w:ascii="Calibri" w:hAnsi="Calibri"/>
          <w:b/>
          <w:bCs/>
          <w:sz w:val="19"/>
          <w:szCs w:val="19"/>
        </w:rPr>
        <w:t>lisa.bateman@state.or.us</w:t>
      </w:r>
      <w:r w:rsidRPr="00C407A5">
        <w:rPr>
          <w:rFonts w:ascii="Calibri" w:hAnsi="Calibri"/>
          <w:b/>
          <w:bCs/>
          <w:color w:val="000000" w:themeColor="text1"/>
          <w:sz w:val="19"/>
          <w:szCs w:val="19"/>
        </w:rPr>
        <w:t>.</w:t>
      </w:r>
    </w:p>
    <w:sectPr w:rsidR="134DEFB0" w:rsidRPr="00C407A5">
      <w:footerReference w:type="default" r:id="rId14"/>
      <w:pgSz w:w="12240" w:h="15840"/>
      <w:pgMar w:top="720" w:right="1152" w:bottom="720" w:left="11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DC459" w16cex:dateUtc="2021-12-10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432D6A" w16cid:durableId="255DC4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DA5F6" w14:textId="77777777" w:rsidR="006E295F" w:rsidRDefault="006E295F" w:rsidP="00A015AF">
      <w:pPr>
        <w:spacing w:after="0" w:line="240" w:lineRule="auto"/>
      </w:pPr>
      <w:r>
        <w:separator/>
      </w:r>
    </w:p>
  </w:endnote>
  <w:endnote w:type="continuationSeparator" w:id="0">
    <w:p w14:paraId="609D4A98" w14:textId="77777777" w:rsidR="006E295F" w:rsidRDefault="006E295F" w:rsidP="00A015AF">
      <w:pPr>
        <w:spacing w:after="0" w:line="240" w:lineRule="auto"/>
      </w:pPr>
      <w:r>
        <w:continuationSeparator/>
      </w:r>
    </w:p>
  </w:endnote>
  <w:endnote w:type="continuationNotice" w:id="1">
    <w:p w14:paraId="75E75B80" w14:textId="77777777" w:rsidR="006E295F" w:rsidRDefault="006E29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44D70" w14:textId="6967B9DC" w:rsidR="11458547" w:rsidRPr="00010CE0" w:rsidRDefault="00BB6EA2" w:rsidP="11458547">
    <w:pPr>
      <w:pStyle w:val="Footer"/>
      <w:rPr>
        <w:sz w:val="19"/>
        <w:szCs w:val="19"/>
      </w:rPr>
    </w:pPr>
    <w:r w:rsidRPr="00010CE0">
      <w:rPr>
        <w:sz w:val="19"/>
        <w:szCs w:val="19"/>
      </w:rPr>
      <w:t>Xaanshida Xaqiiqda ee Qorshaha Waxqabadka Gobolka – Tilmaamaha B4A</w:t>
    </w:r>
    <w:r w:rsidRPr="00010CE0">
      <w:rPr>
        <w:sz w:val="19"/>
        <w:szCs w:val="19"/>
      </w:rPr>
      <w:fldChar w:fldCharType="begin"/>
    </w:r>
    <w:r w:rsidRPr="00010CE0">
      <w:rPr>
        <w:sz w:val="19"/>
        <w:szCs w:val="19"/>
      </w:rPr>
      <w:instrText xml:space="preserve"> PAGE   \* MERGEFORMAT </w:instrText>
    </w:r>
    <w:r w:rsidRPr="00010CE0">
      <w:rPr>
        <w:sz w:val="19"/>
        <w:szCs w:val="19"/>
      </w:rPr>
      <w:fldChar w:fldCharType="separate"/>
    </w:r>
    <w:r w:rsidR="008111BD">
      <w:rPr>
        <w:noProof/>
        <w:sz w:val="19"/>
        <w:szCs w:val="19"/>
      </w:rPr>
      <w:t>2</w:t>
    </w:r>
    <w:r w:rsidRPr="00010CE0">
      <w:rPr>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190C1" w14:textId="77777777" w:rsidR="006E295F" w:rsidRDefault="006E295F" w:rsidP="00A015AF">
      <w:pPr>
        <w:spacing w:after="0" w:line="240" w:lineRule="auto"/>
      </w:pPr>
      <w:r>
        <w:separator/>
      </w:r>
    </w:p>
  </w:footnote>
  <w:footnote w:type="continuationSeparator" w:id="0">
    <w:p w14:paraId="5EA1B8B5" w14:textId="77777777" w:rsidR="006E295F" w:rsidRDefault="006E295F" w:rsidP="00A015AF">
      <w:pPr>
        <w:spacing w:after="0" w:line="240" w:lineRule="auto"/>
      </w:pPr>
      <w:r>
        <w:continuationSeparator/>
      </w:r>
    </w:p>
  </w:footnote>
  <w:footnote w:type="continuationNotice" w:id="1">
    <w:p w14:paraId="6278F9FE" w14:textId="77777777" w:rsidR="006E295F" w:rsidRDefault="006E29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18F653A0"/>
    <w:multiLevelType w:val="hybridMultilevel"/>
    <w:tmpl w:val="EEE8E74A"/>
    <w:lvl w:ilvl="0" w:tplc="B180FCD8">
      <w:start w:val="1"/>
      <w:numFmt w:val="bullet"/>
      <w:lvlText w:val=""/>
      <w:lvlJc w:val="left"/>
      <w:pPr>
        <w:ind w:left="720" w:hanging="360"/>
      </w:pPr>
      <w:rPr>
        <w:rFonts w:ascii="Symbol" w:hAnsi="Symbol" w:hint="default"/>
      </w:rPr>
    </w:lvl>
    <w:lvl w:ilvl="1" w:tplc="704EBD6C">
      <w:start w:val="1"/>
      <w:numFmt w:val="bullet"/>
      <w:lvlText w:val="o"/>
      <w:lvlJc w:val="left"/>
      <w:pPr>
        <w:ind w:left="1440" w:hanging="360"/>
      </w:pPr>
      <w:rPr>
        <w:rFonts w:ascii="Courier New" w:hAnsi="Courier New" w:hint="default"/>
      </w:rPr>
    </w:lvl>
    <w:lvl w:ilvl="2" w:tplc="8948F59E">
      <w:start w:val="1"/>
      <w:numFmt w:val="bullet"/>
      <w:lvlText w:val=""/>
      <w:lvlJc w:val="left"/>
      <w:pPr>
        <w:ind w:left="2160" w:hanging="360"/>
      </w:pPr>
      <w:rPr>
        <w:rFonts w:ascii="Wingdings" w:hAnsi="Wingdings" w:hint="default"/>
      </w:rPr>
    </w:lvl>
    <w:lvl w:ilvl="3" w:tplc="63F8AA60">
      <w:start w:val="1"/>
      <w:numFmt w:val="bullet"/>
      <w:lvlText w:val=""/>
      <w:lvlJc w:val="left"/>
      <w:pPr>
        <w:ind w:left="2880" w:hanging="360"/>
      </w:pPr>
      <w:rPr>
        <w:rFonts w:ascii="Symbol" w:hAnsi="Symbol" w:hint="default"/>
      </w:rPr>
    </w:lvl>
    <w:lvl w:ilvl="4" w:tplc="BCF0FE88">
      <w:start w:val="1"/>
      <w:numFmt w:val="bullet"/>
      <w:lvlText w:val="o"/>
      <w:lvlJc w:val="left"/>
      <w:pPr>
        <w:ind w:left="3600" w:hanging="360"/>
      </w:pPr>
      <w:rPr>
        <w:rFonts w:ascii="Courier New" w:hAnsi="Courier New" w:hint="default"/>
      </w:rPr>
    </w:lvl>
    <w:lvl w:ilvl="5" w:tplc="75CC9C96">
      <w:start w:val="1"/>
      <w:numFmt w:val="bullet"/>
      <w:lvlText w:val=""/>
      <w:lvlJc w:val="left"/>
      <w:pPr>
        <w:ind w:left="4320" w:hanging="360"/>
      </w:pPr>
      <w:rPr>
        <w:rFonts w:ascii="Wingdings" w:hAnsi="Wingdings" w:hint="default"/>
      </w:rPr>
    </w:lvl>
    <w:lvl w:ilvl="6" w:tplc="BF3602FC">
      <w:start w:val="1"/>
      <w:numFmt w:val="bullet"/>
      <w:lvlText w:val=""/>
      <w:lvlJc w:val="left"/>
      <w:pPr>
        <w:ind w:left="5040" w:hanging="360"/>
      </w:pPr>
      <w:rPr>
        <w:rFonts w:ascii="Symbol" w:hAnsi="Symbol" w:hint="default"/>
      </w:rPr>
    </w:lvl>
    <w:lvl w:ilvl="7" w:tplc="E5626470">
      <w:start w:val="1"/>
      <w:numFmt w:val="bullet"/>
      <w:lvlText w:val="o"/>
      <w:lvlJc w:val="left"/>
      <w:pPr>
        <w:ind w:left="5760" w:hanging="360"/>
      </w:pPr>
      <w:rPr>
        <w:rFonts w:ascii="Courier New" w:hAnsi="Courier New" w:hint="default"/>
      </w:rPr>
    </w:lvl>
    <w:lvl w:ilvl="8" w:tplc="A3905C88">
      <w:start w:val="1"/>
      <w:numFmt w:val="bullet"/>
      <w:lvlText w:val=""/>
      <w:lvlJc w:val="left"/>
      <w:pPr>
        <w:ind w:left="6480" w:hanging="360"/>
      </w:pPr>
      <w:rPr>
        <w:rFonts w:ascii="Wingdings" w:hAnsi="Wingdings" w:hint="default"/>
      </w:rPr>
    </w:lvl>
  </w:abstractNum>
  <w:abstractNum w:abstractNumId="2"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3" w15:restartNumberingAfterBreak="0">
    <w:nsid w:val="1E6D79B9"/>
    <w:multiLevelType w:val="hybridMultilevel"/>
    <w:tmpl w:val="F0CEB0B4"/>
    <w:lvl w:ilvl="0" w:tplc="64A464E2">
      <w:start w:val="1"/>
      <w:numFmt w:val="bullet"/>
      <w:lvlText w:val=""/>
      <w:lvlJc w:val="left"/>
      <w:pPr>
        <w:ind w:left="720" w:hanging="360"/>
      </w:pPr>
      <w:rPr>
        <w:rFonts w:ascii="Symbol" w:hAnsi="Symbol" w:hint="default"/>
      </w:rPr>
    </w:lvl>
    <w:lvl w:ilvl="1" w:tplc="B31CE896">
      <w:start w:val="1"/>
      <w:numFmt w:val="bullet"/>
      <w:lvlText w:val="o"/>
      <w:lvlJc w:val="left"/>
      <w:pPr>
        <w:ind w:left="1440" w:hanging="360"/>
      </w:pPr>
      <w:rPr>
        <w:rFonts w:ascii="Courier New" w:hAnsi="Courier New" w:hint="default"/>
      </w:rPr>
    </w:lvl>
    <w:lvl w:ilvl="2" w:tplc="6ECAB0AC">
      <w:start w:val="1"/>
      <w:numFmt w:val="bullet"/>
      <w:lvlText w:val=""/>
      <w:lvlJc w:val="left"/>
      <w:pPr>
        <w:ind w:left="2160" w:hanging="360"/>
      </w:pPr>
      <w:rPr>
        <w:rFonts w:ascii="Wingdings" w:hAnsi="Wingdings" w:hint="default"/>
      </w:rPr>
    </w:lvl>
    <w:lvl w:ilvl="3" w:tplc="2E72509E">
      <w:start w:val="1"/>
      <w:numFmt w:val="bullet"/>
      <w:lvlText w:val=""/>
      <w:lvlJc w:val="left"/>
      <w:pPr>
        <w:ind w:left="2880" w:hanging="360"/>
      </w:pPr>
      <w:rPr>
        <w:rFonts w:ascii="Symbol" w:hAnsi="Symbol" w:hint="default"/>
      </w:rPr>
    </w:lvl>
    <w:lvl w:ilvl="4" w:tplc="456CA1DC">
      <w:start w:val="1"/>
      <w:numFmt w:val="bullet"/>
      <w:lvlText w:val="o"/>
      <w:lvlJc w:val="left"/>
      <w:pPr>
        <w:ind w:left="3600" w:hanging="360"/>
      </w:pPr>
      <w:rPr>
        <w:rFonts w:ascii="Courier New" w:hAnsi="Courier New" w:hint="default"/>
      </w:rPr>
    </w:lvl>
    <w:lvl w:ilvl="5" w:tplc="F59297F0">
      <w:start w:val="1"/>
      <w:numFmt w:val="bullet"/>
      <w:lvlText w:val=""/>
      <w:lvlJc w:val="left"/>
      <w:pPr>
        <w:ind w:left="4320" w:hanging="360"/>
      </w:pPr>
      <w:rPr>
        <w:rFonts w:ascii="Wingdings" w:hAnsi="Wingdings" w:hint="default"/>
      </w:rPr>
    </w:lvl>
    <w:lvl w:ilvl="6" w:tplc="61B6F44C">
      <w:start w:val="1"/>
      <w:numFmt w:val="bullet"/>
      <w:lvlText w:val=""/>
      <w:lvlJc w:val="left"/>
      <w:pPr>
        <w:ind w:left="5040" w:hanging="360"/>
      </w:pPr>
      <w:rPr>
        <w:rFonts w:ascii="Symbol" w:hAnsi="Symbol" w:hint="default"/>
      </w:rPr>
    </w:lvl>
    <w:lvl w:ilvl="7" w:tplc="8D9ACD00">
      <w:start w:val="1"/>
      <w:numFmt w:val="bullet"/>
      <w:lvlText w:val="o"/>
      <w:lvlJc w:val="left"/>
      <w:pPr>
        <w:ind w:left="5760" w:hanging="360"/>
      </w:pPr>
      <w:rPr>
        <w:rFonts w:ascii="Courier New" w:hAnsi="Courier New" w:hint="default"/>
      </w:rPr>
    </w:lvl>
    <w:lvl w:ilvl="8" w:tplc="08F84D88">
      <w:start w:val="1"/>
      <w:numFmt w:val="bullet"/>
      <w:lvlText w:val=""/>
      <w:lvlJc w:val="left"/>
      <w:pPr>
        <w:ind w:left="6480" w:hanging="360"/>
      </w:pPr>
      <w:rPr>
        <w:rFonts w:ascii="Wingdings" w:hAnsi="Wingdings" w:hint="default"/>
      </w:rPr>
    </w:lvl>
  </w:abstractNum>
  <w:abstractNum w:abstractNumId="4"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5"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6"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C766BB"/>
    <w:multiLevelType w:val="hybridMultilevel"/>
    <w:tmpl w:val="9E407996"/>
    <w:lvl w:ilvl="0" w:tplc="126879B8">
      <w:start w:val="1"/>
      <w:numFmt w:val="bullet"/>
      <w:lvlText w:val=""/>
      <w:lvlJc w:val="left"/>
      <w:pPr>
        <w:ind w:left="720" w:hanging="360"/>
      </w:pPr>
      <w:rPr>
        <w:rFonts w:ascii="Symbol" w:hAnsi="Symbol" w:hint="default"/>
      </w:rPr>
    </w:lvl>
    <w:lvl w:ilvl="1" w:tplc="F8EC3D40">
      <w:start w:val="1"/>
      <w:numFmt w:val="bullet"/>
      <w:lvlText w:val="o"/>
      <w:lvlJc w:val="left"/>
      <w:pPr>
        <w:ind w:left="1440" w:hanging="360"/>
      </w:pPr>
      <w:rPr>
        <w:rFonts w:ascii="Courier New" w:hAnsi="Courier New" w:hint="default"/>
      </w:rPr>
    </w:lvl>
    <w:lvl w:ilvl="2" w:tplc="50B82F96">
      <w:start w:val="1"/>
      <w:numFmt w:val="bullet"/>
      <w:lvlText w:val=""/>
      <w:lvlJc w:val="left"/>
      <w:pPr>
        <w:ind w:left="2160" w:hanging="360"/>
      </w:pPr>
      <w:rPr>
        <w:rFonts w:ascii="Wingdings" w:hAnsi="Wingdings" w:hint="default"/>
      </w:rPr>
    </w:lvl>
    <w:lvl w:ilvl="3" w:tplc="1624A04C">
      <w:start w:val="1"/>
      <w:numFmt w:val="bullet"/>
      <w:lvlText w:val=""/>
      <w:lvlJc w:val="left"/>
      <w:pPr>
        <w:ind w:left="2880" w:hanging="360"/>
      </w:pPr>
      <w:rPr>
        <w:rFonts w:ascii="Symbol" w:hAnsi="Symbol" w:hint="default"/>
      </w:rPr>
    </w:lvl>
    <w:lvl w:ilvl="4" w:tplc="20385178">
      <w:start w:val="1"/>
      <w:numFmt w:val="bullet"/>
      <w:lvlText w:val="o"/>
      <w:lvlJc w:val="left"/>
      <w:pPr>
        <w:ind w:left="3600" w:hanging="360"/>
      </w:pPr>
      <w:rPr>
        <w:rFonts w:ascii="Courier New" w:hAnsi="Courier New" w:hint="default"/>
      </w:rPr>
    </w:lvl>
    <w:lvl w:ilvl="5" w:tplc="DCDA59CA">
      <w:start w:val="1"/>
      <w:numFmt w:val="bullet"/>
      <w:lvlText w:val=""/>
      <w:lvlJc w:val="left"/>
      <w:pPr>
        <w:ind w:left="4320" w:hanging="360"/>
      </w:pPr>
      <w:rPr>
        <w:rFonts w:ascii="Wingdings" w:hAnsi="Wingdings" w:hint="default"/>
      </w:rPr>
    </w:lvl>
    <w:lvl w:ilvl="6" w:tplc="04EE8CE4">
      <w:start w:val="1"/>
      <w:numFmt w:val="bullet"/>
      <w:lvlText w:val=""/>
      <w:lvlJc w:val="left"/>
      <w:pPr>
        <w:ind w:left="5040" w:hanging="360"/>
      </w:pPr>
      <w:rPr>
        <w:rFonts w:ascii="Symbol" w:hAnsi="Symbol" w:hint="default"/>
      </w:rPr>
    </w:lvl>
    <w:lvl w:ilvl="7" w:tplc="75A22714">
      <w:start w:val="1"/>
      <w:numFmt w:val="bullet"/>
      <w:lvlText w:val="o"/>
      <w:lvlJc w:val="left"/>
      <w:pPr>
        <w:ind w:left="5760" w:hanging="360"/>
      </w:pPr>
      <w:rPr>
        <w:rFonts w:ascii="Courier New" w:hAnsi="Courier New" w:hint="default"/>
      </w:rPr>
    </w:lvl>
    <w:lvl w:ilvl="8" w:tplc="73D29E7E">
      <w:start w:val="1"/>
      <w:numFmt w:val="bullet"/>
      <w:lvlText w:val=""/>
      <w:lvlJc w:val="left"/>
      <w:pPr>
        <w:ind w:left="6480" w:hanging="360"/>
      </w:pPr>
      <w:rPr>
        <w:rFonts w:ascii="Wingdings" w:hAnsi="Wingdings" w:hint="default"/>
      </w:rPr>
    </w:lvl>
  </w:abstractNum>
  <w:abstractNum w:abstractNumId="11"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5"/>
  </w:num>
  <w:num w:numId="5">
    <w:abstractNumId w:val="4"/>
  </w:num>
  <w:num w:numId="6">
    <w:abstractNumId w:val="0"/>
  </w:num>
  <w:num w:numId="7">
    <w:abstractNumId w:val="2"/>
  </w:num>
  <w:num w:numId="8">
    <w:abstractNumId w:val="8"/>
  </w:num>
  <w:num w:numId="9">
    <w:abstractNumId w:val="9"/>
  </w:num>
  <w:num w:numId="10">
    <w:abstractNumId w:val="6"/>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10CE0"/>
    <w:rsid w:val="000B7B51"/>
    <w:rsid w:val="000E4FA0"/>
    <w:rsid w:val="001010B9"/>
    <w:rsid w:val="001B52CA"/>
    <w:rsid w:val="001D55B0"/>
    <w:rsid w:val="0022411C"/>
    <w:rsid w:val="0026797A"/>
    <w:rsid w:val="0027587A"/>
    <w:rsid w:val="002A100A"/>
    <w:rsid w:val="002D66CC"/>
    <w:rsid w:val="00300812"/>
    <w:rsid w:val="00300D8D"/>
    <w:rsid w:val="00300F93"/>
    <w:rsid w:val="00327EB0"/>
    <w:rsid w:val="00344E90"/>
    <w:rsid w:val="00350362"/>
    <w:rsid w:val="003554B6"/>
    <w:rsid w:val="0035696D"/>
    <w:rsid w:val="00356BE5"/>
    <w:rsid w:val="00373050"/>
    <w:rsid w:val="003931A2"/>
    <w:rsid w:val="003B2D38"/>
    <w:rsid w:val="003F29AA"/>
    <w:rsid w:val="00458732"/>
    <w:rsid w:val="00472F13"/>
    <w:rsid w:val="00485E63"/>
    <w:rsid w:val="00496DD9"/>
    <w:rsid w:val="004C5ABE"/>
    <w:rsid w:val="004F6C8F"/>
    <w:rsid w:val="00506FC3"/>
    <w:rsid w:val="00551272"/>
    <w:rsid w:val="0059714F"/>
    <w:rsid w:val="005A7631"/>
    <w:rsid w:val="005D6523"/>
    <w:rsid w:val="006231FB"/>
    <w:rsid w:val="00665A1E"/>
    <w:rsid w:val="00686AA4"/>
    <w:rsid w:val="006B3525"/>
    <w:rsid w:val="006E295F"/>
    <w:rsid w:val="00770DA0"/>
    <w:rsid w:val="007911BE"/>
    <w:rsid w:val="00800077"/>
    <w:rsid w:val="00800630"/>
    <w:rsid w:val="008111BD"/>
    <w:rsid w:val="00863AC2"/>
    <w:rsid w:val="008707C4"/>
    <w:rsid w:val="00872B58"/>
    <w:rsid w:val="00872BA4"/>
    <w:rsid w:val="00887339"/>
    <w:rsid w:val="008E65C5"/>
    <w:rsid w:val="00963CE4"/>
    <w:rsid w:val="00976EA9"/>
    <w:rsid w:val="00980D00"/>
    <w:rsid w:val="009A23AC"/>
    <w:rsid w:val="009C5702"/>
    <w:rsid w:val="00A015AF"/>
    <w:rsid w:val="00A106D4"/>
    <w:rsid w:val="00A42905"/>
    <w:rsid w:val="00AB54F2"/>
    <w:rsid w:val="00AD794D"/>
    <w:rsid w:val="00AF0B40"/>
    <w:rsid w:val="00B30905"/>
    <w:rsid w:val="00B51C91"/>
    <w:rsid w:val="00B542E4"/>
    <w:rsid w:val="00B56658"/>
    <w:rsid w:val="00B77D28"/>
    <w:rsid w:val="00B87EF5"/>
    <w:rsid w:val="00B9167F"/>
    <w:rsid w:val="00BB0B34"/>
    <w:rsid w:val="00BB6EA2"/>
    <w:rsid w:val="00BC1904"/>
    <w:rsid w:val="00BD5AD6"/>
    <w:rsid w:val="00BD6B54"/>
    <w:rsid w:val="00C06C4E"/>
    <w:rsid w:val="00C407A5"/>
    <w:rsid w:val="00C41661"/>
    <w:rsid w:val="00C43BD2"/>
    <w:rsid w:val="00C53B82"/>
    <w:rsid w:val="00CA1046"/>
    <w:rsid w:val="00CA3BE5"/>
    <w:rsid w:val="00CB4075"/>
    <w:rsid w:val="00CD2C98"/>
    <w:rsid w:val="00D330A6"/>
    <w:rsid w:val="00D71053"/>
    <w:rsid w:val="00D762C9"/>
    <w:rsid w:val="00D9277C"/>
    <w:rsid w:val="00DB37A5"/>
    <w:rsid w:val="00DC5156"/>
    <w:rsid w:val="00DD086F"/>
    <w:rsid w:val="00DE49CF"/>
    <w:rsid w:val="00E0137B"/>
    <w:rsid w:val="00E441BE"/>
    <w:rsid w:val="00E63F8D"/>
    <w:rsid w:val="00EA4E02"/>
    <w:rsid w:val="00EC75DD"/>
    <w:rsid w:val="00EF0C9F"/>
    <w:rsid w:val="00F14F43"/>
    <w:rsid w:val="00F46949"/>
    <w:rsid w:val="00F84723"/>
    <w:rsid w:val="00FB5DC0"/>
    <w:rsid w:val="00FC0AA2"/>
    <w:rsid w:val="00FD77B2"/>
    <w:rsid w:val="017A6FA3"/>
    <w:rsid w:val="01ED20D3"/>
    <w:rsid w:val="02251F92"/>
    <w:rsid w:val="0365F255"/>
    <w:rsid w:val="044F1072"/>
    <w:rsid w:val="045BF1AD"/>
    <w:rsid w:val="05A836D4"/>
    <w:rsid w:val="0643A2AB"/>
    <w:rsid w:val="06953851"/>
    <w:rsid w:val="07C9D6E0"/>
    <w:rsid w:val="07D04B2D"/>
    <w:rsid w:val="081C60CA"/>
    <w:rsid w:val="082CC511"/>
    <w:rsid w:val="09335D90"/>
    <w:rsid w:val="0A003D7F"/>
    <w:rsid w:val="0A2CDC34"/>
    <w:rsid w:val="0AAD7BC6"/>
    <w:rsid w:val="0ABE3CF3"/>
    <w:rsid w:val="0B11FEFA"/>
    <w:rsid w:val="0B773283"/>
    <w:rsid w:val="0B8E293D"/>
    <w:rsid w:val="0B99F1C1"/>
    <w:rsid w:val="0C2DCDBC"/>
    <w:rsid w:val="0C34B4F6"/>
    <w:rsid w:val="0C8156BD"/>
    <w:rsid w:val="0CD70CBB"/>
    <w:rsid w:val="0D0A4BA7"/>
    <w:rsid w:val="0E04191D"/>
    <w:rsid w:val="0E16BC08"/>
    <w:rsid w:val="0EBFA8C5"/>
    <w:rsid w:val="0ECBA6C1"/>
    <w:rsid w:val="0F2C8211"/>
    <w:rsid w:val="0FF4EC02"/>
    <w:rsid w:val="100626D9"/>
    <w:rsid w:val="1039C8F6"/>
    <w:rsid w:val="10508FBE"/>
    <w:rsid w:val="11458547"/>
    <w:rsid w:val="118102CB"/>
    <w:rsid w:val="118B1692"/>
    <w:rsid w:val="12CF9C68"/>
    <w:rsid w:val="12ECAFE9"/>
    <w:rsid w:val="13031F34"/>
    <w:rsid w:val="1304DF78"/>
    <w:rsid w:val="134DEFB0"/>
    <w:rsid w:val="137D2887"/>
    <w:rsid w:val="13DAC150"/>
    <w:rsid w:val="143B419E"/>
    <w:rsid w:val="148FBD78"/>
    <w:rsid w:val="15CE0E12"/>
    <w:rsid w:val="15E78A03"/>
    <w:rsid w:val="1651B394"/>
    <w:rsid w:val="1666A711"/>
    <w:rsid w:val="16F3CB71"/>
    <w:rsid w:val="1711FEE5"/>
    <w:rsid w:val="17495722"/>
    <w:rsid w:val="19776AF4"/>
    <w:rsid w:val="19CC8DFF"/>
    <w:rsid w:val="1ABF8DB2"/>
    <w:rsid w:val="1B7C5E0B"/>
    <w:rsid w:val="1BB44B0B"/>
    <w:rsid w:val="1E2A045C"/>
    <w:rsid w:val="1E97D5E6"/>
    <w:rsid w:val="1F270DDB"/>
    <w:rsid w:val="1F7457EA"/>
    <w:rsid w:val="1F95CBF4"/>
    <w:rsid w:val="1F9C634C"/>
    <w:rsid w:val="1FD708CF"/>
    <w:rsid w:val="201CF74B"/>
    <w:rsid w:val="213833AD"/>
    <w:rsid w:val="21966300"/>
    <w:rsid w:val="234DB5E1"/>
    <w:rsid w:val="236B4709"/>
    <w:rsid w:val="2458AF87"/>
    <w:rsid w:val="255201E7"/>
    <w:rsid w:val="25807E8A"/>
    <w:rsid w:val="25EDCB23"/>
    <w:rsid w:val="275154E9"/>
    <w:rsid w:val="27576571"/>
    <w:rsid w:val="2822FAC6"/>
    <w:rsid w:val="282E2091"/>
    <w:rsid w:val="2AA4BDA7"/>
    <w:rsid w:val="2AC8B079"/>
    <w:rsid w:val="2AD1A3FE"/>
    <w:rsid w:val="2B71373A"/>
    <w:rsid w:val="2C6CDE68"/>
    <w:rsid w:val="2D51159C"/>
    <w:rsid w:val="2D7FEF55"/>
    <w:rsid w:val="2E410E00"/>
    <w:rsid w:val="2E477674"/>
    <w:rsid w:val="2E952437"/>
    <w:rsid w:val="2EECE5FD"/>
    <w:rsid w:val="2FF0FDBA"/>
    <w:rsid w:val="3041410F"/>
    <w:rsid w:val="30CDEACE"/>
    <w:rsid w:val="30E407B3"/>
    <w:rsid w:val="31D54F44"/>
    <w:rsid w:val="328E971D"/>
    <w:rsid w:val="32B1B4D3"/>
    <w:rsid w:val="32E87EF7"/>
    <w:rsid w:val="3378E1D1"/>
    <w:rsid w:val="351280C1"/>
    <w:rsid w:val="38171751"/>
    <w:rsid w:val="386E153C"/>
    <w:rsid w:val="38B71D6A"/>
    <w:rsid w:val="39648390"/>
    <w:rsid w:val="396D877D"/>
    <w:rsid w:val="39725B81"/>
    <w:rsid w:val="39F1CCBC"/>
    <w:rsid w:val="3A6FAE9D"/>
    <w:rsid w:val="3C0A79D6"/>
    <w:rsid w:val="3C0B83B4"/>
    <w:rsid w:val="3CD7CCF5"/>
    <w:rsid w:val="3CE68E41"/>
    <w:rsid w:val="3D2BDA56"/>
    <w:rsid w:val="3E64F3E0"/>
    <w:rsid w:val="3EA8BBDF"/>
    <w:rsid w:val="3EFAF9E1"/>
    <w:rsid w:val="404F61D3"/>
    <w:rsid w:val="41B2989F"/>
    <w:rsid w:val="427FB747"/>
    <w:rsid w:val="428E0291"/>
    <w:rsid w:val="433DFD85"/>
    <w:rsid w:val="43596AE6"/>
    <w:rsid w:val="439FDF39"/>
    <w:rsid w:val="43F249A9"/>
    <w:rsid w:val="45222427"/>
    <w:rsid w:val="45C3E30F"/>
    <w:rsid w:val="46837A4F"/>
    <w:rsid w:val="476173B4"/>
    <w:rsid w:val="47C83790"/>
    <w:rsid w:val="47CEB289"/>
    <w:rsid w:val="48378762"/>
    <w:rsid w:val="48E7518B"/>
    <w:rsid w:val="49F4EE38"/>
    <w:rsid w:val="4A194456"/>
    <w:rsid w:val="4A54C733"/>
    <w:rsid w:val="4A9B697A"/>
    <w:rsid w:val="4AB86F41"/>
    <w:rsid w:val="4B11191C"/>
    <w:rsid w:val="4B4F307A"/>
    <w:rsid w:val="4BBB7754"/>
    <w:rsid w:val="4CCE58BB"/>
    <w:rsid w:val="4D7D2065"/>
    <w:rsid w:val="4DC759FD"/>
    <w:rsid w:val="4E6A8F31"/>
    <w:rsid w:val="4F3BF885"/>
    <w:rsid w:val="4FEDB4EA"/>
    <w:rsid w:val="507C7E08"/>
    <w:rsid w:val="5111616E"/>
    <w:rsid w:val="51370D45"/>
    <w:rsid w:val="51F994DB"/>
    <w:rsid w:val="5216D46F"/>
    <w:rsid w:val="5279CFC6"/>
    <w:rsid w:val="52BF22C0"/>
    <w:rsid w:val="53EEDAD6"/>
    <w:rsid w:val="547E444A"/>
    <w:rsid w:val="547FFAE0"/>
    <w:rsid w:val="557B9F8C"/>
    <w:rsid w:val="557DB8F8"/>
    <w:rsid w:val="5625A594"/>
    <w:rsid w:val="56277CA2"/>
    <w:rsid w:val="56B4A16F"/>
    <w:rsid w:val="585071D0"/>
    <w:rsid w:val="5878D708"/>
    <w:rsid w:val="59405C85"/>
    <w:rsid w:val="594A8349"/>
    <w:rsid w:val="594D45D0"/>
    <w:rsid w:val="59BADF24"/>
    <w:rsid w:val="5ADC2CE6"/>
    <w:rsid w:val="5BB66BB1"/>
    <w:rsid w:val="5BCF6986"/>
    <w:rsid w:val="5C37FD43"/>
    <w:rsid w:val="5CBBFCC9"/>
    <w:rsid w:val="5E4C9A5B"/>
    <w:rsid w:val="5F88197C"/>
    <w:rsid w:val="6002AB7F"/>
    <w:rsid w:val="6010CC80"/>
    <w:rsid w:val="6079BFEB"/>
    <w:rsid w:val="62059022"/>
    <w:rsid w:val="62289522"/>
    <w:rsid w:val="6240FA37"/>
    <w:rsid w:val="634338B4"/>
    <w:rsid w:val="6444DFAF"/>
    <w:rsid w:val="6551DB58"/>
    <w:rsid w:val="6575746A"/>
    <w:rsid w:val="65943897"/>
    <w:rsid w:val="65DFD2A5"/>
    <w:rsid w:val="65E9D2E5"/>
    <w:rsid w:val="66777201"/>
    <w:rsid w:val="66D90145"/>
    <w:rsid w:val="67A7E7A3"/>
    <w:rsid w:val="693027CC"/>
    <w:rsid w:val="695994BF"/>
    <w:rsid w:val="695A588D"/>
    <w:rsid w:val="6A5506BC"/>
    <w:rsid w:val="6AF553B1"/>
    <w:rsid w:val="6B2CB8EF"/>
    <w:rsid w:val="6B5ECC4A"/>
    <w:rsid w:val="6BE21697"/>
    <w:rsid w:val="6C8AFDEF"/>
    <w:rsid w:val="6CBDC2CC"/>
    <w:rsid w:val="6D11706C"/>
    <w:rsid w:val="6D1B4991"/>
    <w:rsid w:val="6D33F6A2"/>
    <w:rsid w:val="6E3A6498"/>
    <w:rsid w:val="6E79A38F"/>
    <w:rsid w:val="6F8C3B8E"/>
    <w:rsid w:val="6F923161"/>
    <w:rsid w:val="6F9DEAC1"/>
    <w:rsid w:val="700CE321"/>
    <w:rsid w:val="70350FDD"/>
    <w:rsid w:val="70622CEC"/>
    <w:rsid w:val="7222B9C5"/>
    <w:rsid w:val="73B2F60B"/>
    <w:rsid w:val="73F7DBF8"/>
    <w:rsid w:val="75B1BA69"/>
    <w:rsid w:val="761FB338"/>
    <w:rsid w:val="768742F6"/>
    <w:rsid w:val="790F151A"/>
    <w:rsid w:val="79577504"/>
    <w:rsid w:val="798C1E3F"/>
    <w:rsid w:val="79F41046"/>
    <w:rsid w:val="7ADECC18"/>
    <w:rsid w:val="7B475C77"/>
    <w:rsid w:val="7BDE2E06"/>
    <w:rsid w:val="7D5128D7"/>
    <w:rsid w:val="7D7C76F4"/>
    <w:rsid w:val="7D880A16"/>
    <w:rsid w:val="7DF0AAE8"/>
    <w:rsid w:val="7F204854"/>
    <w:rsid w:val="7FE72F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46949"/>
    <w:rPr>
      <w:b/>
      <w:bCs/>
    </w:rPr>
  </w:style>
  <w:style w:type="character" w:customStyle="1" w:styleId="CommentSubjectChar">
    <w:name w:val="Comment Subject Char"/>
    <w:basedOn w:val="CommentTextChar"/>
    <w:link w:val="CommentSubject"/>
    <w:uiPriority w:val="99"/>
    <w:semiHidden/>
    <w:rsid w:val="00F46949"/>
    <w:rPr>
      <w:b/>
      <w:bCs/>
      <w:sz w:val="20"/>
      <w:szCs w:val="20"/>
    </w:rPr>
  </w:style>
  <w:style w:type="paragraph" w:styleId="NormalWeb">
    <w:name w:val="Normal (Web)"/>
    <w:basedOn w:val="Normal"/>
    <w:uiPriority w:val="99"/>
    <w:semiHidden/>
    <w:unhideWhenUsed/>
    <w:rsid w:val="0080063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martsheet.com/b/publish?EQBCT=f3071e8bc3114363b078314a6e577265"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o-SO" sz="1250" b="1">
                <a:solidFill>
                  <a:srgbClr val="1B75BC"/>
                </a:solidFill>
              </a:rPr>
              <a:t>Xogta (Ka Joojinta/Ka Ceyrinta Waxbarashada)</a:t>
            </a:r>
            <a:r>
              <a:rPr lang="en-US" sz="1250" b="1">
                <a:solidFill>
                  <a:srgbClr val="1B75BC"/>
                </a:solidFill>
              </a:rPr>
              <a:t> ee Tilmaamaha B4A ee Oregon</a:t>
            </a:r>
            <a:endParaRPr lang="so-SO" sz="1250" b="1">
              <a:solidFill>
                <a:srgbClr val="1B75BC"/>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B4A!$A$2</c:f>
              <c:strCache>
                <c:ptCount val="1"/>
                <c:pt idx="0">
                  <c:v>Data</c:v>
                </c:pt>
              </c:strCache>
            </c:strRef>
          </c:tx>
          <c:spPr>
            <a:ln w="28575" cap="rnd">
              <a:solidFill>
                <a:srgbClr val="1B75BC"/>
              </a:solidFill>
              <a:round/>
            </a:ln>
            <a:effectLst/>
          </c:spPr>
          <c:marker>
            <c:symbol val="none"/>
          </c:marker>
          <c:dLbls>
            <c:dLbl>
              <c:idx val="0"/>
              <c:layout>
                <c:manualLayout>
                  <c:x val="-4.4456279584309387E-2"/>
                  <c:y val="-3.644079391520758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451-427F-89F8-A20F0FD84EFE}"/>
                </c:ext>
              </c:extLst>
            </c:dLbl>
            <c:dLbl>
              <c:idx val="1"/>
              <c:layout>
                <c:manualLayout>
                  <c:x val="-5.6029368281796874E-2"/>
                  <c:y val="-4.278244829803978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451-427F-89F8-A20F0FD84EFE}"/>
                </c:ext>
              </c:extLst>
            </c:dLbl>
            <c:dLbl>
              <c:idx val="3"/>
              <c:layout>
                <c:manualLayout>
                  <c:x val="-3.4339943310281895E-2"/>
                  <c:y val="6.502567621010750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451-427F-89F8-A20F0FD84EFE}"/>
                </c:ext>
              </c:extLst>
            </c:dLbl>
            <c:dLbl>
              <c:idx val="4"/>
              <c:layout>
                <c:manualLayout>
                  <c:x val="-5.0526081348725882E-2"/>
                  <c:y val="3.64882314873625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451-427F-89F8-A20F0FD84EF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B4A!$B$1:$H$1</c:f>
              <c:numCache>
                <c:formatCode>General</c:formatCode>
                <c:ptCount val="7"/>
                <c:pt idx="0">
                  <c:v>2014</c:v>
                </c:pt>
                <c:pt idx="1">
                  <c:v>2015</c:v>
                </c:pt>
                <c:pt idx="3">
                  <c:v>2016</c:v>
                </c:pt>
                <c:pt idx="4">
                  <c:v>2017</c:v>
                </c:pt>
                <c:pt idx="5">
                  <c:v>2018</c:v>
                </c:pt>
                <c:pt idx="6">
                  <c:v>2019</c:v>
                </c:pt>
              </c:numCache>
            </c:numRef>
          </c:cat>
          <c:val>
            <c:numRef>
              <c:f>B4A!$B$2:$H$2</c:f>
              <c:numCache>
                <c:formatCode>0.00%</c:formatCode>
                <c:ptCount val="7"/>
                <c:pt idx="0">
                  <c:v>0.1371</c:v>
                </c:pt>
                <c:pt idx="1">
                  <c:v>8.6300000000000002E-2</c:v>
                </c:pt>
                <c:pt idx="3">
                  <c:v>0.62960000000000005</c:v>
                </c:pt>
                <c:pt idx="4">
                  <c:v>0.66669999999999996</c:v>
                </c:pt>
                <c:pt idx="5">
                  <c:v>0.53129999999999999</c:v>
                </c:pt>
                <c:pt idx="6">
                  <c:v>0.6774</c:v>
                </c:pt>
              </c:numCache>
            </c:numRef>
          </c:val>
          <c:smooth val="0"/>
          <c:extLst>
            <c:ext xmlns:c16="http://schemas.microsoft.com/office/drawing/2014/chart" uri="{C3380CC4-5D6E-409C-BE32-E72D297353CC}">
              <c16:uniqueId val="{00000004-5451-427F-89F8-A20F0FD84EFE}"/>
            </c:ext>
          </c:extLst>
        </c:ser>
        <c:ser>
          <c:idx val="1"/>
          <c:order val="1"/>
          <c:tx>
            <c:strRef>
              <c:f>B4A!$A$3</c:f>
              <c:strCache>
                <c:ptCount val="1"/>
                <c:pt idx="0">
                  <c:v>Target &lt;=</c:v>
                </c:pt>
              </c:strCache>
            </c:strRef>
          </c:tx>
          <c:spPr>
            <a:ln w="28575" cap="rnd">
              <a:solidFill>
                <a:srgbClr val="408740"/>
              </a:solidFill>
              <a:round/>
            </a:ln>
            <a:effectLst/>
          </c:spPr>
          <c:marker>
            <c:symbol val="none"/>
          </c:marker>
          <c:dLbls>
            <c:dLbl>
              <c:idx val="0"/>
              <c:layout>
                <c:manualLayout>
                  <c:x val="-4.046024709987741E-2"/>
                  <c:y val="-2.69283123409594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451-427F-89F8-A20F0FD84EFE}"/>
                </c:ext>
              </c:extLst>
            </c:dLbl>
            <c:dLbl>
              <c:idx val="1"/>
              <c:layout>
                <c:manualLayout>
                  <c:x val="-1.011123827779495E-2"/>
                  <c:y val="4.779959573201667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451-427F-89F8-A20F0FD84EFE}"/>
                </c:ext>
              </c:extLst>
            </c:dLbl>
            <c:dLbl>
              <c:idx val="4"/>
              <c:layout>
                <c:manualLayout>
                  <c:x val="-3.2933692912000941E-2"/>
                  <c:y val="-4.278244829803978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451-427F-89F8-A20F0FD84EFE}"/>
                </c:ext>
              </c:extLst>
            </c:dLbl>
            <c:dLbl>
              <c:idx val="6"/>
              <c:layout>
                <c:manualLayout>
                  <c:x val="-3.4956960166806439E-2"/>
                  <c:y val="2.697574991311428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451-427F-89F8-A20F0FD84EF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B4A!$B$1:$H$1</c:f>
              <c:numCache>
                <c:formatCode>General</c:formatCode>
                <c:ptCount val="7"/>
                <c:pt idx="0">
                  <c:v>2014</c:v>
                </c:pt>
                <c:pt idx="1">
                  <c:v>2015</c:v>
                </c:pt>
                <c:pt idx="3">
                  <c:v>2016</c:v>
                </c:pt>
                <c:pt idx="4">
                  <c:v>2017</c:v>
                </c:pt>
                <c:pt idx="5">
                  <c:v>2018</c:v>
                </c:pt>
                <c:pt idx="6">
                  <c:v>2019</c:v>
                </c:pt>
              </c:numCache>
            </c:numRef>
          </c:cat>
          <c:val>
            <c:numRef>
              <c:f>B4A!$B$3:$H$3</c:f>
              <c:numCache>
                <c:formatCode>0.00%</c:formatCode>
                <c:ptCount val="7"/>
                <c:pt idx="0">
                  <c:v>7.1999999999999995E-2</c:v>
                </c:pt>
                <c:pt idx="1">
                  <c:v>6.7000000000000004E-2</c:v>
                </c:pt>
                <c:pt idx="3">
                  <c:v>0.6865</c:v>
                </c:pt>
                <c:pt idx="4">
                  <c:v>0.68149999999999999</c:v>
                </c:pt>
                <c:pt idx="5">
                  <c:v>0.67649999999999999</c:v>
                </c:pt>
                <c:pt idx="6">
                  <c:v>0.62</c:v>
                </c:pt>
              </c:numCache>
            </c:numRef>
          </c:val>
          <c:smooth val="0"/>
          <c:extLst>
            <c:ext xmlns:c16="http://schemas.microsoft.com/office/drawing/2014/chart" uri="{C3380CC4-5D6E-409C-BE32-E72D297353CC}">
              <c16:uniqueId val="{00000009-5451-427F-89F8-A20F0FD84EFE}"/>
            </c:ext>
          </c:extLst>
        </c:ser>
        <c:ser>
          <c:idx val="2"/>
          <c:order val="2"/>
          <c:tx>
            <c:strRef>
              <c:f>B4A!$A$4</c:f>
              <c:strCache>
                <c:ptCount val="1"/>
                <c:pt idx="0">
                  <c:v>Phase</c:v>
                </c:pt>
              </c:strCache>
            </c:strRef>
          </c:tx>
          <c:spPr>
            <a:ln w="28575" cap="rnd">
              <a:solidFill>
                <a:schemeClr val="accent3"/>
              </a:solidFill>
              <a:round/>
            </a:ln>
            <a:effectLst/>
          </c:spPr>
          <c:marker>
            <c:symbol val="none"/>
          </c:marker>
          <c:dLbls>
            <c:delete val="1"/>
          </c:dLbls>
          <c:cat>
            <c:numRef>
              <c:f>B4A!$B$1:$H$1</c:f>
              <c:numCache>
                <c:formatCode>General</c:formatCode>
                <c:ptCount val="7"/>
                <c:pt idx="0">
                  <c:v>2014</c:v>
                </c:pt>
                <c:pt idx="1">
                  <c:v>2015</c:v>
                </c:pt>
                <c:pt idx="3">
                  <c:v>2016</c:v>
                </c:pt>
                <c:pt idx="4">
                  <c:v>2017</c:v>
                </c:pt>
                <c:pt idx="5">
                  <c:v>2018</c:v>
                </c:pt>
                <c:pt idx="6">
                  <c:v>2019</c:v>
                </c:pt>
              </c:numCache>
            </c:numRef>
          </c:cat>
          <c:val>
            <c:numRef>
              <c:f>B4A!$B$4:$H$4</c:f>
              <c:numCache>
                <c:formatCode>General</c:formatCode>
                <c:ptCount val="7"/>
                <c:pt idx="2" formatCode="0%">
                  <c:v>1</c:v>
                </c:pt>
              </c:numCache>
            </c:numRef>
          </c:val>
          <c:smooth val="0"/>
          <c:extLst>
            <c:ext xmlns:c16="http://schemas.microsoft.com/office/drawing/2014/chart" uri="{C3380CC4-5D6E-409C-BE32-E72D297353CC}">
              <c16:uniqueId val="{0000000A-5451-427F-89F8-A20F0FD84EFE}"/>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0.1"/>
      </c:valAx>
      <c:spPr>
        <a:noFill/>
        <a:ln>
          <a:noFill/>
        </a:ln>
        <a:effectLst/>
      </c:spPr>
    </c:plotArea>
    <c:legend>
      <c:legendPos val="b"/>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2021-12-17T00:31:55+00:00</Remediation_x0020_Date>
  </documentManagement>
</p:properties>
</file>

<file path=customXml/itemProps1.xml><?xml version="1.0" encoding="utf-8"?>
<ds:datastoreItem xmlns:ds="http://schemas.openxmlformats.org/officeDocument/2006/customXml" ds:itemID="{6DEFFC21-8F89-4DB5-81C4-02326D0C01DF}"/>
</file>

<file path=customXml/itemProps2.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3.xml><?xml version="1.0" encoding="utf-8"?>
<ds:datastoreItem xmlns:ds="http://schemas.openxmlformats.org/officeDocument/2006/customXml" ds:itemID="{85CC21F9-4EE9-4382-8358-CB255CA6644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47477c3-cea5-4644-a2b9-72f12b741c16"/>
    <ds:schemaRef ds:uri="http://schemas.openxmlformats.org/package/2006/metadata/core-properties"/>
    <ds:schemaRef ds:uri="7f305cf4-7e8c-42e6-816c-ef6b646f0ad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5300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2021-12-16T23:00:00Z</dcterms:created>
  <dcterms:modified xsi:type="dcterms:W3CDTF">2021-12-16T23:00:00Z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