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15EBD" w14:textId="5F26AB49" w:rsidR="007608CE" w:rsidRDefault="007608CE" w:rsidP="00765846">
      <w:r>
        <w:rPr>
          <w:rFonts w:cstheme="minorHAnsi"/>
          <w:b/>
          <w:iCs/>
          <w:noProof/>
          <w:sz w:val="22"/>
          <w:szCs w:val="22"/>
        </w:rPr>
        <w:drawing>
          <wp:anchor distT="0" distB="0" distL="114300" distR="114300" simplePos="0" relativeHeight="251667456" behindDoc="1" locked="0" layoutInCell="1" allowOverlap="1" wp14:anchorId="3446B44F" wp14:editId="4495EB42">
            <wp:simplePos x="0" y="0"/>
            <wp:positionH relativeFrom="column">
              <wp:posOffset>2424945</wp:posOffset>
            </wp:positionH>
            <wp:positionV relativeFrom="paragraph">
              <wp:posOffset>136110</wp:posOffset>
            </wp:positionV>
            <wp:extent cx="3642995" cy="665480"/>
            <wp:effectExtent l="0" t="0" r="1905" b="0"/>
            <wp:wrapTight wrapText="bothSides">
              <wp:wrapPolygon edited="0">
                <wp:start x="0" y="0"/>
                <wp:lineTo x="0" y="21023"/>
                <wp:lineTo x="21536" y="21023"/>
                <wp:lineTo x="21536"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995" cy="665480"/>
                    </a:xfrm>
                    <a:prstGeom prst="rect">
                      <a:avLst/>
                    </a:prstGeom>
                  </pic:spPr>
                </pic:pic>
              </a:graphicData>
            </a:graphic>
            <wp14:sizeRelH relativeFrom="page">
              <wp14:pctWidth>0</wp14:pctWidth>
            </wp14:sizeRelH>
            <wp14:sizeRelV relativeFrom="page">
              <wp14:pctHeight>0</wp14:pctHeight>
            </wp14:sizeRelV>
          </wp:anchor>
        </w:drawing>
      </w:r>
    </w:p>
    <w:p w14:paraId="7BF09D83" w14:textId="0A26DF79" w:rsidR="007608CE" w:rsidRDefault="007608CE" w:rsidP="00765846">
      <w:r>
        <w:rPr>
          <w:noProof/>
        </w:rPr>
        <w:drawing>
          <wp:inline distT="0" distB="0" distL="0" distR="0" wp14:anchorId="65BB0802" wp14:editId="423AA589">
            <wp:extent cx="1842550" cy="6905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818" cy="715399"/>
                    </a:xfrm>
                    <a:prstGeom prst="rect">
                      <a:avLst/>
                    </a:prstGeom>
                  </pic:spPr>
                </pic:pic>
              </a:graphicData>
            </a:graphic>
          </wp:inline>
        </w:drawing>
      </w:r>
    </w:p>
    <w:p w14:paraId="47700C10" w14:textId="1057CA0D" w:rsidR="00765846" w:rsidRPr="001055C4" w:rsidRDefault="007608CE" w:rsidP="00765846">
      <w:r>
        <w:rPr>
          <w:noProof/>
        </w:rPr>
        <w:drawing>
          <wp:anchor distT="0" distB="0" distL="114300" distR="114300" simplePos="0" relativeHeight="251659263" behindDoc="1" locked="0" layoutInCell="1" allowOverlap="1" wp14:anchorId="53596135" wp14:editId="37728AD1">
            <wp:simplePos x="0" y="0"/>
            <wp:positionH relativeFrom="column">
              <wp:posOffset>698050</wp:posOffset>
            </wp:positionH>
            <wp:positionV relativeFrom="paragraph">
              <wp:posOffset>1465000</wp:posOffset>
            </wp:positionV>
            <wp:extent cx="4681855" cy="3013075"/>
            <wp:effectExtent l="0" t="0" r="4445" b="0"/>
            <wp:wrapTight wrapText="bothSides">
              <wp:wrapPolygon edited="0">
                <wp:start x="0" y="0"/>
                <wp:lineTo x="0" y="21486"/>
                <wp:lineTo x="21562" y="21486"/>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cstate="print">
                      <a:extLst>
                        <a:ext uri="{28A0092B-C50C-407E-A947-70E740481C1C}">
                          <a14:useLocalDpi xmlns:a14="http://schemas.microsoft.com/office/drawing/2010/main" val="0"/>
                        </a:ext>
                      </a:extLst>
                    </a:blip>
                    <a:srcRect t="2549" b="9111"/>
                    <a:stretch/>
                  </pic:blipFill>
                  <pic:spPr bwMode="auto">
                    <a:xfrm>
                      <a:off x="0" y="0"/>
                      <a:ext cx="4681855"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C374E4" wp14:editId="566B7A4A">
                <wp:simplePos x="0" y="0"/>
                <wp:positionH relativeFrom="column">
                  <wp:posOffset>61595</wp:posOffset>
                </wp:positionH>
                <wp:positionV relativeFrom="paragraph">
                  <wp:posOffset>202565</wp:posOffset>
                </wp:positionV>
                <wp:extent cx="5909945" cy="1257935"/>
                <wp:effectExtent l="0" t="0" r="0" b="0"/>
                <wp:wrapTight wrapText="bothSides">
                  <wp:wrapPolygon edited="0">
                    <wp:start x="0" y="0"/>
                    <wp:lineTo x="0" y="21371"/>
                    <wp:lineTo x="21537" y="21371"/>
                    <wp:lineTo x="21537" y="0"/>
                    <wp:lineTo x="0" y="0"/>
                  </wp:wrapPolygon>
                </wp:wrapTight>
                <wp:docPr id="4" name="Rectangle 4"/>
                <wp:cNvGraphicFramePr/>
                <a:graphic xmlns:a="http://schemas.openxmlformats.org/drawingml/2006/main">
                  <a:graphicData uri="http://schemas.microsoft.com/office/word/2010/wordprocessingShape">
                    <wps:wsp>
                      <wps:cNvSpPr/>
                      <wps:spPr>
                        <a:xfrm>
                          <a:off x="0" y="0"/>
                          <a:ext cx="5909945" cy="1257935"/>
                        </a:xfrm>
                        <a:prstGeom prst="rect">
                          <a:avLst/>
                        </a:prstGeom>
                        <a:solidFill>
                          <a:srgbClr val="6A7F0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6874E" w14:textId="77777777" w:rsidR="00765846" w:rsidRPr="00EF7657" w:rsidRDefault="00765846" w:rsidP="00765846">
                            <w:pPr>
                              <w:jc w:val="center"/>
                              <w:rPr>
                                <w:rFonts w:cstheme="minorHAnsi"/>
                                <w:b/>
                                <w:iCs/>
                                <w:sz w:val="40"/>
                                <w:szCs w:val="40"/>
                              </w:rPr>
                            </w:pPr>
                            <w:r w:rsidRPr="00EF7657">
                              <w:rPr>
                                <w:rFonts w:cstheme="minorHAnsi"/>
                                <w:b/>
                                <w:iCs/>
                                <w:sz w:val="40"/>
                                <w:szCs w:val="40"/>
                              </w:rPr>
                              <w:t xml:space="preserve">Evaluation of the Oregon </w:t>
                            </w:r>
                          </w:p>
                          <w:p w14:paraId="49F373AB" w14:textId="427AF34B" w:rsidR="00765846" w:rsidRPr="00765846" w:rsidRDefault="00765846" w:rsidP="00765846">
                            <w:pPr>
                              <w:jc w:val="center"/>
                              <w:rPr>
                                <w:rFonts w:cstheme="minorHAnsi"/>
                                <w:b/>
                                <w:iCs/>
                                <w:sz w:val="40"/>
                                <w:szCs w:val="40"/>
                              </w:rPr>
                            </w:pPr>
                            <w:r w:rsidRPr="00EF7657">
                              <w:rPr>
                                <w:rFonts w:cstheme="minorHAnsi"/>
                                <w:b/>
                                <w:iCs/>
                                <w:sz w:val="40"/>
                                <w:szCs w:val="40"/>
                              </w:rPr>
                              <w:t>Certified Community Behavioral Health Clinic (CCBHC)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74E4" id="Rectangle 4" o:spid="_x0000_s1026" style="position:absolute;margin-left:4.85pt;margin-top:15.95pt;width:465.35pt;height:9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zRhwIAAGsFAAAOAAAAZHJzL2Uyb0RvYy54bWysVEtv2zAMvg/YfxB0X+1kSbsEdYqgRYYB&#10;RVu0HXpWZCkWIIuapMTOfv0o+ZGuK3YYloNCiR8/Pkzy8qqtNTkI5xWYgk7OckqE4VAqsyvo9+fN&#10;py+U+MBMyTQYUdCj8PRq9fHDZWOXYgoV6FI4giTGLxtb0CoEu8wyzytRM38GVhhUSnA1C3h1u6x0&#10;rEH2WmfTPD/PGnCldcCF9/h60ynpKvFLKXi4l9KLQHRBMbaQTpfObTyz1SVb7hyzleJ9GOwfoqiZ&#10;Muh0pLphgZG9U39Q1Yo78CDDGYc6AykVFykHzGaSv8nmqWJWpFywON6OZfL/j5bfHZ7sg8MyNNYv&#10;PYoxi1a6Ov5jfKRNxTqOxRJtIBwf54t8sZjNKeGom0znF4vP81jO7GRunQ9fBdQkCgV1+DVSkdjh&#10;1ocOOkCiNw9alRuldbq43fZaO3Jg+OXO1xebfNOz/wbTJoINRLOOMb5kp2SSFI5aRJw2j0ISVWL4&#10;0xRJ6jMx+mGcCxMmnapipejcz3P8Dd5jZ0aLlGkijMwS/Y/cPcGA7EgG7i7KHh9NRWrT0Tj/W2Cd&#10;8WiRPIMJo3GtDLj3CDRm1Xvu8EORutLEKoV22yIkilsojw+OOOjmxVu+UfgJb5kPD8zhgOAo4dCH&#10;ezykhqag0EuUVOB+vvce8di3qKWkwYErqP+xZ05Qor8Z7OjFZDaLE5ous/nFFC/utWb7WmP29TVg&#10;Z0xwvViexIgPehClg/oFd8M6ekUVMxx9F5QHN1yuQ7cIcLtwsV4nGE6lZeHWPFkeyWOBY4s+ty/M&#10;2b6PA47AHQzDyZZv2rnDRksD630AqVKvn+ralx4nOvVQv33iynh9T6jTjlz9AgAA//8DAFBLAwQU&#10;AAYACAAAACEA5eM52OMAAAANAQAADwAAAGRycy9kb3ducmV2LnhtbExP20rDQBB9F/yHZQRfxO6m&#10;LdakmRTxgiAUtPUDNtnJRbOzJbtpo1/v+qQvA4dzmXPyzWR7caTBd44RkpkCQVw503GD8L5/ur4F&#10;4YNmo3vHhPBFHjbF+VmuM+NO/EbHXWhEDGGfaYQ2hEMmpa9astrP3IE4crUbrA4RDo00gz7FcNvL&#10;uVI30uqO44dWH+i+pepzN1qErX/ev5q63pZmldQvH1dKfo+PiJcX08M6nrs1iEBT+HPA74bYH4pY&#10;rHQjGy96hHQVhQiLJAUR6XSpliBKhPlCKZBFLv+vKH4AAAD//wMAUEsBAi0AFAAGAAgAAAAhALaD&#10;OJL+AAAA4QEAABMAAAAAAAAAAAAAAAAAAAAAAFtDb250ZW50X1R5cGVzXS54bWxQSwECLQAUAAYA&#10;CAAAACEAOP0h/9YAAACUAQAACwAAAAAAAAAAAAAAAAAvAQAAX3JlbHMvLnJlbHNQSwECLQAUAAYA&#10;CAAAACEATnxs0YcCAABrBQAADgAAAAAAAAAAAAAAAAAuAgAAZHJzL2Uyb0RvYy54bWxQSwECLQAU&#10;AAYACAAAACEA5eM52OMAAAANAQAADwAAAAAAAAAAAAAAAADhBAAAZHJzL2Rvd25yZXYueG1sUEsF&#10;BgAAAAAEAAQA8wAAAPEFAAAAAA==&#10;" fillcolor="#6a7f0f" stroked="f" strokeweight="1pt">
                <v:textbox>
                  <w:txbxContent>
                    <w:p w14:paraId="04B6874E" w14:textId="77777777" w:rsidR="00765846" w:rsidRPr="00EF7657" w:rsidRDefault="00765846" w:rsidP="00765846">
                      <w:pPr>
                        <w:jc w:val="center"/>
                        <w:rPr>
                          <w:rFonts w:cstheme="minorHAnsi"/>
                          <w:b/>
                          <w:iCs/>
                          <w:sz w:val="40"/>
                          <w:szCs w:val="40"/>
                        </w:rPr>
                      </w:pPr>
                      <w:r w:rsidRPr="00EF7657">
                        <w:rPr>
                          <w:rFonts w:cstheme="minorHAnsi"/>
                          <w:b/>
                          <w:iCs/>
                          <w:sz w:val="40"/>
                          <w:szCs w:val="40"/>
                        </w:rPr>
                        <w:t xml:space="preserve">Evaluation of the Oregon </w:t>
                      </w:r>
                    </w:p>
                    <w:p w14:paraId="49F373AB" w14:textId="427AF34B" w:rsidR="00765846" w:rsidRPr="00765846" w:rsidRDefault="00765846" w:rsidP="00765846">
                      <w:pPr>
                        <w:jc w:val="center"/>
                        <w:rPr>
                          <w:rFonts w:cstheme="minorHAnsi"/>
                          <w:b/>
                          <w:iCs/>
                          <w:sz w:val="40"/>
                          <w:szCs w:val="40"/>
                        </w:rPr>
                      </w:pPr>
                      <w:r w:rsidRPr="00EF7657">
                        <w:rPr>
                          <w:rFonts w:cstheme="minorHAnsi"/>
                          <w:b/>
                          <w:iCs/>
                          <w:sz w:val="40"/>
                          <w:szCs w:val="40"/>
                        </w:rPr>
                        <w:t>Certified Community Behavioral Health Clinic (CCBHC) Program</w:t>
                      </w:r>
                    </w:p>
                  </w:txbxContent>
                </v:textbox>
                <w10:wrap type="tight"/>
              </v:rect>
            </w:pict>
          </mc:Fallback>
        </mc:AlternateContent>
      </w:r>
      <w:r w:rsidR="00EE623D">
        <w:fldChar w:fldCharType="begin"/>
      </w:r>
      <w:r w:rsidR="00EE623D">
        <w:instrText xml:space="preserve"> INCLUDEPICTURE "https://www.cio.com/wp-content/uploads/2023/01/teamwork_equality_multi-cultural_diversity-100737996-orig.jpg?quality=50&amp;strip=all&amp;w=1024" \* MERGEFORMATINET </w:instrText>
      </w:r>
      <w:r w:rsidR="00101CB3">
        <w:fldChar w:fldCharType="separate"/>
      </w:r>
      <w:r w:rsidR="00EE623D">
        <w:fldChar w:fldCharType="end"/>
      </w:r>
      <w:r w:rsidR="00655CE6">
        <w:fldChar w:fldCharType="begin"/>
      </w:r>
      <w:r w:rsidR="00655CE6">
        <w:instrText xml:space="preserve"> INCLUDEPICTURE "https://sfmagazine.com/wp-content/uploads/2017/10/11_2017_diversity.jpg" \* MERGEFORMATINET </w:instrText>
      </w:r>
      <w:r w:rsidR="00101CB3">
        <w:fldChar w:fldCharType="separate"/>
      </w:r>
      <w:r w:rsidR="00655CE6">
        <w:fldChar w:fldCharType="end"/>
      </w:r>
      <w:r w:rsidR="00765846" w:rsidRPr="00876489">
        <w:fldChar w:fldCharType="begin"/>
      </w:r>
      <w:r w:rsidR="00765846" w:rsidRPr="00876489">
        <w:instrText xml:space="preserve"> INCLUDEPICTURE "https://www.pdx.edu/engineering/sites/g/files/znldhr1721/files/20170518_PSU_Spring_351_0.JPG" \* MERGEFORMATINET </w:instrText>
      </w:r>
      <w:r w:rsidR="00101CB3">
        <w:fldChar w:fldCharType="separate"/>
      </w:r>
      <w:r w:rsidR="00765846" w:rsidRPr="00876489">
        <w:fldChar w:fldCharType="end"/>
      </w:r>
    </w:p>
    <w:p w14:paraId="03A4A7DD" w14:textId="77777777" w:rsidR="007608CE" w:rsidRDefault="007608CE" w:rsidP="0027132F">
      <w:pPr>
        <w:jc w:val="center"/>
        <w:rPr>
          <w:rFonts w:cstheme="minorHAnsi"/>
          <w:b/>
          <w:iCs/>
          <w:sz w:val="40"/>
          <w:szCs w:val="40"/>
        </w:rPr>
      </w:pPr>
    </w:p>
    <w:p w14:paraId="4E13633E" w14:textId="77777777" w:rsidR="007608CE" w:rsidRDefault="007608CE" w:rsidP="0027132F">
      <w:pPr>
        <w:jc w:val="center"/>
        <w:rPr>
          <w:rFonts w:cstheme="minorHAnsi"/>
          <w:b/>
          <w:iCs/>
          <w:sz w:val="40"/>
          <w:szCs w:val="40"/>
        </w:rPr>
      </w:pPr>
    </w:p>
    <w:p w14:paraId="35B3B19F" w14:textId="77777777" w:rsidR="007608CE" w:rsidRDefault="007608CE" w:rsidP="0027132F">
      <w:pPr>
        <w:jc w:val="center"/>
        <w:rPr>
          <w:rFonts w:cstheme="minorHAnsi"/>
          <w:b/>
          <w:iCs/>
          <w:sz w:val="40"/>
          <w:szCs w:val="40"/>
        </w:rPr>
      </w:pPr>
    </w:p>
    <w:p w14:paraId="4BA59A97" w14:textId="77777777" w:rsidR="007608CE" w:rsidRDefault="007608CE" w:rsidP="0027132F">
      <w:pPr>
        <w:jc w:val="center"/>
        <w:rPr>
          <w:rFonts w:cstheme="minorHAnsi"/>
          <w:b/>
          <w:iCs/>
          <w:sz w:val="40"/>
          <w:szCs w:val="40"/>
        </w:rPr>
      </w:pPr>
    </w:p>
    <w:p w14:paraId="4B823BF2" w14:textId="77777777" w:rsidR="007608CE" w:rsidRDefault="007608CE" w:rsidP="0027132F">
      <w:pPr>
        <w:jc w:val="center"/>
        <w:rPr>
          <w:rFonts w:cstheme="minorHAnsi"/>
          <w:b/>
          <w:iCs/>
          <w:sz w:val="40"/>
          <w:szCs w:val="40"/>
        </w:rPr>
      </w:pPr>
    </w:p>
    <w:p w14:paraId="38A60ABA" w14:textId="77777777" w:rsidR="007608CE" w:rsidRDefault="007608CE" w:rsidP="0027132F">
      <w:pPr>
        <w:jc w:val="center"/>
        <w:rPr>
          <w:rFonts w:cstheme="minorHAnsi"/>
          <w:b/>
          <w:iCs/>
          <w:sz w:val="40"/>
          <w:szCs w:val="40"/>
        </w:rPr>
      </w:pPr>
    </w:p>
    <w:p w14:paraId="0A76B8D0" w14:textId="77777777" w:rsidR="007608CE" w:rsidRDefault="007608CE" w:rsidP="0027132F">
      <w:pPr>
        <w:jc w:val="center"/>
        <w:rPr>
          <w:rFonts w:cstheme="minorHAnsi"/>
          <w:b/>
          <w:iCs/>
          <w:sz w:val="40"/>
          <w:szCs w:val="40"/>
        </w:rPr>
      </w:pPr>
    </w:p>
    <w:p w14:paraId="34E18CA4" w14:textId="77777777" w:rsidR="007608CE" w:rsidRDefault="007608CE" w:rsidP="0027132F">
      <w:pPr>
        <w:jc w:val="center"/>
        <w:rPr>
          <w:rFonts w:cstheme="minorHAnsi"/>
          <w:b/>
          <w:iCs/>
          <w:sz w:val="40"/>
          <w:szCs w:val="40"/>
        </w:rPr>
      </w:pPr>
    </w:p>
    <w:p w14:paraId="0489F1B6" w14:textId="77777777" w:rsidR="007608CE" w:rsidRDefault="007608CE" w:rsidP="0027132F">
      <w:pPr>
        <w:jc w:val="center"/>
        <w:rPr>
          <w:rFonts w:cstheme="minorHAnsi"/>
          <w:b/>
          <w:iCs/>
          <w:sz w:val="40"/>
          <w:szCs w:val="40"/>
        </w:rPr>
      </w:pPr>
    </w:p>
    <w:p w14:paraId="65944BE3" w14:textId="77777777" w:rsidR="00E32BA5" w:rsidRDefault="00E32BA5" w:rsidP="0027132F">
      <w:pPr>
        <w:jc w:val="center"/>
        <w:rPr>
          <w:rFonts w:cstheme="minorHAnsi"/>
          <w:b/>
          <w:iCs/>
          <w:sz w:val="40"/>
          <w:szCs w:val="40"/>
        </w:rPr>
      </w:pPr>
    </w:p>
    <w:p w14:paraId="034E1E0F" w14:textId="6554141B" w:rsidR="0027132F" w:rsidRPr="00EF7657" w:rsidRDefault="0027132F" w:rsidP="0027132F">
      <w:pPr>
        <w:jc w:val="center"/>
        <w:rPr>
          <w:rFonts w:cstheme="minorHAnsi"/>
          <w:b/>
          <w:iCs/>
          <w:sz w:val="40"/>
          <w:szCs w:val="40"/>
        </w:rPr>
      </w:pPr>
      <w:r>
        <w:rPr>
          <w:rFonts w:cstheme="minorHAnsi"/>
          <w:b/>
          <w:iCs/>
          <w:sz w:val="40"/>
          <w:szCs w:val="40"/>
        </w:rPr>
        <w:t>Final</w:t>
      </w:r>
      <w:r w:rsidRPr="00EF7657">
        <w:rPr>
          <w:rFonts w:cstheme="minorHAnsi"/>
          <w:b/>
          <w:iCs/>
          <w:sz w:val="40"/>
          <w:szCs w:val="40"/>
        </w:rPr>
        <w:t xml:space="preserve"> Report</w:t>
      </w:r>
    </w:p>
    <w:p w14:paraId="0A572345" w14:textId="15CDD281" w:rsidR="0027132F" w:rsidRPr="00EF7657" w:rsidRDefault="0027132F" w:rsidP="0027132F">
      <w:pPr>
        <w:jc w:val="center"/>
        <w:rPr>
          <w:rFonts w:cstheme="minorHAnsi"/>
          <w:b/>
          <w:iCs/>
          <w:sz w:val="22"/>
          <w:szCs w:val="22"/>
        </w:rPr>
      </w:pPr>
    </w:p>
    <w:p w14:paraId="566371F8" w14:textId="3B0A7330" w:rsidR="0027132F" w:rsidRPr="007608CE" w:rsidRDefault="0027132F" w:rsidP="007608CE">
      <w:pPr>
        <w:jc w:val="center"/>
        <w:rPr>
          <w:rFonts w:cstheme="minorHAnsi"/>
          <w:b/>
          <w:iCs/>
          <w:sz w:val="28"/>
          <w:szCs w:val="28"/>
        </w:rPr>
      </w:pPr>
      <w:r w:rsidRPr="00EF7657">
        <w:rPr>
          <w:rFonts w:cstheme="minorHAnsi"/>
          <w:b/>
          <w:iCs/>
          <w:sz w:val="28"/>
          <w:szCs w:val="28"/>
        </w:rPr>
        <w:t>Submitted to the Oregon Health Authority</w:t>
      </w:r>
    </w:p>
    <w:p w14:paraId="40181521" w14:textId="1CAC9B9C" w:rsidR="0027132F" w:rsidRPr="00EF7657" w:rsidRDefault="0027132F" w:rsidP="0027132F">
      <w:pPr>
        <w:jc w:val="center"/>
        <w:rPr>
          <w:rFonts w:cstheme="minorHAnsi"/>
          <w:b/>
          <w:iCs/>
          <w:sz w:val="22"/>
          <w:szCs w:val="22"/>
        </w:rPr>
      </w:pPr>
      <w:r>
        <w:rPr>
          <w:noProof/>
        </w:rPr>
        <mc:AlternateContent>
          <mc:Choice Requires="wps">
            <w:drawing>
              <wp:anchor distT="0" distB="0" distL="114300" distR="114300" simplePos="0" relativeHeight="251660288" behindDoc="1" locked="0" layoutInCell="1" allowOverlap="1" wp14:anchorId="3AD34390" wp14:editId="12365744">
                <wp:simplePos x="0" y="0"/>
                <wp:positionH relativeFrom="column">
                  <wp:posOffset>-12357</wp:posOffset>
                </wp:positionH>
                <wp:positionV relativeFrom="paragraph">
                  <wp:posOffset>375165</wp:posOffset>
                </wp:positionV>
                <wp:extent cx="5922645" cy="1382192"/>
                <wp:effectExtent l="0" t="0" r="0" b="2540"/>
                <wp:wrapTight wrapText="bothSides">
                  <wp:wrapPolygon edited="0">
                    <wp:start x="0" y="0"/>
                    <wp:lineTo x="0" y="21441"/>
                    <wp:lineTo x="21537" y="21441"/>
                    <wp:lineTo x="21537" y="0"/>
                    <wp:lineTo x="0" y="0"/>
                  </wp:wrapPolygon>
                </wp:wrapTight>
                <wp:docPr id="5" name="Rectangle 5"/>
                <wp:cNvGraphicFramePr/>
                <a:graphic xmlns:a="http://schemas.openxmlformats.org/drawingml/2006/main">
                  <a:graphicData uri="http://schemas.microsoft.com/office/word/2010/wordprocessingShape">
                    <wps:wsp>
                      <wps:cNvSpPr/>
                      <wps:spPr>
                        <a:xfrm>
                          <a:off x="0" y="0"/>
                          <a:ext cx="5922645" cy="1382192"/>
                        </a:xfrm>
                        <a:prstGeom prst="rect">
                          <a:avLst/>
                        </a:prstGeom>
                        <a:solidFill>
                          <a:srgbClr val="6A7F0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7BAA8" w14:textId="77777777" w:rsidR="00765846" w:rsidRPr="00BA1488" w:rsidRDefault="00765846" w:rsidP="00765846">
                            <w:pPr>
                              <w:spacing w:after="120"/>
                              <w:jc w:val="center"/>
                              <w:rPr>
                                <w:b/>
                                <w:bCs/>
                              </w:rPr>
                            </w:pPr>
                            <w:r w:rsidRPr="00BA1488">
                              <w:rPr>
                                <w:b/>
                                <w:bCs/>
                              </w:rPr>
                              <w:t>Prepared by:</w:t>
                            </w:r>
                          </w:p>
                          <w:p w14:paraId="42017AF2" w14:textId="77777777" w:rsidR="00765846" w:rsidRPr="00EF7657" w:rsidRDefault="00765846" w:rsidP="00765846">
                            <w:pPr>
                              <w:jc w:val="center"/>
                              <w:rPr>
                                <w:rFonts w:cstheme="minorHAnsi"/>
                                <w:b/>
                                <w:iCs/>
                                <w:sz w:val="22"/>
                                <w:szCs w:val="22"/>
                              </w:rPr>
                            </w:pPr>
                            <w:r w:rsidRPr="00EF7657">
                              <w:rPr>
                                <w:rFonts w:cstheme="minorHAnsi"/>
                                <w:b/>
                                <w:iCs/>
                                <w:sz w:val="22"/>
                                <w:szCs w:val="22"/>
                              </w:rPr>
                              <w:t>Neal Wallace, PhD</w:t>
                            </w:r>
                          </w:p>
                          <w:p w14:paraId="4DD65F58" w14:textId="4FC10CED" w:rsidR="00765846" w:rsidRPr="00EF7657" w:rsidRDefault="00765846" w:rsidP="00765846">
                            <w:pPr>
                              <w:jc w:val="center"/>
                              <w:rPr>
                                <w:rFonts w:cstheme="minorHAnsi"/>
                                <w:b/>
                                <w:iCs/>
                                <w:sz w:val="22"/>
                                <w:szCs w:val="22"/>
                              </w:rPr>
                            </w:pPr>
                            <w:r w:rsidRPr="00EF7657">
                              <w:rPr>
                                <w:rFonts w:cstheme="minorHAnsi"/>
                                <w:b/>
                                <w:iCs/>
                                <w:sz w:val="22"/>
                                <w:szCs w:val="22"/>
                              </w:rPr>
                              <w:t xml:space="preserve">Sherril Gelmon, </w:t>
                            </w:r>
                            <w:r w:rsidR="003911D4">
                              <w:rPr>
                                <w:rFonts w:cstheme="minorHAnsi"/>
                                <w:b/>
                                <w:iCs/>
                                <w:sz w:val="22"/>
                                <w:szCs w:val="22"/>
                              </w:rPr>
                              <w:t>DrPH</w:t>
                            </w:r>
                          </w:p>
                          <w:p w14:paraId="34148D1C" w14:textId="77777777" w:rsidR="00765846" w:rsidRPr="00EF7657" w:rsidRDefault="00765846" w:rsidP="00765846">
                            <w:pPr>
                              <w:jc w:val="center"/>
                              <w:rPr>
                                <w:rFonts w:cstheme="minorHAnsi"/>
                                <w:b/>
                                <w:iCs/>
                                <w:sz w:val="22"/>
                                <w:szCs w:val="22"/>
                              </w:rPr>
                            </w:pPr>
                            <w:r w:rsidRPr="00EF7657">
                              <w:rPr>
                                <w:rFonts w:cstheme="minorHAnsi"/>
                                <w:b/>
                                <w:iCs/>
                                <w:sz w:val="22"/>
                                <w:szCs w:val="22"/>
                              </w:rPr>
                              <w:t>Robin Baker, PhD</w:t>
                            </w:r>
                          </w:p>
                          <w:p w14:paraId="1376325B" w14:textId="77777777" w:rsidR="00765846" w:rsidRPr="00EF7657" w:rsidRDefault="00765846" w:rsidP="00765846">
                            <w:pPr>
                              <w:jc w:val="center"/>
                              <w:rPr>
                                <w:rFonts w:cstheme="minorHAnsi"/>
                                <w:b/>
                                <w:iCs/>
                                <w:sz w:val="22"/>
                                <w:szCs w:val="22"/>
                              </w:rPr>
                            </w:pPr>
                            <w:r w:rsidRPr="00EF7657">
                              <w:rPr>
                                <w:rFonts w:cstheme="minorHAnsi"/>
                                <w:b/>
                                <w:iCs/>
                                <w:sz w:val="22"/>
                                <w:szCs w:val="22"/>
                              </w:rPr>
                              <w:t>Alexandra Kihn-Stang, MScN</w:t>
                            </w:r>
                          </w:p>
                          <w:p w14:paraId="387695F7" w14:textId="77777777" w:rsidR="00765846" w:rsidRPr="00EF7657" w:rsidRDefault="00765846" w:rsidP="00765846">
                            <w:pPr>
                              <w:jc w:val="center"/>
                              <w:rPr>
                                <w:rFonts w:cstheme="minorHAnsi"/>
                                <w:b/>
                                <w:iCs/>
                                <w:sz w:val="22"/>
                                <w:szCs w:val="22"/>
                              </w:rPr>
                            </w:pPr>
                            <w:r w:rsidRPr="00EF7657">
                              <w:rPr>
                                <w:rFonts w:cstheme="minorHAnsi"/>
                                <w:b/>
                                <w:iCs/>
                                <w:sz w:val="22"/>
                                <w:szCs w:val="22"/>
                              </w:rPr>
                              <w:t>Annette Crawford, MPH, MPA, MS</w:t>
                            </w:r>
                          </w:p>
                          <w:p w14:paraId="638BC391" w14:textId="3863F474" w:rsidR="00765846" w:rsidRDefault="00765846" w:rsidP="00765846">
                            <w:pPr>
                              <w:jc w:val="center"/>
                            </w:pPr>
                            <w:r w:rsidRPr="00EF7657">
                              <w:rPr>
                                <w:rFonts w:cstheme="minorHAnsi"/>
                                <w:b/>
                                <w:iCs/>
                                <w:sz w:val="22"/>
                                <w:szCs w:val="22"/>
                              </w:rPr>
                              <w:t>Erin Young,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34390" id="Rectangle 5" o:spid="_x0000_s1027" style="position:absolute;left:0;text-align:left;margin-left:-.95pt;margin-top:29.55pt;width:466.35pt;height:108.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9fiwIAAHIFAAAOAAAAZHJzL2Uyb0RvYy54bWysVMlu2zAQvRfoPxC8N1pqZzEiB0YCFwWC&#10;xGhS5ExTpCWA4rAkbcn9+g6pxWka9FBUB4rkvHmzcGaub7pGkYOwrgZd0OwspURoDmWtdwX9/rz+&#10;dEmJ80yXTIEWBT0KR2+WHz9ct2YhcqhAlcISJNFu0ZqCVt6bRZI4XomGuTMwQqNQgm2Yx6PdJaVl&#10;LbI3KsnT9DxpwZbGAhfO4e1dL6TLyC+l4P5RSic8UQVF33xcbVy3YU2W12yxs8xUNR/cYP/gRcNq&#10;jUYnqjvmGdnb+g+qpuYWHEh/xqFJQMqaixgDRpOlb6J5qpgRMRZMjjNTmtz/o+UPhyezsZiG1riF&#10;w22IopO2CX/0j3QxWccpWaLzhOPl/CrPz2dzSjjKss+XeXaVh3QmJ3Vjnf8ioCFhU1CLrxGTxA73&#10;zvfQERKsOVB1ua6Vige7294qSw4MX+58dbFO1wP7bzClA1hDUOsZw01yCibu/FGJgFP6m5CkLtH9&#10;PHoS60xMdhjnQvusF1WsFL35eYrfaD1UZtCIkUbCwCzR/sQ9EIzInmTk7r0c8EFVxDKdlNO/OdYr&#10;TxrRMmg/KTe1BvsegcKoBss9fkxSn5qQJd9tO8wNPmZAhpstlMeNJRb6tnGGr2t8yXvm/IZZ7BPs&#10;KOx9/4iLVNAWFIYdJRXYn+/dBzyWL0opabHvCup+7JkVlKivGgv7KpvNQqPGw2x+kePBvpZsX0v0&#10;vrkFLJAMp4zhcRvwXo1baaF5wRGxClZRxDRH2wXl3o6HW9/PAxwyXKxWEYbNaZi/10+GB/KQ51Cp&#10;z90Ls2YoZ4+d8ABjj7LFm6rusUFTw2rvQdax5E95HV4AGzuW0jCEwuR4fY6o06hc/gIAAP//AwBQ&#10;SwMEFAAGAAgAAAAhAKZSzuPmAAAADgEAAA8AAABkcnMvZG93bnJldi54bWxMj91Kw0AQhe8F32EZ&#10;wRtpN6nYNmkmRfxBKBS09QE22c2PZmdDdtNGn97xSm8GhnPmzPmy7WQ7cTKDbx0hxPMIhKHS6ZZq&#10;hPfj82wNwgdFWnWODMKX8bDNLy8ylWp3pjdzOoRacAj5VCE0IfSplL5sjFV+7npDrFVusCrwOtRS&#10;D+rM4baTiyhaSqta4g+N6s1DY8rPw2gR9v7l+Kqral/oVVztPm4i+T0+IV5fTY8bHvcbEMFM4e8C&#10;fhm4P+RcrHAjaS86hFmcsBPhLolBsJ7cRsxTICxWyzXIPJP/MfIfAAAA//8DAFBLAQItABQABgAI&#10;AAAAIQC2gziS/gAAAOEBAAATAAAAAAAAAAAAAAAAAAAAAABbQ29udGVudF9UeXBlc10ueG1sUEsB&#10;Ai0AFAAGAAgAAAAhADj9If/WAAAAlAEAAAsAAAAAAAAAAAAAAAAALwEAAF9yZWxzLy5yZWxzUEsB&#10;Ai0AFAAGAAgAAAAhAMK8T1+LAgAAcgUAAA4AAAAAAAAAAAAAAAAALgIAAGRycy9lMm9Eb2MueG1s&#10;UEsBAi0AFAAGAAgAAAAhAKZSzuPmAAAADgEAAA8AAAAAAAAAAAAAAAAA5QQAAGRycy9kb3ducmV2&#10;LnhtbFBLBQYAAAAABAAEAPMAAAD4BQAAAAA=&#10;" fillcolor="#6a7f0f" stroked="f" strokeweight="1pt">
                <v:textbox>
                  <w:txbxContent>
                    <w:p w14:paraId="09F7BAA8" w14:textId="77777777" w:rsidR="00765846" w:rsidRPr="00BA1488" w:rsidRDefault="00765846" w:rsidP="00765846">
                      <w:pPr>
                        <w:spacing w:after="120"/>
                        <w:jc w:val="center"/>
                        <w:rPr>
                          <w:b/>
                          <w:bCs/>
                        </w:rPr>
                      </w:pPr>
                      <w:r w:rsidRPr="00BA1488">
                        <w:rPr>
                          <w:b/>
                          <w:bCs/>
                        </w:rPr>
                        <w:t>Prepared by:</w:t>
                      </w:r>
                    </w:p>
                    <w:p w14:paraId="42017AF2" w14:textId="77777777" w:rsidR="00765846" w:rsidRPr="00EF7657" w:rsidRDefault="00765846" w:rsidP="00765846">
                      <w:pPr>
                        <w:jc w:val="center"/>
                        <w:rPr>
                          <w:rFonts w:cstheme="minorHAnsi"/>
                          <w:b/>
                          <w:iCs/>
                          <w:sz w:val="22"/>
                          <w:szCs w:val="22"/>
                        </w:rPr>
                      </w:pPr>
                      <w:r w:rsidRPr="00EF7657">
                        <w:rPr>
                          <w:rFonts w:cstheme="minorHAnsi"/>
                          <w:b/>
                          <w:iCs/>
                          <w:sz w:val="22"/>
                          <w:szCs w:val="22"/>
                        </w:rPr>
                        <w:t>Neal Wallace, PhD</w:t>
                      </w:r>
                    </w:p>
                    <w:p w14:paraId="4DD65F58" w14:textId="4FC10CED" w:rsidR="00765846" w:rsidRPr="00EF7657" w:rsidRDefault="00765846" w:rsidP="00765846">
                      <w:pPr>
                        <w:jc w:val="center"/>
                        <w:rPr>
                          <w:rFonts w:cstheme="minorHAnsi"/>
                          <w:b/>
                          <w:iCs/>
                          <w:sz w:val="22"/>
                          <w:szCs w:val="22"/>
                        </w:rPr>
                      </w:pPr>
                      <w:r w:rsidRPr="00EF7657">
                        <w:rPr>
                          <w:rFonts w:cstheme="minorHAnsi"/>
                          <w:b/>
                          <w:iCs/>
                          <w:sz w:val="22"/>
                          <w:szCs w:val="22"/>
                        </w:rPr>
                        <w:t xml:space="preserve">Sherril Gelmon, </w:t>
                      </w:r>
                      <w:r w:rsidR="003911D4">
                        <w:rPr>
                          <w:rFonts w:cstheme="minorHAnsi"/>
                          <w:b/>
                          <w:iCs/>
                          <w:sz w:val="22"/>
                          <w:szCs w:val="22"/>
                        </w:rPr>
                        <w:t>DrPH</w:t>
                      </w:r>
                    </w:p>
                    <w:p w14:paraId="34148D1C" w14:textId="77777777" w:rsidR="00765846" w:rsidRPr="00EF7657" w:rsidRDefault="00765846" w:rsidP="00765846">
                      <w:pPr>
                        <w:jc w:val="center"/>
                        <w:rPr>
                          <w:rFonts w:cstheme="minorHAnsi"/>
                          <w:b/>
                          <w:iCs/>
                          <w:sz w:val="22"/>
                          <w:szCs w:val="22"/>
                        </w:rPr>
                      </w:pPr>
                      <w:r w:rsidRPr="00EF7657">
                        <w:rPr>
                          <w:rFonts w:cstheme="minorHAnsi"/>
                          <w:b/>
                          <w:iCs/>
                          <w:sz w:val="22"/>
                          <w:szCs w:val="22"/>
                        </w:rPr>
                        <w:t>Robin Baker, PhD</w:t>
                      </w:r>
                    </w:p>
                    <w:p w14:paraId="1376325B" w14:textId="77777777" w:rsidR="00765846" w:rsidRPr="00EF7657" w:rsidRDefault="00765846" w:rsidP="00765846">
                      <w:pPr>
                        <w:jc w:val="center"/>
                        <w:rPr>
                          <w:rFonts w:cstheme="minorHAnsi"/>
                          <w:b/>
                          <w:iCs/>
                          <w:sz w:val="22"/>
                          <w:szCs w:val="22"/>
                        </w:rPr>
                      </w:pPr>
                      <w:r w:rsidRPr="00EF7657">
                        <w:rPr>
                          <w:rFonts w:cstheme="minorHAnsi"/>
                          <w:b/>
                          <w:iCs/>
                          <w:sz w:val="22"/>
                          <w:szCs w:val="22"/>
                        </w:rPr>
                        <w:t>Alexandra Kihn-Stang, MScN</w:t>
                      </w:r>
                    </w:p>
                    <w:p w14:paraId="387695F7" w14:textId="77777777" w:rsidR="00765846" w:rsidRPr="00EF7657" w:rsidRDefault="00765846" w:rsidP="00765846">
                      <w:pPr>
                        <w:jc w:val="center"/>
                        <w:rPr>
                          <w:rFonts w:cstheme="minorHAnsi"/>
                          <w:b/>
                          <w:iCs/>
                          <w:sz w:val="22"/>
                          <w:szCs w:val="22"/>
                        </w:rPr>
                      </w:pPr>
                      <w:r w:rsidRPr="00EF7657">
                        <w:rPr>
                          <w:rFonts w:cstheme="minorHAnsi"/>
                          <w:b/>
                          <w:iCs/>
                          <w:sz w:val="22"/>
                          <w:szCs w:val="22"/>
                        </w:rPr>
                        <w:t>Annette Crawford, MPH, MPA, MS</w:t>
                      </w:r>
                    </w:p>
                    <w:p w14:paraId="638BC391" w14:textId="3863F474" w:rsidR="00765846" w:rsidRDefault="00765846" w:rsidP="00765846">
                      <w:pPr>
                        <w:jc w:val="center"/>
                      </w:pPr>
                      <w:r w:rsidRPr="00EF7657">
                        <w:rPr>
                          <w:rFonts w:cstheme="minorHAnsi"/>
                          <w:b/>
                          <w:iCs/>
                          <w:sz w:val="22"/>
                          <w:szCs w:val="22"/>
                        </w:rPr>
                        <w:t>Erin Young, MA</w:t>
                      </w:r>
                    </w:p>
                  </w:txbxContent>
                </v:textbox>
                <w10:wrap type="tight"/>
              </v:rect>
            </w:pict>
          </mc:Fallback>
        </mc:AlternateContent>
      </w:r>
      <w:r>
        <w:rPr>
          <w:rFonts w:cstheme="minorHAnsi"/>
          <w:b/>
          <w:iCs/>
          <w:sz w:val="22"/>
          <w:szCs w:val="22"/>
        </w:rPr>
        <w:t>January 26</w:t>
      </w:r>
      <w:r w:rsidRPr="00EF7657">
        <w:rPr>
          <w:rFonts w:cstheme="minorHAnsi"/>
          <w:b/>
          <w:iCs/>
          <w:sz w:val="22"/>
          <w:szCs w:val="22"/>
        </w:rPr>
        <w:t>, 202</w:t>
      </w:r>
      <w:r>
        <w:rPr>
          <w:rFonts w:cstheme="minorHAnsi"/>
          <w:b/>
          <w:iCs/>
          <w:sz w:val="22"/>
          <w:szCs w:val="22"/>
        </w:rPr>
        <w:t>3</w:t>
      </w:r>
    </w:p>
    <w:p w14:paraId="6D8FA722" w14:textId="77777777" w:rsidR="0027132F" w:rsidRDefault="0027132F">
      <w:pPr>
        <w:sectPr w:rsidR="0027132F" w:rsidSect="001D2A05">
          <w:headerReference w:type="default" r:id="rId12"/>
          <w:footerReference w:type="even" r:id="rId13"/>
          <w:footerReference w:type="default" r:id="rId14"/>
          <w:pgSz w:w="12240" w:h="15840"/>
          <w:pgMar w:top="1440" w:right="1440" w:bottom="1440" w:left="1440" w:header="720" w:footer="720" w:gutter="0"/>
          <w:pgNumType w:fmt="lowerRoman" w:start="1"/>
          <w:cols w:space="720"/>
          <w:titlePg/>
          <w:docGrid w:linePitch="360"/>
        </w:sectPr>
      </w:pPr>
    </w:p>
    <w:sdt>
      <w:sdtPr>
        <w:rPr>
          <w:rFonts w:asciiTheme="minorHAnsi" w:eastAsiaTheme="minorHAnsi" w:hAnsiTheme="minorHAnsi" w:cstheme="minorHAnsi"/>
          <w:b w:val="0"/>
          <w:bCs w:val="0"/>
          <w:color w:val="auto"/>
          <w:sz w:val="24"/>
          <w:szCs w:val="24"/>
        </w:rPr>
        <w:id w:val="239984858"/>
        <w:docPartObj>
          <w:docPartGallery w:val="Table of Contents"/>
          <w:docPartUnique/>
        </w:docPartObj>
      </w:sdtPr>
      <w:sdtEndPr>
        <w:rPr>
          <w:rFonts w:cstheme="minorBidi"/>
          <w:noProof/>
        </w:rPr>
      </w:sdtEndPr>
      <w:sdtContent>
        <w:p w14:paraId="4E8F11C5" w14:textId="1425BF40" w:rsidR="00A02801" w:rsidRPr="001173FB" w:rsidRDefault="00A02801" w:rsidP="002114F7">
          <w:pPr>
            <w:pStyle w:val="TOCHeading"/>
            <w:jc w:val="center"/>
            <w:rPr>
              <w:rFonts w:asciiTheme="minorHAnsi" w:hAnsiTheme="minorHAnsi" w:cstheme="minorHAnsi"/>
              <w:color w:val="6A7F0F"/>
              <w:sz w:val="40"/>
              <w:szCs w:val="40"/>
            </w:rPr>
          </w:pPr>
          <w:r w:rsidRPr="001173FB">
            <w:rPr>
              <w:rFonts w:asciiTheme="minorHAnsi" w:hAnsiTheme="minorHAnsi" w:cstheme="minorHAnsi"/>
              <w:color w:val="6A7F0F"/>
              <w:sz w:val="40"/>
              <w:szCs w:val="40"/>
            </w:rPr>
            <w:t>Table of Contents</w:t>
          </w:r>
        </w:p>
        <w:p w14:paraId="37010915" w14:textId="04446449" w:rsidR="00A745A3" w:rsidRDefault="00A02801">
          <w:pPr>
            <w:pStyle w:val="TOC1"/>
            <w:tabs>
              <w:tab w:val="right" w:leader="dot" w:pos="9350"/>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126068165" w:history="1">
            <w:r w:rsidR="00A745A3" w:rsidRPr="00B8262E">
              <w:rPr>
                <w:rStyle w:val="Hyperlink"/>
                <w:noProof/>
              </w:rPr>
              <w:t>Acknowledgements</w:t>
            </w:r>
            <w:r w:rsidR="00A745A3">
              <w:rPr>
                <w:noProof/>
                <w:webHidden/>
              </w:rPr>
              <w:tab/>
            </w:r>
            <w:r w:rsidR="00A745A3">
              <w:rPr>
                <w:noProof/>
                <w:webHidden/>
              </w:rPr>
              <w:fldChar w:fldCharType="begin"/>
            </w:r>
            <w:r w:rsidR="00A745A3">
              <w:rPr>
                <w:noProof/>
                <w:webHidden/>
              </w:rPr>
              <w:instrText xml:space="preserve"> PAGEREF _Toc126068165 \h </w:instrText>
            </w:r>
            <w:r w:rsidR="00A745A3">
              <w:rPr>
                <w:noProof/>
                <w:webHidden/>
              </w:rPr>
            </w:r>
            <w:r w:rsidR="00A745A3">
              <w:rPr>
                <w:noProof/>
                <w:webHidden/>
              </w:rPr>
              <w:fldChar w:fldCharType="separate"/>
            </w:r>
            <w:r w:rsidR="00DA018F">
              <w:rPr>
                <w:noProof/>
                <w:webHidden/>
              </w:rPr>
              <w:t>iii</w:t>
            </w:r>
            <w:r w:rsidR="00A745A3">
              <w:rPr>
                <w:noProof/>
                <w:webHidden/>
              </w:rPr>
              <w:fldChar w:fldCharType="end"/>
            </w:r>
          </w:hyperlink>
        </w:p>
        <w:p w14:paraId="3DC648F7" w14:textId="2E9FD08C" w:rsidR="00A745A3" w:rsidRDefault="00101CB3">
          <w:pPr>
            <w:pStyle w:val="TOC1"/>
            <w:tabs>
              <w:tab w:val="right" w:leader="dot" w:pos="9350"/>
            </w:tabs>
            <w:rPr>
              <w:rFonts w:eastAsiaTheme="minorEastAsia" w:cstheme="minorBidi"/>
              <w:b w:val="0"/>
              <w:bCs w:val="0"/>
              <w:noProof/>
              <w:sz w:val="24"/>
              <w:szCs w:val="24"/>
            </w:rPr>
          </w:pPr>
          <w:hyperlink w:anchor="_Toc126068166" w:history="1">
            <w:r w:rsidR="00A745A3" w:rsidRPr="00B8262E">
              <w:rPr>
                <w:rStyle w:val="Hyperlink"/>
                <w:noProof/>
              </w:rPr>
              <w:t>Acronyms Used in the Report</w:t>
            </w:r>
            <w:r w:rsidR="00A745A3">
              <w:rPr>
                <w:noProof/>
                <w:webHidden/>
              </w:rPr>
              <w:tab/>
            </w:r>
            <w:r w:rsidR="00A745A3">
              <w:rPr>
                <w:noProof/>
                <w:webHidden/>
              </w:rPr>
              <w:fldChar w:fldCharType="begin"/>
            </w:r>
            <w:r w:rsidR="00A745A3">
              <w:rPr>
                <w:noProof/>
                <w:webHidden/>
              </w:rPr>
              <w:instrText xml:space="preserve"> PAGEREF _Toc126068166 \h </w:instrText>
            </w:r>
            <w:r w:rsidR="00A745A3">
              <w:rPr>
                <w:noProof/>
                <w:webHidden/>
              </w:rPr>
            </w:r>
            <w:r w:rsidR="00A745A3">
              <w:rPr>
                <w:noProof/>
                <w:webHidden/>
              </w:rPr>
              <w:fldChar w:fldCharType="separate"/>
            </w:r>
            <w:r w:rsidR="00DA018F">
              <w:rPr>
                <w:noProof/>
                <w:webHidden/>
              </w:rPr>
              <w:t>v</w:t>
            </w:r>
            <w:r w:rsidR="00A745A3">
              <w:rPr>
                <w:noProof/>
                <w:webHidden/>
              </w:rPr>
              <w:fldChar w:fldCharType="end"/>
            </w:r>
          </w:hyperlink>
        </w:p>
        <w:p w14:paraId="7AE9F981" w14:textId="419853DC" w:rsidR="00A745A3" w:rsidRDefault="00101CB3">
          <w:pPr>
            <w:pStyle w:val="TOC1"/>
            <w:tabs>
              <w:tab w:val="right" w:leader="dot" w:pos="9350"/>
            </w:tabs>
            <w:rPr>
              <w:rFonts w:eastAsiaTheme="minorEastAsia" w:cstheme="minorBidi"/>
              <w:b w:val="0"/>
              <w:bCs w:val="0"/>
              <w:noProof/>
              <w:sz w:val="24"/>
              <w:szCs w:val="24"/>
            </w:rPr>
          </w:pPr>
          <w:hyperlink w:anchor="_Toc126068167" w:history="1">
            <w:r w:rsidR="00A745A3" w:rsidRPr="00B8262E">
              <w:rPr>
                <w:rStyle w:val="Hyperlink"/>
                <w:noProof/>
              </w:rPr>
              <w:t>Executive Summary</w:t>
            </w:r>
            <w:r w:rsidR="00A745A3">
              <w:rPr>
                <w:noProof/>
                <w:webHidden/>
              </w:rPr>
              <w:tab/>
            </w:r>
            <w:r w:rsidR="00A745A3">
              <w:rPr>
                <w:noProof/>
                <w:webHidden/>
              </w:rPr>
              <w:fldChar w:fldCharType="begin"/>
            </w:r>
            <w:r w:rsidR="00A745A3">
              <w:rPr>
                <w:noProof/>
                <w:webHidden/>
              </w:rPr>
              <w:instrText xml:space="preserve"> PAGEREF _Toc126068167 \h </w:instrText>
            </w:r>
            <w:r w:rsidR="00A745A3">
              <w:rPr>
                <w:noProof/>
                <w:webHidden/>
              </w:rPr>
            </w:r>
            <w:r w:rsidR="00A745A3">
              <w:rPr>
                <w:noProof/>
                <w:webHidden/>
              </w:rPr>
              <w:fldChar w:fldCharType="separate"/>
            </w:r>
            <w:r w:rsidR="00DA018F">
              <w:rPr>
                <w:noProof/>
                <w:webHidden/>
              </w:rPr>
              <w:t>vii</w:t>
            </w:r>
            <w:r w:rsidR="00A745A3">
              <w:rPr>
                <w:noProof/>
                <w:webHidden/>
              </w:rPr>
              <w:fldChar w:fldCharType="end"/>
            </w:r>
          </w:hyperlink>
        </w:p>
        <w:p w14:paraId="7D15B887" w14:textId="281A4084" w:rsidR="00A745A3" w:rsidRDefault="00101CB3">
          <w:pPr>
            <w:pStyle w:val="TOC1"/>
            <w:tabs>
              <w:tab w:val="right" w:leader="dot" w:pos="9350"/>
            </w:tabs>
            <w:rPr>
              <w:rFonts w:eastAsiaTheme="minorEastAsia" w:cstheme="minorBidi"/>
              <w:b w:val="0"/>
              <w:bCs w:val="0"/>
              <w:noProof/>
              <w:sz w:val="24"/>
              <w:szCs w:val="24"/>
            </w:rPr>
          </w:pPr>
          <w:hyperlink w:anchor="_Toc126068168" w:history="1">
            <w:r w:rsidR="00A745A3" w:rsidRPr="00B8262E">
              <w:rPr>
                <w:rStyle w:val="Hyperlink"/>
                <w:noProof/>
              </w:rPr>
              <w:t>Background</w:t>
            </w:r>
            <w:r w:rsidR="00A745A3">
              <w:rPr>
                <w:noProof/>
                <w:webHidden/>
              </w:rPr>
              <w:tab/>
            </w:r>
            <w:r w:rsidR="00A745A3">
              <w:rPr>
                <w:noProof/>
                <w:webHidden/>
              </w:rPr>
              <w:fldChar w:fldCharType="begin"/>
            </w:r>
            <w:r w:rsidR="00A745A3">
              <w:rPr>
                <w:noProof/>
                <w:webHidden/>
              </w:rPr>
              <w:instrText xml:space="preserve"> PAGEREF _Toc126068168 \h </w:instrText>
            </w:r>
            <w:r w:rsidR="00A745A3">
              <w:rPr>
                <w:noProof/>
                <w:webHidden/>
              </w:rPr>
            </w:r>
            <w:r w:rsidR="00A745A3">
              <w:rPr>
                <w:noProof/>
                <w:webHidden/>
              </w:rPr>
              <w:fldChar w:fldCharType="separate"/>
            </w:r>
            <w:r w:rsidR="00DA018F">
              <w:rPr>
                <w:noProof/>
                <w:webHidden/>
              </w:rPr>
              <w:t>1</w:t>
            </w:r>
            <w:r w:rsidR="00A745A3">
              <w:rPr>
                <w:noProof/>
                <w:webHidden/>
              </w:rPr>
              <w:fldChar w:fldCharType="end"/>
            </w:r>
          </w:hyperlink>
        </w:p>
        <w:p w14:paraId="45551E2F" w14:textId="6B43C05D" w:rsidR="00A745A3" w:rsidRDefault="00101CB3">
          <w:pPr>
            <w:pStyle w:val="TOC1"/>
            <w:tabs>
              <w:tab w:val="right" w:leader="dot" w:pos="9350"/>
            </w:tabs>
            <w:rPr>
              <w:rFonts w:eastAsiaTheme="minorEastAsia" w:cstheme="minorBidi"/>
              <w:b w:val="0"/>
              <w:bCs w:val="0"/>
              <w:noProof/>
              <w:sz w:val="24"/>
              <w:szCs w:val="24"/>
            </w:rPr>
          </w:pPr>
          <w:hyperlink w:anchor="_Toc126068169" w:history="1">
            <w:r w:rsidR="00A745A3" w:rsidRPr="00B8262E">
              <w:rPr>
                <w:rStyle w:val="Hyperlink"/>
                <w:noProof/>
              </w:rPr>
              <w:t>CCBHC Model in Oregon</w:t>
            </w:r>
            <w:r w:rsidR="00A745A3">
              <w:rPr>
                <w:noProof/>
                <w:webHidden/>
              </w:rPr>
              <w:tab/>
            </w:r>
            <w:r w:rsidR="00A745A3">
              <w:rPr>
                <w:noProof/>
                <w:webHidden/>
              </w:rPr>
              <w:fldChar w:fldCharType="begin"/>
            </w:r>
            <w:r w:rsidR="00A745A3">
              <w:rPr>
                <w:noProof/>
                <w:webHidden/>
              </w:rPr>
              <w:instrText xml:space="preserve"> PAGEREF _Toc126068169 \h </w:instrText>
            </w:r>
            <w:r w:rsidR="00A745A3">
              <w:rPr>
                <w:noProof/>
                <w:webHidden/>
              </w:rPr>
            </w:r>
            <w:r w:rsidR="00A745A3">
              <w:rPr>
                <w:noProof/>
                <w:webHidden/>
              </w:rPr>
              <w:fldChar w:fldCharType="separate"/>
            </w:r>
            <w:r w:rsidR="00DA018F">
              <w:rPr>
                <w:noProof/>
                <w:webHidden/>
              </w:rPr>
              <w:t>5</w:t>
            </w:r>
            <w:r w:rsidR="00A745A3">
              <w:rPr>
                <w:noProof/>
                <w:webHidden/>
              </w:rPr>
              <w:fldChar w:fldCharType="end"/>
            </w:r>
          </w:hyperlink>
        </w:p>
        <w:p w14:paraId="6D73D6C0" w14:textId="6FFFD34F" w:rsidR="00A745A3" w:rsidRDefault="00101CB3">
          <w:pPr>
            <w:pStyle w:val="TOC2"/>
            <w:rPr>
              <w:rFonts w:eastAsiaTheme="minorEastAsia" w:cstheme="minorBidi"/>
              <w:b w:val="0"/>
              <w:bCs w:val="0"/>
              <w:sz w:val="24"/>
              <w:szCs w:val="24"/>
            </w:rPr>
          </w:pPr>
          <w:hyperlink w:anchor="_Toc126068170" w:history="1">
            <w:r w:rsidR="00A745A3" w:rsidRPr="00B8262E">
              <w:rPr>
                <w:rStyle w:val="Hyperlink"/>
              </w:rPr>
              <w:t>Federal Standards for CCBHC Certification</w:t>
            </w:r>
            <w:r w:rsidR="00A745A3">
              <w:rPr>
                <w:webHidden/>
              </w:rPr>
              <w:tab/>
            </w:r>
            <w:r w:rsidR="00A745A3">
              <w:rPr>
                <w:webHidden/>
              </w:rPr>
              <w:fldChar w:fldCharType="begin"/>
            </w:r>
            <w:r w:rsidR="00A745A3">
              <w:rPr>
                <w:webHidden/>
              </w:rPr>
              <w:instrText xml:space="preserve"> PAGEREF _Toc126068170 \h </w:instrText>
            </w:r>
            <w:r w:rsidR="00A745A3">
              <w:rPr>
                <w:webHidden/>
              </w:rPr>
            </w:r>
            <w:r w:rsidR="00A745A3">
              <w:rPr>
                <w:webHidden/>
              </w:rPr>
              <w:fldChar w:fldCharType="separate"/>
            </w:r>
            <w:r w:rsidR="00DA018F">
              <w:rPr>
                <w:webHidden/>
              </w:rPr>
              <w:t>5</w:t>
            </w:r>
            <w:r w:rsidR="00A745A3">
              <w:rPr>
                <w:webHidden/>
              </w:rPr>
              <w:fldChar w:fldCharType="end"/>
            </w:r>
          </w:hyperlink>
        </w:p>
        <w:p w14:paraId="10027040" w14:textId="5ED37648" w:rsidR="00A745A3" w:rsidRDefault="00101CB3">
          <w:pPr>
            <w:pStyle w:val="TOC2"/>
            <w:rPr>
              <w:rFonts w:eastAsiaTheme="minorEastAsia" w:cstheme="minorBidi"/>
              <w:b w:val="0"/>
              <w:bCs w:val="0"/>
              <w:sz w:val="24"/>
              <w:szCs w:val="24"/>
            </w:rPr>
          </w:pPr>
          <w:hyperlink w:anchor="_Toc126068171" w:history="1">
            <w:r w:rsidR="00A745A3" w:rsidRPr="00B8262E">
              <w:rPr>
                <w:rStyle w:val="Hyperlink"/>
              </w:rPr>
              <w:t>Oregon Standards for CCBHCs</w:t>
            </w:r>
            <w:r w:rsidR="00A745A3">
              <w:rPr>
                <w:webHidden/>
              </w:rPr>
              <w:tab/>
            </w:r>
            <w:r w:rsidR="00A745A3">
              <w:rPr>
                <w:webHidden/>
              </w:rPr>
              <w:fldChar w:fldCharType="begin"/>
            </w:r>
            <w:r w:rsidR="00A745A3">
              <w:rPr>
                <w:webHidden/>
              </w:rPr>
              <w:instrText xml:space="preserve"> PAGEREF _Toc126068171 \h </w:instrText>
            </w:r>
            <w:r w:rsidR="00A745A3">
              <w:rPr>
                <w:webHidden/>
              </w:rPr>
            </w:r>
            <w:r w:rsidR="00A745A3">
              <w:rPr>
                <w:webHidden/>
              </w:rPr>
              <w:fldChar w:fldCharType="separate"/>
            </w:r>
            <w:r w:rsidR="00DA018F">
              <w:rPr>
                <w:webHidden/>
              </w:rPr>
              <w:t>6</w:t>
            </w:r>
            <w:r w:rsidR="00A745A3">
              <w:rPr>
                <w:webHidden/>
              </w:rPr>
              <w:fldChar w:fldCharType="end"/>
            </w:r>
          </w:hyperlink>
        </w:p>
        <w:p w14:paraId="4898FB53" w14:textId="12E9F0C0" w:rsidR="00A745A3" w:rsidRDefault="00101CB3">
          <w:pPr>
            <w:pStyle w:val="TOC2"/>
            <w:rPr>
              <w:rFonts w:eastAsiaTheme="minorEastAsia" w:cstheme="minorBidi"/>
              <w:b w:val="0"/>
              <w:bCs w:val="0"/>
              <w:sz w:val="24"/>
              <w:szCs w:val="24"/>
            </w:rPr>
          </w:pPr>
          <w:hyperlink w:anchor="_Toc126068172" w:history="1">
            <w:r w:rsidR="00A745A3" w:rsidRPr="00B8262E">
              <w:rPr>
                <w:rStyle w:val="Hyperlink"/>
              </w:rPr>
              <w:t>CCBHC Funding Model</w:t>
            </w:r>
            <w:r w:rsidR="00A745A3">
              <w:rPr>
                <w:webHidden/>
              </w:rPr>
              <w:tab/>
            </w:r>
            <w:r w:rsidR="00A745A3">
              <w:rPr>
                <w:webHidden/>
              </w:rPr>
              <w:fldChar w:fldCharType="begin"/>
            </w:r>
            <w:r w:rsidR="00A745A3">
              <w:rPr>
                <w:webHidden/>
              </w:rPr>
              <w:instrText xml:space="preserve"> PAGEREF _Toc126068172 \h </w:instrText>
            </w:r>
            <w:r w:rsidR="00A745A3">
              <w:rPr>
                <w:webHidden/>
              </w:rPr>
            </w:r>
            <w:r w:rsidR="00A745A3">
              <w:rPr>
                <w:webHidden/>
              </w:rPr>
              <w:fldChar w:fldCharType="separate"/>
            </w:r>
            <w:r w:rsidR="00DA018F">
              <w:rPr>
                <w:webHidden/>
              </w:rPr>
              <w:t>7</w:t>
            </w:r>
            <w:r w:rsidR="00A745A3">
              <w:rPr>
                <w:webHidden/>
              </w:rPr>
              <w:fldChar w:fldCharType="end"/>
            </w:r>
          </w:hyperlink>
        </w:p>
        <w:p w14:paraId="2FEE8235" w14:textId="4075ADB1" w:rsidR="00A745A3" w:rsidRDefault="00101CB3">
          <w:pPr>
            <w:pStyle w:val="TOC2"/>
            <w:rPr>
              <w:rFonts w:eastAsiaTheme="minorEastAsia" w:cstheme="minorBidi"/>
              <w:b w:val="0"/>
              <w:bCs w:val="0"/>
              <w:sz w:val="24"/>
              <w:szCs w:val="24"/>
            </w:rPr>
          </w:pPr>
          <w:hyperlink w:anchor="_Toc126068173" w:history="1">
            <w:r w:rsidR="00A745A3" w:rsidRPr="00B8262E">
              <w:rPr>
                <w:rStyle w:val="Hyperlink"/>
              </w:rPr>
              <w:t>CCBHC Sites</w:t>
            </w:r>
            <w:r w:rsidR="00A745A3">
              <w:rPr>
                <w:webHidden/>
              </w:rPr>
              <w:tab/>
            </w:r>
            <w:r w:rsidR="00A745A3">
              <w:rPr>
                <w:webHidden/>
              </w:rPr>
              <w:fldChar w:fldCharType="begin"/>
            </w:r>
            <w:r w:rsidR="00A745A3">
              <w:rPr>
                <w:webHidden/>
              </w:rPr>
              <w:instrText xml:space="preserve"> PAGEREF _Toc126068173 \h </w:instrText>
            </w:r>
            <w:r w:rsidR="00A745A3">
              <w:rPr>
                <w:webHidden/>
              </w:rPr>
            </w:r>
            <w:r w:rsidR="00A745A3">
              <w:rPr>
                <w:webHidden/>
              </w:rPr>
              <w:fldChar w:fldCharType="separate"/>
            </w:r>
            <w:r w:rsidR="00DA018F">
              <w:rPr>
                <w:webHidden/>
              </w:rPr>
              <w:t>8</w:t>
            </w:r>
            <w:r w:rsidR="00A745A3">
              <w:rPr>
                <w:webHidden/>
              </w:rPr>
              <w:fldChar w:fldCharType="end"/>
            </w:r>
          </w:hyperlink>
        </w:p>
        <w:p w14:paraId="6C060A09" w14:textId="60567067" w:rsidR="00A745A3" w:rsidRDefault="00101CB3">
          <w:pPr>
            <w:pStyle w:val="TOC1"/>
            <w:tabs>
              <w:tab w:val="right" w:leader="dot" w:pos="9350"/>
            </w:tabs>
            <w:rPr>
              <w:rFonts w:eastAsiaTheme="minorEastAsia" w:cstheme="minorBidi"/>
              <w:b w:val="0"/>
              <w:bCs w:val="0"/>
              <w:noProof/>
              <w:sz w:val="24"/>
              <w:szCs w:val="24"/>
            </w:rPr>
          </w:pPr>
          <w:hyperlink w:anchor="_Toc126068174" w:history="1">
            <w:r w:rsidR="00A745A3" w:rsidRPr="00B8262E">
              <w:rPr>
                <w:rStyle w:val="Hyperlink"/>
                <w:noProof/>
              </w:rPr>
              <w:t>Centering Equity in the CCBHC Evaluation</w:t>
            </w:r>
            <w:r w:rsidR="00A745A3">
              <w:rPr>
                <w:noProof/>
                <w:webHidden/>
              </w:rPr>
              <w:tab/>
            </w:r>
            <w:r w:rsidR="00A745A3">
              <w:rPr>
                <w:noProof/>
                <w:webHidden/>
              </w:rPr>
              <w:fldChar w:fldCharType="begin"/>
            </w:r>
            <w:r w:rsidR="00A745A3">
              <w:rPr>
                <w:noProof/>
                <w:webHidden/>
              </w:rPr>
              <w:instrText xml:space="preserve"> PAGEREF _Toc126068174 \h </w:instrText>
            </w:r>
            <w:r w:rsidR="00A745A3">
              <w:rPr>
                <w:noProof/>
                <w:webHidden/>
              </w:rPr>
            </w:r>
            <w:r w:rsidR="00A745A3">
              <w:rPr>
                <w:noProof/>
                <w:webHidden/>
              </w:rPr>
              <w:fldChar w:fldCharType="separate"/>
            </w:r>
            <w:r w:rsidR="00DA018F">
              <w:rPr>
                <w:noProof/>
                <w:webHidden/>
              </w:rPr>
              <w:t>10</w:t>
            </w:r>
            <w:r w:rsidR="00A745A3">
              <w:rPr>
                <w:noProof/>
                <w:webHidden/>
              </w:rPr>
              <w:fldChar w:fldCharType="end"/>
            </w:r>
          </w:hyperlink>
        </w:p>
        <w:p w14:paraId="3EBBF2DB" w14:textId="30B1F1BF" w:rsidR="00A745A3" w:rsidRDefault="00101CB3">
          <w:pPr>
            <w:pStyle w:val="TOC1"/>
            <w:tabs>
              <w:tab w:val="right" w:leader="dot" w:pos="9350"/>
            </w:tabs>
            <w:rPr>
              <w:rFonts w:eastAsiaTheme="minorEastAsia" w:cstheme="minorBidi"/>
              <w:b w:val="0"/>
              <w:bCs w:val="0"/>
              <w:noProof/>
              <w:sz w:val="24"/>
              <w:szCs w:val="24"/>
            </w:rPr>
          </w:pPr>
          <w:hyperlink w:anchor="_Toc126068175" w:history="1">
            <w:r w:rsidR="00A745A3" w:rsidRPr="00B8262E">
              <w:rPr>
                <w:rStyle w:val="Hyperlink"/>
                <w:noProof/>
              </w:rPr>
              <w:t>Methodology</w:t>
            </w:r>
            <w:r w:rsidR="00A745A3">
              <w:rPr>
                <w:noProof/>
                <w:webHidden/>
              </w:rPr>
              <w:tab/>
            </w:r>
            <w:r w:rsidR="00A745A3">
              <w:rPr>
                <w:noProof/>
                <w:webHidden/>
              </w:rPr>
              <w:fldChar w:fldCharType="begin"/>
            </w:r>
            <w:r w:rsidR="00A745A3">
              <w:rPr>
                <w:noProof/>
                <w:webHidden/>
              </w:rPr>
              <w:instrText xml:space="preserve"> PAGEREF _Toc126068175 \h </w:instrText>
            </w:r>
            <w:r w:rsidR="00A745A3">
              <w:rPr>
                <w:noProof/>
                <w:webHidden/>
              </w:rPr>
            </w:r>
            <w:r w:rsidR="00A745A3">
              <w:rPr>
                <w:noProof/>
                <w:webHidden/>
              </w:rPr>
              <w:fldChar w:fldCharType="separate"/>
            </w:r>
            <w:r w:rsidR="00DA018F">
              <w:rPr>
                <w:noProof/>
                <w:webHidden/>
              </w:rPr>
              <w:t>14</w:t>
            </w:r>
            <w:r w:rsidR="00A745A3">
              <w:rPr>
                <w:noProof/>
                <w:webHidden/>
              </w:rPr>
              <w:fldChar w:fldCharType="end"/>
            </w:r>
          </w:hyperlink>
        </w:p>
        <w:p w14:paraId="4B609180" w14:textId="092D42DA" w:rsidR="00A745A3" w:rsidRDefault="00101CB3">
          <w:pPr>
            <w:pStyle w:val="TOC2"/>
            <w:rPr>
              <w:rFonts w:eastAsiaTheme="minorEastAsia" w:cstheme="minorBidi"/>
              <w:b w:val="0"/>
              <w:bCs w:val="0"/>
              <w:sz w:val="24"/>
              <w:szCs w:val="24"/>
            </w:rPr>
          </w:pPr>
          <w:hyperlink w:anchor="_Toc126068176" w:history="1">
            <w:r w:rsidR="00A745A3" w:rsidRPr="00B8262E">
              <w:rPr>
                <w:rStyle w:val="Hyperlink"/>
              </w:rPr>
              <w:t>Scope of this Evaluation</w:t>
            </w:r>
            <w:r w:rsidR="00A745A3">
              <w:rPr>
                <w:webHidden/>
              </w:rPr>
              <w:tab/>
            </w:r>
            <w:r w:rsidR="00A745A3">
              <w:rPr>
                <w:webHidden/>
              </w:rPr>
              <w:fldChar w:fldCharType="begin"/>
            </w:r>
            <w:r w:rsidR="00A745A3">
              <w:rPr>
                <w:webHidden/>
              </w:rPr>
              <w:instrText xml:space="preserve"> PAGEREF _Toc126068176 \h </w:instrText>
            </w:r>
            <w:r w:rsidR="00A745A3">
              <w:rPr>
                <w:webHidden/>
              </w:rPr>
            </w:r>
            <w:r w:rsidR="00A745A3">
              <w:rPr>
                <w:webHidden/>
              </w:rPr>
              <w:fldChar w:fldCharType="separate"/>
            </w:r>
            <w:r w:rsidR="00DA018F">
              <w:rPr>
                <w:webHidden/>
              </w:rPr>
              <w:t>14</w:t>
            </w:r>
            <w:r w:rsidR="00A745A3">
              <w:rPr>
                <w:webHidden/>
              </w:rPr>
              <w:fldChar w:fldCharType="end"/>
            </w:r>
          </w:hyperlink>
        </w:p>
        <w:p w14:paraId="52BAC273" w14:textId="1300CE59" w:rsidR="00A745A3" w:rsidRDefault="00101CB3">
          <w:pPr>
            <w:pStyle w:val="TOC2"/>
            <w:rPr>
              <w:rFonts w:eastAsiaTheme="minorEastAsia" w:cstheme="minorBidi"/>
              <w:b w:val="0"/>
              <w:bCs w:val="0"/>
              <w:sz w:val="24"/>
              <w:szCs w:val="24"/>
            </w:rPr>
          </w:pPr>
          <w:hyperlink w:anchor="_Toc126068177" w:history="1">
            <w:r w:rsidR="00A745A3" w:rsidRPr="00B8262E">
              <w:rPr>
                <w:rStyle w:val="Hyperlink"/>
              </w:rPr>
              <w:t>Qualitative Design, Data Collection, and Analysis</w:t>
            </w:r>
            <w:r w:rsidR="00A745A3">
              <w:rPr>
                <w:webHidden/>
              </w:rPr>
              <w:tab/>
            </w:r>
            <w:r w:rsidR="00A745A3">
              <w:rPr>
                <w:webHidden/>
              </w:rPr>
              <w:fldChar w:fldCharType="begin"/>
            </w:r>
            <w:r w:rsidR="00A745A3">
              <w:rPr>
                <w:webHidden/>
              </w:rPr>
              <w:instrText xml:space="preserve"> PAGEREF _Toc126068177 \h </w:instrText>
            </w:r>
            <w:r w:rsidR="00A745A3">
              <w:rPr>
                <w:webHidden/>
              </w:rPr>
            </w:r>
            <w:r w:rsidR="00A745A3">
              <w:rPr>
                <w:webHidden/>
              </w:rPr>
              <w:fldChar w:fldCharType="separate"/>
            </w:r>
            <w:r w:rsidR="00DA018F">
              <w:rPr>
                <w:webHidden/>
              </w:rPr>
              <w:t>14</w:t>
            </w:r>
            <w:r w:rsidR="00A745A3">
              <w:rPr>
                <w:webHidden/>
              </w:rPr>
              <w:fldChar w:fldCharType="end"/>
            </w:r>
          </w:hyperlink>
        </w:p>
        <w:p w14:paraId="61C2A5A5" w14:textId="0977B9CD" w:rsidR="00A745A3" w:rsidRDefault="00101CB3">
          <w:pPr>
            <w:pStyle w:val="TOC2"/>
            <w:rPr>
              <w:rFonts w:eastAsiaTheme="minorEastAsia" w:cstheme="minorBidi"/>
              <w:b w:val="0"/>
              <w:bCs w:val="0"/>
              <w:sz w:val="24"/>
              <w:szCs w:val="24"/>
            </w:rPr>
          </w:pPr>
          <w:hyperlink w:anchor="_Toc126068178" w:history="1">
            <w:r w:rsidR="00A745A3" w:rsidRPr="00B8262E">
              <w:rPr>
                <w:rStyle w:val="Hyperlink"/>
              </w:rPr>
              <w:t>Quantitative Design, Data Collection, and Analysis</w:t>
            </w:r>
            <w:r w:rsidR="00A745A3">
              <w:rPr>
                <w:webHidden/>
              </w:rPr>
              <w:tab/>
            </w:r>
            <w:r w:rsidR="00A745A3">
              <w:rPr>
                <w:webHidden/>
              </w:rPr>
              <w:fldChar w:fldCharType="begin"/>
            </w:r>
            <w:r w:rsidR="00A745A3">
              <w:rPr>
                <w:webHidden/>
              </w:rPr>
              <w:instrText xml:space="preserve"> PAGEREF _Toc126068178 \h </w:instrText>
            </w:r>
            <w:r w:rsidR="00A745A3">
              <w:rPr>
                <w:webHidden/>
              </w:rPr>
            </w:r>
            <w:r w:rsidR="00A745A3">
              <w:rPr>
                <w:webHidden/>
              </w:rPr>
              <w:fldChar w:fldCharType="separate"/>
            </w:r>
            <w:r w:rsidR="00DA018F">
              <w:rPr>
                <w:webHidden/>
              </w:rPr>
              <w:t>16</w:t>
            </w:r>
            <w:r w:rsidR="00A745A3">
              <w:rPr>
                <w:webHidden/>
              </w:rPr>
              <w:fldChar w:fldCharType="end"/>
            </w:r>
          </w:hyperlink>
        </w:p>
        <w:p w14:paraId="03598C0D" w14:textId="476E04EE" w:rsidR="00A745A3" w:rsidRDefault="00101CB3">
          <w:pPr>
            <w:pStyle w:val="TOC1"/>
            <w:tabs>
              <w:tab w:val="right" w:leader="dot" w:pos="9350"/>
            </w:tabs>
            <w:rPr>
              <w:rFonts w:eastAsiaTheme="minorEastAsia" w:cstheme="minorBidi"/>
              <w:b w:val="0"/>
              <w:bCs w:val="0"/>
              <w:noProof/>
              <w:sz w:val="24"/>
              <w:szCs w:val="24"/>
            </w:rPr>
          </w:pPr>
          <w:hyperlink w:anchor="_Toc126068179" w:history="1">
            <w:r w:rsidR="00A745A3" w:rsidRPr="00B8262E">
              <w:rPr>
                <w:rStyle w:val="Hyperlink"/>
                <w:noProof/>
              </w:rPr>
              <w:t>Findings and Recommendations</w:t>
            </w:r>
            <w:r w:rsidR="00A745A3">
              <w:rPr>
                <w:noProof/>
                <w:webHidden/>
              </w:rPr>
              <w:tab/>
            </w:r>
            <w:r w:rsidR="00A745A3">
              <w:rPr>
                <w:noProof/>
                <w:webHidden/>
              </w:rPr>
              <w:fldChar w:fldCharType="begin"/>
            </w:r>
            <w:r w:rsidR="00A745A3">
              <w:rPr>
                <w:noProof/>
                <w:webHidden/>
              </w:rPr>
              <w:instrText xml:space="preserve"> PAGEREF _Toc126068179 \h </w:instrText>
            </w:r>
            <w:r w:rsidR="00A745A3">
              <w:rPr>
                <w:noProof/>
                <w:webHidden/>
              </w:rPr>
            </w:r>
            <w:r w:rsidR="00A745A3">
              <w:rPr>
                <w:noProof/>
                <w:webHidden/>
              </w:rPr>
              <w:fldChar w:fldCharType="separate"/>
            </w:r>
            <w:r w:rsidR="00DA018F">
              <w:rPr>
                <w:noProof/>
                <w:webHidden/>
              </w:rPr>
              <w:t>17</w:t>
            </w:r>
            <w:r w:rsidR="00A745A3">
              <w:rPr>
                <w:noProof/>
                <w:webHidden/>
              </w:rPr>
              <w:fldChar w:fldCharType="end"/>
            </w:r>
          </w:hyperlink>
        </w:p>
        <w:p w14:paraId="1D5E91C9" w14:textId="78E1FC6F" w:rsidR="00A745A3" w:rsidRDefault="00101CB3">
          <w:pPr>
            <w:pStyle w:val="TOC2"/>
            <w:rPr>
              <w:rFonts w:eastAsiaTheme="minorEastAsia" w:cstheme="minorBidi"/>
              <w:b w:val="0"/>
              <w:bCs w:val="0"/>
              <w:sz w:val="24"/>
              <w:szCs w:val="24"/>
            </w:rPr>
          </w:pPr>
          <w:hyperlink w:anchor="_Toc126068180" w:history="1">
            <w:r w:rsidR="00A745A3" w:rsidRPr="00B8262E">
              <w:rPr>
                <w:rStyle w:val="Hyperlink"/>
              </w:rPr>
              <w:t>Increase Access to Behavioral Health Treatment for Oregon Residents</w:t>
            </w:r>
            <w:r w:rsidR="00A745A3">
              <w:rPr>
                <w:webHidden/>
              </w:rPr>
              <w:tab/>
            </w:r>
            <w:r w:rsidR="00A745A3">
              <w:rPr>
                <w:webHidden/>
              </w:rPr>
              <w:fldChar w:fldCharType="begin"/>
            </w:r>
            <w:r w:rsidR="00A745A3">
              <w:rPr>
                <w:webHidden/>
              </w:rPr>
              <w:instrText xml:space="preserve"> PAGEREF _Toc126068180 \h </w:instrText>
            </w:r>
            <w:r w:rsidR="00A745A3">
              <w:rPr>
                <w:webHidden/>
              </w:rPr>
            </w:r>
            <w:r w:rsidR="00A745A3">
              <w:rPr>
                <w:webHidden/>
              </w:rPr>
              <w:fldChar w:fldCharType="separate"/>
            </w:r>
            <w:r w:rsidR="00DA018F">
              <w:rPr>
                <w:webHidden/>
              </w:rPr>
              <w:t>17</w:t>
            </w:r>
            <w:r w:rsidR="00A745A3">
              <w:rPr>
                <w:webHidden/>
              </w:rPr>
              <w:fldChar w:fldCharType="end"/>
            </w:r>
          </w:hyperlink>
        </w:p>
        <w:p w14:paraId="500B954C" w14:textId="211AEF65" w:rsidR="00A745A3" w:rsidRDefault="00101CB3">
          <w:pPr>
            <w:pStyle w:val="TOC2"/>
            <w:rPr>
              <w:rFonts w:eastAsiaTheme="minorEastAsia" w:cstheme="minorBidi"/>
              <w:b w:val="0"/>
              <w:bCs w:val="0"/>
              <w:sz w:val="24"/>
              <w:szCs w:val="24"/>
            </w:rPr>
          </w:pPr>
          <w:hyperlink w:anchor="_Toc126068181" w:history="1">
            <w:r w:rsidR="00A745A3" w:rsidRPr="00B8262E">
              <w:rPr>
                <w:rStyle w:val="Hyperlink"/>
              </w:rPr>
              <w:t>Provide Integrated Physical and Behavioral Healthcare</w:t>
            </w:r>
            <w:r w:rsidR="00A745A3">
              <w:rPr>
                <w:webHidden/>
              </w:rPr>
              <w:tab/>
            </w:r>
            <w:r w:rsidR="00A745A3">
              <w:rPr>
                <w:webHidden/>
              </w:rPr>
              <w:fldChar w:fldCharType="begin"/>
            </w:r>
            <w:r w:rsidR="00A745A3">
              <w:rPr>
                <w:webHidden/>
              </w:rPr>
              <w:instrText xml:space="preserve"> PAGEREF _Toc126068181 \h </w:instrText>
            </w:r>
            <w:r w:rsidR="00A745A3">
              <w:rPr>
                <w:webHidden/>
              </w:rPr>
            </w:r>
            <w:r w:rsidR="00A745A3">
              <w:rPr>
                <w:webHidden/>
              </w:rPr>
              <w:fldChar w:fldCharType="separate"/>
            </w:r>
            <w:r w:rsidR="00DA018F">
              <w:rPr>
                <w:webHidden/>
              </w:rPr>
              <w:t>28</w:t>
            </w:r>
            <w:r w:rsidR="00A745A3">
              <w:rPr>
                <w:webHidden/>
              </w:rPr>
              <w:fldChar w:fldCharType="end"/>
            </w:r>
          </w:hyperlink>
        </w:p>
        <w:p w14:paraId="676B772C" w14:textId="47E0048B" w:rsidR="00A745A3" w:rsidRDefault="00101CB3">
          <w:pPr>
            <w:pStyle w:val="TOC2"/>
            <w:rPr>
              <w:rFonts w:eastAsiaTheme="minorEastAsia" w:cstheme="minorBidi"/>
              <w:b w:val="0"/>
              <w:bCs w:val="0"/>
              <w:sz w:val="24"/>
              <w:szCs w:val="24"/>
            </w:rPr>
          </w:pPr>
          <w:hyperlink w:anchor="_Toc126068182" w:history="1">
            <w:r w:rsidR="00A745A3" w:rsidRPr="00B8262E">
              <w:rPr>
                <w:rStyle w:val="Hyperlink"/>
              </w:rPr>
              <w:t>Offer Services that Result in Improved Health Outcomes, Lower Overall Healthcare Costs, and Improve Overall Community Health</w:t>
            </w:r>
            <w:r w:rsidR="00A745A3">
              <w:rPr>
                <w:webHidden/>
              </w:rPr>
              <w:tab/>
            </w:r>
            <w:r w:rsidR="00A745A3">
              <w:rPr>
                <w:webHidden/>
              </w:rPr>
              <w:fldChar w:fldCharType="begin"/>
            </w:r>
            <w:r w:rsidR="00A745A3">
              <w:rPr>
                <w:webHidden/>
              </w:rPr>
              <w:instrText xml:space="preserve"> PAGEREF _Toc126068182 \h </w:instrText>
            </w:r>
            <w:r w:rsidR="00A745A3">
              <w:rPr>
                <w:webHidden/>
              </w:rPr>
            </w:r>
            <w:r w:rsidR="00A745A3">
              <w:rPr>
                <w:webHidden/>
              </w:rPr>
              <w:fldChar w:fldCharType="separate"/>
            </w:r>
            <w:r w:rsidR="00DA018F">
              <w:rPr>
                <w:webHidden/>
              </w:rPr>
              <w:t>33</w:t>
            </w:r>
            <w:r w:rsidR="00A745A3">
              <w:rPr>
                <w:webHidden/>
              </w:rPr>
              <w:fldChar w:fldCharType="end"/>
            </w:r>
          </w:hyperlink>
        </w:p>
        <w:p w14:paraId="20C7C8C6" w14:textId="43463752" w:rsidR="00A745A3" w:rsidRDefault="00101CB3">
          <w:pPr>
            <w:pStyle w:val="TOC2"/>
            <w:rPr>
              <w:rFonts w:eastAsiaTheme="minorEastAsia" w:cstheme="minorBidi"/>
              <w:b w:val="0"/>
              <w:bCs w:val="0"/>
              <w:sz w:val="24"/>
              <w:szCs w:val="24"/>
            </w:rPr>
          </w:pPr>
          <w:hyperlink w:anchor="_Toc126068183" w:history="1">
            <w:r w:rsidR="00A745A3">
              <w:rPr>
                <w:webHidden/>
              </w:rPr>
              <w:tab/>
            </w:r>
            <w:r w:rsidR="00A745A3">
              <w:rPr>
                <w:webHidden/>
              </w:rPr>
              <w:fldChar w:fldCharType="begin"/>
            </w:r>
            <w:r w:rsidR="00A745A3">
              <w:rPr>
                <w:webHidden/>
              </w:rPr>
              <w:instrText xml:space="preserve"> PAGEREF _Toc126068183 \h </w:instrText>
            </w:r>
            <w:r w:rsidR="00A745A3">
              <w:rPr>
                <w:webHidden/>
              </w:rPr>
            </w:r>
            <w:r w:rsidR="00A745A3">
              <w:rPr>
                <w:webHidden/>
              </w:rPr>
              <w:fldChar w:fldCharType="separate"/>
            </w:r>
            <w:r w:rsidR="00DA018F">
              <w:rPr>
                <w:webHidden/>
              </w:rPr>
              <w:t>42</w:t>
            </w:r>
            <w:r w:rsidR="00A745A3">
              <w:rPr>
                <w:webHidden/>
              </w:rPr>
              <w:fldChar w:fldCharType="end"/>
            </w:r>
          </w:hyperlink>
        </w:p>
        <w:p w14:paraId="2B6E1C16" w14:textId="600C99F8" w:rsidR="00A745A3" w:rsidRDefault="00101CB3">
          <w:pPr>
            <w:pStyle w:val="TOC2"/>
            <w:rPr>
              <w:rFonts w:eastAsiaTheme="minorEastAsia" w:cstheme="minorBidi"/>
              <w:b w:val="0"/>
              <w:bCs w:val="0"/>
              <w:sz w:val="24"/>
              <w:szCs w:val="24"/>
            </w:rPr>
          </w:pPr>
          <w:hyperlink w:anchor="_Toc126068184" w:history="1">
            <w:r w:rsidR="00A745A3" w:rsidRPr="00B8262E">
              <w:rPr>
                <w:rStyle w:val="Hyperlink"/>
              </w:rPr>
              <w:t>Reduce the Cost of Care for Coordinated Care Organization Members</w:t>
            </w:r>
            <w:r w:rsidR="00A745A3">
              <w:rPr>
                <w:webHidden/>
              </w:rPr>
              <w:tab/>
            </w:r>
            <w:r w:rsidR="00A745A3">
              <w:rPr>
                <w:webHidden/>
              </w:rPr>
              <w:fldChar w:fldCharType="begin"/>
            </w:r>
            <w:r w:rsidR="00A745A3">
              <w:rPr>
                <w:webHidden/>
              </w:rPr>
              <w:instrText xml:space="preserve"> PAGEREF _Toc126068184 \h </w:instrText>
            </w:r>
            <w:r w:rsidR="00A745A3">
              <w:rPr>
                <w:webHidden/>
              </w:rPr>
            </w:r>
            <w:r w:rsidR="00A745A3">
              <w:rPr>
                <w:webHidden/>
              </w:rPr>
              <w:fldChar w:fldCharType="separate"/>
            </w:r>
            <w:r w:rsidR="00DA018F">
              <w:rPr>
                <w:webHidden/>
              </w:rPr>
              <w:t>42</w:t>
            </w:r>
            <w:r w:rsidR="00A745A3">
              <w:rPr>
                <w:webHidden/>
              </w:rPr>
              <w:fldChar w:fldCharType="end"/>
            </w:r>
          </w:hyperlink>
        </w:p>
        <w:p w14:paraId="3A384EC3" w14:textId="497B39E8" w:rsidR="00A745A3" w:rsidRDefault="00101CB3">
          <w:pPr>
            <w:pStyle w:val="TOC2"/>
            <w:rPr>
              <w:rFonts w:eastAsiaTheme="minorEastAsia" w:cstheme="minorBidi"/>
              <w:b w:val="0"/>
              <w:bCs w:val="0"/>
              <w:sz w:val="24"/>
              <w:szCs w:val="24"/>
            </w:rPr>
          </w:pPr>
          <w:hyperlink w:anchor="_Toc126068185" w:history="1">
            <w:r w:rsidR="00A745A3" w:rsidRPr="00B8262E">
              <w:rPr>
                <w:rStyle w:val="Hyperlink"/>
              </w:rPr>
              <w:t>Sustainability and Potential Expansion of the CCBHC Model</w:t>
            </w:r>
            <w:r w:rsidR="00A745A3">
              <w:rPr>
                <w:webHidden/>
              </w:rPr>
              <w:tab/>
            </w:r>
            <w:r w:rsidR="00A745A3">
              <w:rPr>
                <w:webHidden/>
              </w:rPr>
              <w:fldChar w:fldCharType="begin"/>
            </w:r>
            <w:r w:rsidR="00A745A3">
              <w:rPr>
                <w:webHidden/>
              </w:rPr>
              <w:instrText xml:space="preserve"> PAGEREF _Toc126068185 \h </w:instrText>
            </w:r>
            <w:r w:rsidR="00A745A3">
              <w:rPr>
                <w:webHidden/>
              </w:rPr>
            </w:r>
            <w:r w:rsidR="00A745A3">
              <w:rPr>
                <w:webHidden/>
              </w:rPr>
              <w:fldChar w:fldCharType="separate"/>
            </w:r>
            <w:r w:rsidR="00DA018F">
              <w:rPr>
                <w:webHidden/>
              </w:rPr>
              <w:t>46</w:t>
            </w:r>
            <w:r w:rsidR="00A745A3">
              <w:rPr>
                <w:webHidden/>
              </w:rPr>
              <w:fldChar w:fldCharType="end"/>
            </w:r>
          </w:hyperlink>
        </w:p>
        <w:p w14:paraId="1D324F5B" w14:textId="3E2DE35E" w:rsidR="00A745A3" w:rsidRDefault="00101CB3">
          <w:pPr>
            <w:pStyle w:val="TOC2"/>
            <w:rPr>
              <w:rFonts w:eastAsiaTheme="minorEastAsia" w:cstheme="minorBidi"/>
              <w:b w:val="0"/>
              <w:bCs w:val="0"/>
              <w:sz w:val="24"/>
              <w:szCs w:val="24"/>
            </w:rPr>
          </w:pPr>
          <w:hyperlink w:anchor="_Toc126068186" w:history="1">
            <w:r w:rsidR="00A745A3" w:rsidRPr="00B8262E">
              <w:rPr>
                <w:rStyle w:val="Hyperlink"/>
              </w:rPr>
              <w:t>The Role of the CCBHC Model in Future Oregon Health Systems Reform and Transformation</w:t>
            </w:r>
            <w:r w:rsidR="00A745A3">
              <w:rPr>
                <w:webHidden/>
              </w:rPr>
              <w:tab/>
            </w:r>
            <w:r w:rsidR="00A745A3">
              <w:rPr>
                <w:webHidden/>
              </w:rPr>
              <w:fldChar w:fldCharType="begin"/>
            </w:r>
            <w:r w:rsidR="00A745A3">
              <w:rPr>
                <w:webHidden/>
              </w:rPr>
              <w:instrText xml:space="preserve"> PAGEREF _Toc126068186 \h </w:instrText>
            </w:r>
            <w:r w:rsidR="00A745A3">
              <w:rPr>
                <w:webHidden/>
              </w:rPr>
            </w:r>
            <w:r w:rsidR="00A745A3">
              <w:rPr>
                <w:webHidden/>
              </w:rPr>
              <w:fldChar w:fldCharType="separate"/>
            </w:r>
            <w:r w:rsidR="00DA018F">
              <w:rPr>
                <w:webHidden/>
              </w:rPr>
              <w:t>52</w:t>
            </w:r>
            <w:r w:rsidR="00A745A3">
              <w:rPr>
                <w:webHidden/>
              </w:rPr>
              <w:fldChar w:fldCharType="end"/>
            </w:r>
          </w:hyperlink>
        </w:p>
        <w:p w14:paraId="2E1B1899" w14:textId="0033EAB2" w:rsidR="00A745A3" w:rsidRDefault="00101CB3">
          <w:pPr>
            <w:pStyle w:val="TOC1"/>
            <w:tabs>
              <w:tab w:val="right" w:leader="dot" w:pos="9350"/>
            </w:tabs>
            <w:rPr>
              <w:rFonts w:eastAsiaTheme="minorEastAsia" w:cstheme="minorBidi"/>
              <w:b w:val="0"/>
              <w:bCs w:val="0"/>
              <w:noProof/>
              <w:sz w:val="24"/>
              <w:szCs w:val="24"/>
            </w:rPr>
          </w:pPr>
          <w:hyperlink w:anchor="_Toc126068187" w:history="1">
            <w:r w:rsidR="00A745A3" w:rsidRPr="00B8262E">
              <w:rPr>
                <w:rStyle w:val="Hyperlink"/>
                <w:noProof/>
              </w:rPr>
              <w:t>Conclusions and Summary of Recommendations</w:t>
            </w:r>
            <w:r w:rsidR="00A745A3">
              <w:rPr>
                <w:noProof/>
                <w:webHidden/>
              </w:rPr>
              <w:tab/>
            </w:r>
            <w:r w:rsidR="00A745A3">
              <w:rPr>
                <w:noProof/>
                <w:webHidden/>
              </w:rPr>
              <w:fldChar w:fldCharType="begin"/>
            </w:r>
            <w:r w:rsidR="00A745A3">
              <w:rPr>
                <w:noProof/>
                <w:webHidden/>
              </w:rPr>
              <w:instrText xml:space="preserve"> PAGEREF _Toc126068187 \h </w:instrText>
            </w:r>
            <w:r w:rsidR="00A745A3">
              <w:rPr>
                <w:noProof/>
                <w:webHidden/>
              </w:rPr>
            </w:r>
            <w:r w:rsidR="00A745A3">
              <w:rPr>
                <w:noProof/>
                <w:webHidden/>
              </w:rPr>
              <w:fldChar w:fldCharType="separate"/>
            </w:r>
            <w:r w:rsidR="00DA018F">
              <w:rPr>
                <w:noProof/>
                <w:webHidden/>
              </w:rPr>
              <w:t>56</w:t>
            </w:r>
            <w:r w:rsidR="00A745A3">
              <w:rPr>
                <w:noProof/>
                <w:webHidden/>
              </w:rPr>
              <w:fldChar w:fldCharType="end"/>
            </w:r>
          </w:hyperlink>
        </w:p>
        <w:p w14:paraId="608B6472" w14:textId="6033BE22" w:rsidR="00A745A3" w:rsidRDefault="00101CB3">
          <w:pPr>
            <w:pStyle w:val="TOC2"/>
            <w:rPr>
              <w:rFonts w:eastAsiaTheme="minorEastAsia" w:cstheme="minorBidi"/>
              <w:b w:val="0"/>
              <w:bCs w:val="0"/>
              <w:sz w:val="24"/>
              <w:szCs w:val="24"/>
            </w:rPr>
          </w:pPr>
          <w:hyperlink w:anchor="_Toc126068188" w:history="1">
            <w:r w:rsidR="00A745A3" w:rsidRPr="00B8262E">
              <w:rPr>
                <w:rStyle w:val="Hyperlink"/>
              </w:rPr>
              <w:t>Conclusions</w:t>
            </w:r>
            <w:r w:rsidR="00A745A3">
              <w:rPr>
                <w:webHidden/>
              </w:rPr>
              <w:tab/>
            </w:r>
            <w:r w:rsidR="00A745A3">
              <w:rPr>
                <w:webHidden/>
              </w:rPr>
              <w:fldChar w:fldCharType="begin"/>
            </w:r>
            <w:r w:rsidR="00A745A3">
              <w:rPr>
                <w:webHidden/>
              </w:rPr>
              <w:instrText xml:space="preserve"> PAGEREF _Toc126068188 \h </w:instrText>
            </w:r>
            <w:r w:rsidR="00A745A3">
              <w:rPr>
                <w:webHidden/>
              </w:rPr>
            </w:r>
            <w:r w:rsidR="00A745A3">
              <w:rPr>
                <w:webHidden/>
              </w:rPr>
              <w:fldChar w:fldCharType="separate"/>
            </w:r>
            <w:r w:rsidR="00DA018F">
              <w:rPr>
                <w:webHidden/>
              </w:rPr>
              <w:t>56</w:t>
            </w:r>
            <w:r w:rsidR="00A745A3">
              <w:rPr>
                <w:webHidden/>
              </w:rPr>
              <w:fldChar w:fldCharType="end"/>
            </w:r>
          </w:hyperlink>
        </w:p>
        <w:p w14:paraId="5E995276" w14:textId="185CE21F" w:rsidR="00A745A3" w:rsidRDefault="00101CB3">
          <w:pPr>
            <w:pStyle w:val="TOC2"/>
            <w:rPr>
              <w:rFonts w:eastAsiaTheme="minorEastAsia" w:cstheme="minorBidi"/>
              <w:b w:val="0"/>
              <w:bCs w:val="0"/>
              <w:sz w:val="24"/>
              <w:szCs w:val="24"/>
            </w:rPr>
          </w:pPr>
          <w:hyperlink w:anchor="_Toc126068189" w:history="1">
            <w:r w:rsidR="00A745A3" w:rsidRPr="00B8262E">
              <w:rPr>
                <w:rStyle w:val="Hyperlink"/>
              </w:rPr>
              <w:t>Summary of Recommendations</w:t>
            </w:r>
            <w:r w:rsidR="00A745A3">
              <w:rPr>
                <w:webHidden/>
              </w:rPr>
              <w:tab/>
            </w:r>
            <w:r w:rsidR="00A745A3">
              <w:rPr>
                <w:webHidden/>
              </w:rPr>
              <w:fldChar w:fldCharType="begin"/>
            </w:r>
            <w:r w:rsidR="00A745A3">
              <w:rPr>
                <w:webHidden/>
              </w:rPr>
              <w:instrText xml:space="preserve"> PAGEREF _Toc126068189 \h </w:instrText>
            </w:r>
            <w:r w:rsidR="00A745A3">
              <w:rPr>
                <w:webHidden/>
              </w:rPr>
            </w:r>
            <w:r w:rsidR="00A745A3">
              <w:rPr>
                <w:webHidden/>
              </w:rPr>
              <w:fldChar w:fldCharType="separate"/>
            </w:r>
            <w:r w:rsidR="00DA018F">
              <w:rPr>
                <w:webHidden/>
              </w:rPr>
              <w:t>58</w:t>
            </w:r>
            <w:r w:rsidR="00A745A3">
              <w:rPr>
                <w:webHidden/>
              </w:rPr>
              <w:fldChar w:fldCharType="end"/>
            </w:r>
          </w:hyperlink>
        </w:p>
        <w:p w14:paraId="3AFD6C08" w14:textId="5852CB8B" w:rsidR="00A745A3" w:rsidRDefault="00101CB3">
          <w:pPr>
            <w:pStyle w:val="TOC1"/>
            <w:tabs>
              <w:tab w:val="right" w:leader="dot" w:pos="9350"/>
            </w:tabs>
            <w:rPr>
              <w:rFonts w:eastAsiaTheme="minorEastAsia" w:cstheme="minorBidi"/>
              <w:b w:val="0"/>
              <w:bCs w:val="0"/>
              <w:noProof/>
              <w:sz w:val="24"/>
              <w:szCs w:val="24"/>
            </w:rPr>
          </w:pPr>
          <w:hyperlink w:anchor="_Toc126068190" w:history="1">
            <w:r w:rsidR="00A745A3" w:rsidRPr="00B8262E">
              <w:rPr>
                <w:rStyle w:val="Hyperlink"/>
                <w:noProof/>
              </w:rPr>
              <w:t>References</w:t>
            </w:r>
            <w:r w:rsidR="00A745A3">
              <w:rPr>
                <w:noProof/>
                <w:webHidden/>
              </w:rPr>
              <w:tab/>
            </w:r>
            <w:r w:rsidR="00A745A3">
              <w:rPr>
                <w:noProof/>
                <w:webHidden/>
              </w:rPr>
              <w:fldChar w:fldCharType="begin"/>
            </w:r>
            <w:r w:rsidR="00A745A3">
              <w:rPr>
                <w:noProof/>
                <w:webHidden/>
              </w:rPr>
              <w:instrText xml:space="preserve"> PAGEREF _Toc126068190 \h </w:instrText>
            </w:r>
            <w:r w:rsidR="00A745A3">
              <w:rPr>
                <w:noProof/>
                <w:webHidden/>
              </w:rPr>
            </w:r>
            <w:r w:rsidR="00A745A3">
              <w:rPr>
                <w:noProof/>
                <w:webHidden/>
              </w:rPr>
              <w:fldChar w:fldCharType="separate"/>
            </w:r>
            <w:r w:rsidR="00DA018F">
              <w:rPr>
                <w:noProof/>
                <w:webHidden/>
              </w:rPr>
              <w:t>59</w:t>
            </w:r>
            <w:r w:rsidR="00A745A3">
              <w:rPr>
                <w:noProof/>
                <w:webHidden/>
              </w:rPr>
              <w:fldChar w:fldCharType="end"/>
            </w:r>
          </w:hyperlink>
        </w:p>
        <w:p w14:paraId="27264FB7" w14:textId="649167D5" w:rsidR="00A745A3" w:rsidRDefault="00101CB3">
          <w:pPr>
            <w:pStyle w:val="TOC1"/>
            <w:tabs>
              <w:tab w:val="right" w:leader="dot" w:pos="9350"/>
            </w:tabs>
            <w:rPr>
              <w:rFonts w:eastAsiaTheme="minorEastAsia" w:cstheme="minorBidi"/>
              <w:b w:val="0"/>
              <w:bCs w:val="0"/>
              <w:noProof/>
              <w:sz w:val="24"/>
              <w:szCs w:val="24"/>
            </w:rPr>
          </w:pPr>
          <w:hyperlink w:anchor="_Toc126068191" w:history="1">
            <w:r w:rsidR="00A745A3" w:rsidRPr="00B8262E">
              <w:rPr>
                <w:rStyle w:val="Hyperlink"/>
                <w:noProof/>
              </w:rPr>
              <w:t>Appendices</w:t>
            </w:r>
            <w:r w:rsidR="00A745A3">
              <w:rPr>
                <w:noProof/>
                <w:webHidden/>
              </w:rPr>
              <w:tab/>
            </w:r>
            <w:r w:rsidR="00A745A3">
              <w:rPr>
                <w:noProof/>
                <w:webHidden/>
              </w:rPr>
              <w:fldChar w:fldCharType="begin"/>
            </w:r>
            <w:r w:rsidR="00A745A3">
              <w:rPr>
                <w:noProof/>
                <w:webHidden/>
              </w:rPr>
              <w:instrText xml:space="preserve"> PAGEREF _Toc126068191 \h </w:instrText>
            </w:r>
            <w:r w:rsidR="00A745A3">
              <w:rPr>
                <w:noProof/>
                <w:webHidden/>
              </w:rPr>
            </w:r>
            <w:r w:rsidR="00A745A3">
              <w:rPr>
                <w:noProof/>
                <w:webHidden/>
              </w:rPr>
              <w:fldChar w:fldCharType="separate"/>
            </w:r>
            <w:r w:rsidR="00DA018F">
              <w:rPr>
                <w:noProof/>
                <w:webHidden/>
              </w:rPr>
              <w:t>62</w:t>
            </w:r>
            <w:r w:rsidR="00A745A3">
              <w:rPr>
                <w:noProof/>
                <w:webHidden/>
              </w:rPr>
              <w:fldChar w:fldCharType="end"/>
            </w:r>
          </w:hyperlink>
        </w:p>
        <w:p w14:paraId="03CCED09" w14:textId="4D3527AE" w:rsidR="00A745A3" w:rsidRDefault="00101CB3">
          <w:pPr>
            <w:pStyle w:val="TOC2"/>
            <w:rPr>
              <w:rFonts w:eastAsiaTheme="minorEastAsia" w:cstheme="minorBidi"/>
              <w:b w:val="0"/>
              <w:bCs w:val="0"/>
              <w:sz w:val="24"/>
              <w:szCs w:val="24"/>
            </w:rPr>
          </w:pPr>
          <w:hyperlink w:anchor="_Toc126068192" w:history="1">
            <w:r w:rsidR="00A745A3" w:rsidRPr="00B8262E">
              <w:rPr>
                <w:rStyle w:val="Hyperlink"/>
              </w:rPr>
              <w:t>Appendix 1: Summary of Themes from Review of Community Health Improvement Plans and Community Health Assessments</w:t>
            </w:r>
            <w:r w:rsidR="00A745A3">
              <w:rPr>
                <w:webHidden/>
              </w:rPr>
              <w:tab/>
            </w:r>
            <w:r w:rsidR="00A745A3">
              <w:rPr>
                <w:webHidden/>
              </w:rPr>
              <w:fldChar w:fldCharType="begin"/>
            </w:r>
            <w:r w:rsidR="00A745A3">
              <w:rPr>
                <w:webHidden/>
              </w:rPr>
              <w:instrText xml:space="preserve"> PAGEREF _Toc126068192 \h </w:instrText>
            </w:r>
            <w:r w:rsidR="00A745A3">
              <w:rPr>
                <w:webHidden/>
              </w:rPr>
            </w:r>
            <w:r w:rsidR="00A745A3">
              <w:rPr>
                <w:webHidden/>
              </w:rPr>
              <w:fldChar w:fldCharType="separate"/>
            </w:r>
            <w:r w:rsidR="00DA018F">
              <w:rPr>
                <w:webHidden/>
              </w:rPr>
              <w:t>63</w:t>
            </w:r>
            <w:r w:rsidR="00A745A3">
              <w:rPr>
                <w:webHidden/>
              </w:rPr>
              <w:fldChar w:fldCharType="end"/>
            </w:r>
          </w:hyperlink>
        </w:p>
        <w:p w14:paraId="67AE25AB" w14:textId="361DEE6E" w:rsidR="00A745A3" w:rsidRDefault="00101CB3">
          <w:pPr>
            <w:pStyle w:val="TOC2"/>
            <w:rPr>
              <w:rFonts w:eastAsiaTheme="minorEastAsia" w:cstheme="minorBidi"/>
              <w:b w:val="0"/>
              <w:bCs w:val="0"/>
              <w:sz w:val="24"/>
              <w:szCs w:val="24"/>
            </w:rPr>
          </w:pPr>
          <w:hyperlink w:anchor="_Toc126068193" w:history="1">
            <w:r w:rsidR="00A745A3" w:rsidRPr="00B8262E">
              <w:rPr>
                <w:rStyle w:val="Hyperlink"/>
              </w:rPr>
              <w:t>Appendix 2: Maps Illustrating Oregon’s Population by Race/Ethnicity</w:t>
            </w:r>
            <w:r w:rsidR="00A745A3">
              <w:rPr>
                <w:webHidden/>
              </w:rPr>
              <w:tab/>
            </w:r>
            <w:r w:rsidR="00A745A3">
              <w:rPr>
                <w:webHidden/>
              </w:rPr>
              <w:fldChar w:fldCharType="begin"/>
            </w:r>
            <w:r w:rsidR="00A745A3">
              <w:rPr>
                <w:webHidden/>
              </w:rPr>
              <w:instrText xml:space="preserve"> PAGEREF _Toc126068193 \h </w:instrText>
            </w:r>
            <w:r w:rsidR="00A745A3">
              <w:rPr>
                <w:webHidden/>
              </w:rPr>
            </w:r>
            <w:r w:rsidR="00A745A3">
              <w:rPr>
                <w:webHidden/>
              </w:rPr>
              <w:fldChar w:fldCharType="separate"/>
            </w:r>
            <w:r w:rsidR="00DA018F">
              <w:rPr>
                <w:webHidden/>
              </w:rPr>
              <w:t>72</w:t>
            </w:r>
            <w:r w:rsidR="00A745A3">
              <w:rPr>
                <w:webHidden/>
              </w:rPr>
              <w:fldChar w:fldCharType="end"/>
            </w:r>
          </w:hyperlink>
        </w:p>
        <w:p w14:paraId="1EE80231" w14:textId="7420B1C0" w:rsidR="00A745A3" w:rsidRDefault="00101CB3">
          <w:pPr>
            <w:pStyle w:val="TOC2"/>
            <w:rPr>
              <w:rFonts w:eastAsiaTheme="minorEastAsia" w:cstheme="minorBidi"/>
              <w:b w:val="0"/>
              <w:bCs w:val="0"/>
              <w:sz w:val="24"/>
              <w:szCs w:val="24"/>
            </w:rPr>
          </w:pPr>
          <w:hyperlink w:anchor="_Toc126068194" w:history="1">
            <w:r w:rsidR="00A745A3" w:rsidRPr="00B8262E">
              <w:rPr>
                <w:rStyle w:val="Hyperlink"/>
              </w:rPr>
              <w:t>Appendix 3: Detailed Methodology Overview</w:t>
            </w:r>
            <w:r w:rsidR="00A745A3">
              <w:rPr>
                <w:webHidden/>
              </w:rPr>
              <w:tab/>
            </w:r>
            <w:r w:rsidR="00A745A3">
              <w:rPr>
                <w:webHidden/>
              </w:rPr>
              <w:fldChar w:fldCharType="begin"/>
            </w:r>
            <w:r w:rsidR="00A745A3">
              <w:rPr>
                <w:webHidden/>
              </w:rPr>
              <w:instrText xml:space="preserve"> PAGEREF _Toc126068194 \h </w:instrText>
            </w:r>
            <w:r w:rsidR="00A745A3">
              <w:rPr>
                <w:webHidden/>
              </w:rPr>
            </w:r>
            <w:r w:rsidR="00A745A3">
              <w:rPr>
                <w:webHidden/>
              </w:rPr>
              <w:fldChar w:fldCharType="separate"/>
            </w:r>
            <w:r w:rsidR="00DA018F">
              <w:rPr>
                <w:webHidden/>
              </w:rPr>
              <w:t>73</w:t>
            </w:r>
            <w:r w:rsidR="00A745A3">
              <w:rPr>
                <w:webHidden/>
              </w:rPr>
              <w:fldChar w:fldCharType="end"/>
            </w:r>
          </w:hyperlink>
        </w:p>
        <w:p w14:paraId="45A8C8F3" w14:textId="0A55FF04" w:rsidR="00A745A3" w:rsidRDefault="00101CB3">
          <w:pPr>
            <w:pStyle w:val="TOC2"/>
            <w:rPr>
              <w:rFonts w:eastAsiaTheme="minorEastAsia" w:cstheme="minorBidi"/>
              <w:b w:val="0"/>
              <w:bCs w:val="0"/>
              <w:sz w:val="24"/>
              <w:szCs w:val="24"/>
            </w:rPr>
          </w:pPr>
          <w:hyperlink w:anchor="_Toc126068195" w:history="1">
            <w:r w:rsidR="00A745A3" w:rsidRPr="00B8262E">
              <w:rPr>
                <w:rStyle w:val="Hyperlink"/>
              </w:rPr>
              <w:t>Appendix 4: Extended Report of Feedback from CCBHC Service Users</w:t>
            </w:r>
            <w:r w:rsidR="00A745A3">
              <w:rPr>
                <w:webHidden/>
              </w:rPr>
              <w:tab/>
            </w:r>
            <w:r w:rsidR="00A745A3">
              <w:rPr>
                <w:webHidden/>
              </w:rPr>
              <w:fldChar w:fldCharType="begin"/>
            </w:r>
            <w:r w:rsidR="00A745A3">
              <w:rPr>
                <w:webHidden/>
              </w:rPr>
              <w:instrText xml:space="preserve"> PAGEREF _Toc126068195 \h </w:instrText>
            </w:r>
            <w:r w:rsidR="00A745A3">
              <w:rPr>
                <w:webHidden/>
              </w:rPr>
            </w:r>
            <w:r w:rsidR="00A745A3">
              <w:rPr>
                <w:webHidden/>
              </w:rPr>
              <w:fldChar w:fldCharType="separate"/>
            </w:r>
            <w:r w:rsidR="00DA018F">
              <w:rPr>
                <w:webHidden/>
              </w:rPr>
              <w:t>86</w:t>
            </w:r>
            <w:r w:rsidR="00A745A3">
              <w:rPr>
                <w:webHidden/>
              </w:rPr>
              <w:fldChar w:fldCharType="end"/>
            </w:r>
          </w:hyperlink>
        </w:p>
        <w:p w14:paraId="7731E020" w14:textId="4201870F" w:rsidR="00A745A3" w:rsidRDefault="00101CB3">
          <w:pPr>
            <w:pStyle w:val="TOC2"/>
            <w:rPr>
              <w:rFonts w:eastAsiaTheme="minorEastAsia" w:cstheme="minorBidi"/>
              <w:b w:val="0"/>
              <w:bCs w:val="0"/>
              <w:sz w:val="24"/>
              <w:szCs w:val="24"/>
            </w:rPr>
          </w:pPr>
          <w:hyperlink w:anchor="_Toc126068196" w:history="1">
            <w:r w:rsidR="00A745A3" w:rsidRPr="00B8262E">
              <w:rPr>
                <w:rStyle w:val="Hyperlink"/>
              </w:rPr>
              <w:t>Appendix 5: Extended Report of Feedback from CCBHC Clinic Administrators and Clinical Leaders</w:t>
            </w:r>
            <w:r w:rsidR="00A745A3">
              <w:rPr>
                <w:webHidden/>
              </w:rPr>
              <w:tab/>
            </w:r>
            <w:r w:rsidR="00A745A3">
              <w:rPr>
                <w:webHidden/>
              </w:rPr>
              <w:fldChar w:fldCharType="begin"/>
            </w:r>
            <w:r w:rsidR="00A745A3">
              <w:rPr>
                <w:webHidden/>
              </w:rPr>
              <w:instrText xml:space="preserve"> PAGEREF _Toc126068196 \h </w:instrText>
            </w:r>
            <w:r w:rsidR="00A745A3">
              <w:rPr>
                <w:webHidden/>
              </w:rPr>
            </w:r>
            <w:r w:rsidR="00A745A3">
              <w:rPr>
                <w:webHidden/>
              </w:rPr>
              <w:fldChar w:fldCharType="separate"/>
            </w:r>
            <w:r w:rsidR="00DA018F">
              <w:rPr>
                <w:webHidden/>
              </w:rPr>
              <w:t>101</w:t>
            </w:r>
            <w:r w:rsidR="00A745A3">
              <w:rPr>
                <w:webHidden/>
              </w:rPr>
              <w:fldChar w:fldCharType="end"/>
            </w:r>
          </w:hyperlink>
        </w:p>
        <w:p w14:paraId="4F702143" w14:textId="595BE5BC" w:rsidR="00A745A3" w:rsidRDefault="00101CB3">
          <w:pPr>
            <w:pStyle w:val="TOC2"/>
            <w:rPr>
              <w:rFonts w:eastAsiaTheme="minorEastAsia" w:cstheme="minorBidi"/>
              <w:b w:val="0"/>
              <w:bCs w:val="0"/>
              <w:sz w:val="24"/>
              <w:szCs w:val="24"/>
            </w:rPr>
          </w:pPr>
          <w:hyperlink w:anchor="_Toc126068197" w:history="1">
            <w:r w:rsidR="00A745A3" w:rsidRPr="00B8262E">
              <w:rPr>
                <w:rStyle w:val="Hyperlink"/>
              </w:rPr>
              <w:t>Appendix 6: Extended Report of Feedback from Key Interested Parties and Community-Based Organizations</w:t>
            </w:r>
            <w:r w:rsidR="00A745A3">
              <w:rPr>
                <w:webHidden/>
              </w:rPr>
              <w:tab/>
            </w:r>
            <w:r w:rsidR="00A745A3">
              <w:rPr>
                <w:webHidden/>
              </w:rPr>
              <w:fldChar w:fldCharType="begin"/>
            </w:r>
            <w:r w:rsidR="00A745A3">
              <w:rPr>
                <w:webHidden/>
              </w:rPr>
              <w:instrText xml:space="preserve"> PAGEREF _Toc126068197 \h </w:instrText>
            </w:r>
            <w:r w:rsidR="00A745A3">
              <w:rPr>
                <w:webHidden/>
              </w:rPr>
            </w:r>
            <w:r w:rsidR="00A745A3">
              <w:rPr>
                <w:webHidden/>
              </w:rPr>
              <w:fldChar w:fldCharType="separate"/>
            </w:r>
            <w:r w:rsidR="00DA018F">
              <w:rPr>
                <w:webHidden/>
              </w:rPr>
              <w:t>115</w:t>
            </w:r>
            <w:r w:rsidR="00A745A3">
              <w:rPr>
                <w:webHidden/>
              </w:rPr>
              <w:fldChar w:fldCharType="end"/>
            </w:r>
          </w:hyperlink>
        </w:p>
        <w:p w14:paraId="1BB8E813" w14:textId="6F9E82A5" w:rsidR="00A745A3" w:rsidRDefault="00101CB3">
          <w:pPr>
            <w:pStyle w:val="TOC2"/>
            <w:rPr>
              <w:rFonts w:eastAsiaTheme="minorEastAsia" w:cstheme="minorBidi"/>
              <w:b w:val="0"/>
              <w:bCs w:val="0"/>
              <w:sz w:val="24"/>
              <w:szCs w:val="24"/>
            </w:rPr>
          </w:pPr>
          <w:hyperlink w:anchor="_Toc126068198" w:history="1">
            <w:r w:rsidR="00A745A3" w:rsidRPr="00B8262E">
              <w:rPr>
                <w:rStyle w:val="Hyperlink"/>
              </w:rPr>
              <w:t>Appendix 7: Additional Quantitative Analyses Tables Referenced in the Main Report</w:t>
            </w:r>
            <w:r w:rsidR="00A745A3">
              <w:rPr>
                <w:webHidden/>
              </w:rPr>
              <w:tab/>
            </w:r>
            <w:r w:rsidR="00A745A3">
              <w:rPr>
                <w:webHidden/>
              </w:rPr>
              <w:fldChar w:fldCharType="begin"/>
            </w:r>
            <w:r w:rsidR="00A745A3">
              <w:rPr>
                <w:webHidden/>
              </w:rPr>
              <w:instrText xml:space="preserve"> PAGEREF _Toc126068198 \h </w:instrText>
            </w:r>
            <w:r w:rsidR="00A745A3">
              <w:rPr>
                <w:webHidden/>
              </w:rPr>
            </w:r>
            <w:r w:rsidR="00A745A3">
              <w:rPr>
                <w:webHidden/>
              </w:rPr>
              <w:fldChar w:fldCharType="separate"/>
            </w:r>
            <w:r w:rsidR="00DA018F">
              <w:rPr>
                <w:webHidden/>
              </w:rPr>
              <w:t>123</w:t>
            </w:r>
            <w:r w:rsidR="00A745A3">
              <w:rPr>
                <w:webHidden/>
              </w:rPr>
              <w:fldChar w:fldCharType="end"/>
            </w:r>
          </w:hyperlink>
        </w:p>
        <w:p w14:paraId="06BFEFF1" w14:textId="1FABE77D" w:rsidR="00A02801" w:rsidRDefault="00A02801" w:rsidP="006149F8">
          <w:pPr>
            <w:tabs>
              <w:tab w:val="right" w:leader="dot" w:pos="9090"/>
            </w:tabs>
            <w:ind w:right="2160"/>
          </w:pPr>
          <w:r>
            <w:rPr>
              <w:b/>
              <w:bCs/>
              <w:noProof/>
            </w:rPr>
            <w:fldChar w:fldCharType="end"/>
          </w:r>
        </w:p>
      </w:sdtContent>
    </w:sdt>
    <w:p w14:paraId="6E470AF5" w14:textId="77777777" w:rsidR="00DF7FB0" w:rsidRDefault="0049573F" w:rsidP="00DF7FB0">
      <w:pPr>
        <w:pStyle w:val="TOCHeading"/>
        <w:tabs>
          <w:tab w:val="center" w:pos="4680"/>
          <w:tab w:val="left" w:pos="7509"/>
        </w:tabs>
        <w:spacing w:before="0"/>
        <w:rPr>
          <w:rFonts w:asciiTheme="minorHAnsi" w:hAnsiTheme="minorHAnsi" w:cstheme="minorHAnsi"/>
          <w:color w:val="6A7F0F"/>
          <w:sz w:val="40"/>
          <w:szCs w:val="40"/>
        </w:rPr>
      </w:pPr>
      <w:r w:rsidRPr="001173FB">
        <w:rPr>
          <w:rFonts w:asciiTheme="minorHAnsi" w:hAnsiTheme="minorHAnsi" w:cstheme="minorHAnsi"/>
          <w:color w:val="6A7F0F"/>
          <w:sz w:val="40"/>
          <w:szCs w:val="40"/>
        </w:rPr>
        <w:tab/>
      </w:r>
    </w:p>
    <w:p w14:paraId="65DAFB7E" w14:textId="367C5396" w:rsidR="0049573F" w:rsidRPr="001173FB" w:rsidRDefault="0049573F" w:rsidP="00DF7FB0">
      <w:pPr>
        <w:pStyle w:val="TOCHeading"/>
        <w:tabs>
          <w:tab w:val="center" w:pos="4680"/>
          <w:tab w:val="left" w:pos="7509"/>
        </w:tabs>
        <w:spacing w:before="0"/>
        <w:jc w:val="center"/>
        <w:rPr>
          <w:rFonts w:asciiTheme="minorHAnsi" w:hAnsiTheme="minorHAnsi" w:cstheme="minorHAnsi"/>
          <w:color w:val="6A7F0F"/>
          <w:sz w:val="40"/>
          <w:szCs w:val="40"/>
        </w:rPr>
      </w:pPr>
      <w:r w:rsidRPr="001173FB">
        <w:rPr>
          <w:rFonts w:asciiTheme="minorHAnsi" w:hAnsiTheme="minorHAnsi" w:cstheme="minorHAnsi"/>
          <w:color w:val="6A7F0F"/>
          <w:sz w:val="40"/>
          <w:szCs w:val="40"/>
        </w:rPr>
        <w:t>List of Tables</w:t>
      </w:r>
    </w:p>
    <w:p w14:paraId="1CEF0331" w14:textId="77777777" w:rsidR="0049573F" w:rsidRPr="008A45A3" w:rsidRDefault="0049573F" w:rsidP="0049573F">
      <w:pPr>
        <w:ind w:left="900" w:hanging="900"/>
        <w:rPr>
          <w:sz w:val="22"/>
          <w:szCs w:val="22"/>
        </w:rPr>
      </w:pPr>
    </w:p>
    <w:p w14:paraId="419DFAE2" w14:textId="080D57F2" w:rsidR="00A440DC" w:rsidRPr="00580A99" w:rsidRDefault="00A440DC">
      <w:pPr>
        <w:pStyle w:val="TableofFigures"/>
        <w:tabs>
          <w:tab w:val="right" w:leader="dot" w:pos="9350"/>
        </w:tabs>
        <w:rPr>
          <w:rFonts w:eastAsiaTheme="minorEastAsia"/>
          <w:b/>
          <w:bCs/>
          <w:noProof/>
          <w:sz w:val="20"/>
          <w:szCs w:val="20"/>
        </w:rPr>
      </w:pPr>
      <w:r w:rsidRPr="00580A99">
        <w:rPr>
          <w:b/>
          <w:bCs/>
          <w:sz w:val="20"/>
          <w:szCs w:val="20"/>
        </w:rPr>
        <w:fldChar w:fldCharType="begin"/>
      </w:r>
      <w:r w:rsidRPr="00580A99">
        <w:rPr>
          <w:b/>
          <w:bCs/>
          <w:sz w:val="20"/>
          <w:szCs w:val="20"/>
        </w:rPr>
        <w:instrText xml:space="preserve"> TOC \h \z \c "Table" </w:instrText>
      </w:r>
      <w:r w:rsidRPr="00580A99">
        <w:rPr>
          <w:b/>
          <w:bCs/>
          <w:sz w:val="20"/>
          <w:szCs w:val="20"/>
        </w:rPr>
        <w:fldChar w:fldCharType="separate"/>
      </w:r>
      <w:hyperlink w:anchor="_Toc125555782" w:history="1">
        <w:r w:rsidRPr="00580A99">
          <w:rPr>
            <w:rStyle w:val="Hyperlink"/>
            <w:b/>
            <w:bCs/>
            <w:noProof/>
            <w:sz w:val="20"/>
            <w:szCs w:val="20"/>
          </w:rPr>
          <w:t>Table 1: Major Funding Milestones in CCBHC Program</w:t>
        </w:r>
        <w:r w:rsidRPr="00580A99">
          <w:rPr>
            <w:b/>
            <w:bCs/>
            <w:noProof/>
            <w:webHidden/>
            <w:sz w:val="20"/>
            <w:szCs w:val="20"/>
          </w:rPr>
          <w:tab/>
        </w:r>
        <w:r w:rsidRPr="00580A99">
          <w:rPr>
            <w:b/>
            <w:bCs/>
            <w:noProof/>
            <w:webHidden/>
            <w:sz w:val="20"/>
            <w:szCs w:val="20"/>
          </w:rPr>
          <w:fldChar w:fldCharType="begin"/>
        </w:r>
        <w:r w:rsidRPr="00580A99">
          <w:rPr>
            <w:b/>
            <w:bCs/>
            <w:noProof/>
            <w:webHidden/>
            <w:sz w:val="20"/>
            <w:szCs w:val="20"/>
          </w:rPr>
          <w:instrText xml:space="preserve"> PAGEREF _Toc125555782 \h </w:instrText>
        </w:r>
        <w:r w:rsidRPr="00580A99">
          <w:rPr>
            <w:b/>
            <w:bCs/>
            <w:noProof/>
            <w:webHidden/>
            <w:sz w:val="20"/>
            <w:szCs w:val="20"/>
          </w:rPr>
        </w:r>
        <w:r w:rsidRPr="00580A99">
          <w:rPr>
            <w:b/>
            <w:bCs/>
            <w:noProof/>
            <w:webHidden/>
            <w:sz w:val="20"/>
            <w:szCs w:val="20"/>
          </w:rPr>
          <w:fldChar w:fldCharType="separate"/>
        </w:r>
        <w:r w:rsidR="00DA018F">
          <w:rPr>
            <w:b/>
            <w:bCs/>
            <w:noProof/>
            <w:webHidden/>
            <w:sz w:val="20"/>
            <w:szCs w:val="20"/>
          </w:rPr>
          <w:t>8</w:t>
        </w:r>
        <w:r w:rsidRPr="00580A99">
          <w:rPr>
            <w:b/>
            <w:bCs/>
            <w:noProof/>
            <w:webHidden/>
            <w:sz w:val="20"/>
            <w:szCs w:val="20"/>
          </w:rPr>
          <w:fldChar w:fldCharType="end"/>
        </w:r>
      </w:hyperlink>
    </w:p>
    <w:p w14:paraId="64AE7FD3" w14:textId="55CDD1CB" w:rsidR="00A440DC" w:rsidRPr="00580A99" w:rsidRDefault="00101CB3">
      <w:pPr>
        <w:pStyle w:val="TableofFigures"/>
        <w:tabs>
          <w:tab w:val="right" w:leader="dot" w:pos="9350"/>
        </w:tabs>
        <w:rPr>
          <w:rFonts w:eastAsiaTheme="minorEastAsia"/>
          <w:b/>
          <w:bCs/>
          <w:noProof/>
          <w:sz w:val="20"/>
          <w:szCs w:val="20"/>
        </w:rPr>
      </w:pPr>
      <w:hyperlink w:anchor="_Toc125555783" w:history="1">
        <w:r w:rsidR="00A440DC" w:rsidRPr="00580A99">
          <w:rPr>
            <w:rStyle w:val="Hyperlink"/>
            <w:b/>
            <w:bCs/>
            <w:noProof/>
            <w:sz w:val="20"/>
            <w:szCs w:val="20"/>
          </w:rPr>
          <w:t>Table 2: Oregon CCBHC Sites</w:t>
        </w:r>
        <w:r w:rsidR="00A440DC" w:rsidRPr="00580A99">
          <w:rPr>
            <w:b/>
            <w:bCs/>
            <w:noProof/>
            <w:webHidden/>
            <w:sz w:val="20"/>
            <w:szCs w:val="20"/>
          </w:rPr>
          <w:tab/>
        </w:r>
        <w:r w:rsidR="00A440DC" w:rsidRPr="00580A99">
          <w:rPr>
            <w:b/>
            <w:bCs/>
            <w:noProof/>
            <w:webHidden/>
            <w:sz w:val="20"/>
            <w:szCs w:val="20"/>
          </w:rPr>
          <w:fldChar w:fldCharType="begin"/>
        </w:r>
        <w:r w:rsidR="00A440DC" w:rsidRPr="00580A99">
          <w:rPr>
            <w:b/>
            <w:bCs/>
            <w:noProof/>
            <w:webHidden/>
            <w:sz w:val="20"/>
            <w:szCs w:val="20"/>
          </w:rPr>
          <w:instrText xml:space="preserve"> PAGEREF _Toc125555783 \h </w:instrText>
        </w:r>
        <w:r w:rsidR="00A440DC" w:rsidRPr="00580A99">
          <w:rPr>
            <w:b/>
            <w:bCs/>
            <w:noProof/>
            <w:webHidden/>
            <w:sz w:val="20"/>
            <w:szCs w:val="20"/>
          </w:rPr>
        </w:r>
        <w:r w:rsidR="00A440DC" w:rsidRPr="00580A99">
          <w:rPr>
            <w:b/>
            <w:bCs/>
            <w:noProof/>
            <w:webHidden/>
            <w:sz w:val="20"/>
            <w:szCs w:val="20"/>
          </w:rPr>
          <w:fldChar w:fldCharType="separate"/>
        </w:r>
        <w:r w:rsidR="00DA018F">
          <w:rPr>
            <w:b/>
            <w:bCs/>
            <w:noProof/>
            <w:webHidden/>
            <w:sz w:val="20"/>
            <w:szCs w:val="20"/>
          </w:rPr>
          <w:t>9</w:t>
        </w:r>
        <w:r w:rsidR="00A440DC" w:rsidRPr="00580A99">
          <w:rPr>
            <w:b/>
            <w:bCs/>
            <w:noProof/>
            <w:webHidden/>
            <w:sz w:val="20"/>
            <w:szCs w:val="20"/>
          </w:rPr>
          <w:fldChar w:fldCharType="end"/>
        </w:r>
      </w:hyperlink>
    </w:p>
    <w:p w14:paraId="156AA5AF" w14:textId="2608584A" w:rsidR="00A440DC" w:rsidRPr="00580A99" w:rsidRDefault="00101CB3">
      <w:pPr>
        <w:pStyle w:val="TableofFigures"/>
        <w:tabs>
          <w:tab w:val="right" w:leader="dot" w:pos="9350"/>
        </w:tabs>
        <w:rPr>
          <w:rFonts w:eastAsiaTheme="minorEastAsia"/>
          <w:b/>
          <w:bCs/>
          <w:noProof/>
          <w:sz w:val="20"/>
          <w:szCs w:val="20"/>
        </w:rPr>
      </w:pPr>
      <w:hyperlink w:anchor="_Toc125555784" w:history="1">
        <w:r w:rsidR="00A440DC" w:rsidRPr="00580A99">
          <w:rPr>
            <w:rStyle w:val="Hyperlink"/>
            <w:b/>
            <w:bCs/>
            <w:noProof/>
            <w:sz w:val="20"/>
            <w:szCs w:val="20"/>
          </w:rPr>
          <w:t>Table 3: Trends in OHP Members Attributed to CCBHCs and Non-CCBHC CMHPs</w:t>
        </w:r>
        <w:r w:rsidR="00A440DC" w:rsidRPr="00580A99">
          <w:rPr>
            <w:b/>
            <w:bCs/>
            <w:noProof/>
            <w:webHidden/>
            <w:sz w:val="20"/>
            <w:szCs w:val="20"/>
          </w:rPr>
          <w:tab/>
        </w:r>
        <w:r w:rsidR="00A440DC" w:rsidRPr="00580A99">
          <w:rPr>
            <w:b/>
            <w:bCs/>
            <w:noProof/>
            <w:webHidden/>
            <w:sz w:val="20"/>
            <w:szCs w:val="20"/>
          </w:rPr>
          <w:fldChar w:fldCharType="begin"/>
        </w:r>
        <w:r w:rsidR="00A440DC" w:rsidRPr="00580A99">
          <w:rPr>
            <w:b/>
            <w:bCs/>
            <w:noProof/>
            <w:webHidden/>
            <w:sz w:val="20"/>
            <w:szCs w:val="20"/>
          </w:rPr>
          <w:instrText xml:space="preserve"> PAGEREF _Toc125555784 \h </w:instrText>
        </w:r>
        <w:r w:rsidR="00A440DC" w:rsidRPr="00580A99">
          <w:rPr>
            <w:b/>
            <w:bCs/>
            <w:noProof/>
            <w:webHidden/>
            <w:sz w:val="20"/>
            <w:szCs w:val="20"/>
          </w:rPr>
        </w:r>
        <w:r w:rsidR="00A440DC" w:rsidRPr="00580A99">
          <w:rPr>
            <w:b/>
            <w:bCs/>
            <w:noProof/>
            <w:webHidden/>
            <w:sz w:val="20"/>
            <w:szCs w:val="20"/>
          </w:rPr>
          <w:fldChar w:fldCharType="separate"/>
        </w:r>
        <w:r w:rsidR="00DA018F">
          <w:rPr>
            <w:b/>
            <w:bCs/>
            <w:noProof/>
            <w:webHidden/>
            <w:sz w:val="20"/>
            <w:szCs w:val="20"/>
          </w:rPr>
          <w:t>19</w:t>
        </w:r>
        <w:r w:rsidR="00A440DC" w:rsidRPr="00580A99">
          <w:rPr>
            <w:b/>
            <w:bCs/>
            <w:noProof/>
            <w:webHidden/>
            <w:sz w:val="20"/>
            <w:szCs w:val="20"/>
          </w:rPr>
          <w:fldChar w:fldCharType="end"/>
        </w:r>
      </w:hyperlink>
    </w:p>
    <w:p w14:paraId="3762F0DC" w14:textId="2DF17387" w:rsidR="00A440DC" w:rsidRPr="00580A99" w:rsidRDefault="00101CB3">
      <w:pPr>
        <w:pStyle w:val="TableofFigures"/>
        <w:tabs>
          <w:tab w:val="right" w:leader="dot" w:pos="9350"/>
        </w:tabs>
        <w:rPr>
          <w:rFonts w:eastAsiaTheme="minorEastAsia"/>
          <w:b/>
          <w:bCs/>
          <w:noProof/>
          <w:sz w:val="20"/>
          <w:szCs w:val="20"/>
        </w:rPr>
      </w:pPr>
      <w:hyperlink w:anchor="_Toc125555785" w:history="1">
        <w:r w:rsidR="00A440DC" w:rsidRPr="00580A99">
          <w:rPr>
            <w:rStyle w:val="Hyperlink"/>
            <w:b/>
            <w:bCs/>
            <w:noProof/>
            <w:sz w:val="20"/>
            <w:szCs w:val="20"/>
          </w:rPr>
          <w:t>Table 4: CCBHC OHP Member Demographics by Period</w:t>
        </w:r>
        <w:r w:rsidR="00A440DC" w:rsidRPr="00580A99">
          <w:rPr>
            <w:b/>
            <w:bCs/>
            <w:noProof/>
            <w:webHidden/>
            <w:sz w:val="20"/>
            <w:szCs w:val="20"/>
          </w:rPr>
          <w:tab/>
        </w:r>
        <w:r w:rsidR="00A440DC" w:rsidRPr="00580A99">
          <w:rPr>
            <w:b/>
            <w:bCs/>
            <w:noProof/>
            <w:webHidden/>
            <w:sz w:val="20"/>
            <w:szCs w:val="20"/>
          </w:rPr>
          <w:fldChar w:fldCharType="begin"/>
        </w:r>
        <w:r w:rsidR="00A440DC" w:rsidRPr="00580A99">
          <w:rPr>
            <w:b/>
            <w:bCs/>
            <w:noProof/>
            <w:webHidden/>
            <w:sz w:val="20"/>
            <w:szCs w:val="20"/>
          </w:rPr>
          <w:instrText xml:space="preserve"> PAGEREF _Toc125555785 \h </w:instrText>
        </w:r>
        <w:r w:rsidR="00A440DC" w:rsidRPr="00580A99">
          <w:rPr>
            <w:b/>
            <w:bCs/>
            <w:noProof/>
            <w:webHidden/>
            <w:sz w:val="20"/>
            <w:szCs w:val="20"/>
          </w:rPr>
        </w:r>
        <w:r w:rsidR="00A440DC" w:rsidRPr="00580A99">
          <w:rPr>
            <w:b/>
            <w:bCs/>
            <w:noProof/>
            <w:webHidden/>
            <w:sz w:val="20"/>
            <w:szCs w:val="20"/>
          </w:rPr>
          <w:fldChar w:fldCharType="separate"/>
        </w:r>
        <w:r w:rsidR="00DA018F">
          <w:rPr>
            <w:b/>
            <w:bCs/>
            <w:noProof/>
            <w:webHidden/>
            <w:sz w:val="20"/>
            <w:szCs w:val="20"/>
          </w:rPr>
          <w:t>21</w:t>
        </w:r>
        <w:r w:rsidR="00A440DC" w:rsidRPr="00580A99">
          <w:rPr>
            <w:b/>
            <w:bCs/>
            <w:noProof/>
            <w:webHidden/>
            <w:sz w:val="20"/>
            <w:szCs w:val="20"/>
          </w:rPr>
          <w:fldChar w:fldCharType="end"/>
        </w:r>
      </w:hyperlink>
    </w:p>
    <w:p w14:paraId="19EB15C6" w14:textId="69BEE9EE" w:rsidR="003B1A3F" w:rsidRDefault="00A440DC" w:rsidP="003B1A3F">
      <w:r w:rsidRPr="00580A99">
        <w:rPr>
          <w:b/>
          <w:bCs/>
          <w:sz w:val="20"/>
          <w:szCs w:val="20"/>
        </w:rPr>
        <w:fldChar w:fldCharType="end"/>
      </w:r>
    </w:p>
    <w:p w14:paraId="1F7BCB38" w14:textId="77777777" w:rsidR="00D301B3" w:rsidRDefault="00D301B3" w:rsidP="00DF7FB0">
      <w:pPr>
        <w:pStyle w:val="TOCHeading"/>
        <w:spacing w:before="0"/>
        <w:jc w:val="center"/>
        <w:rPr>
          <w:rFonts w:asciiTheme="minorHAnsi" w:hAnsiTheme="minorHAnsi" w:cstheme="minorHAnsi"/>
          <w:color w:val="6A7F0F"/>
          <w:sz w:val="40"/>
          <w:szCs w:val="40"/>
        </w:rPr>
      </w:pPr>
    </w:p>
    <w:p w14:paraId="02D5128E" w14:textId="7DA0DE44" w:rsidR="00F66AE0" w:rsidRDefault="008A45A3" w:rsidP="00DF7FB0">
      <w:pPr>
        <w:pStyle w:val="TOCHeading"/>
        <w:spacing w:before="0"/>
        <w:jc w:val="center"/>
        <w:rPr>
          <w:rFonts w:asciiTheme="minorHAnsi" w:hAnsiTheme="minorHAnsi" w:cstheme="minorHAnsi"/>
          <w:color w:val="6A7F0F"/>
          <w:sz w:val="40"/>
          <w:szCs w:val="40"/>
        </w:rPr>
      </w:pPr>
      <w:r w:rsidRPr="001173FB">
        <w:rPr>
          <w:rFonts w:asciiTheme="minorHAnsi" w:hAnsiTheme="minorHAnsi" w:cstheme="minorHAnsi"/>
          <w:color w:val="6A7F0F"/>
          <w:sz w:val="40"/>
          <w:szCs w:val="40"/>
        </w:rPr>
        <w:t xml:space="preserve">List of </w:t>
      </w:r>
      <w:r w:rsidR="00F66AE0" w:rsidRPr="001173FB">
        <w:rPr>
          <w:rFonts w:asciiTheme="minorHAnsi" w:hAnsiTheme="minorHAnsi" w:cstheme="minorHAnsi"/>
          <w:color w:val="6A7F0F"/>
          <w:sz w:val="40"/>
          <w:szCs w:val="40"/>
        </w:rPr>
        <w:t>Figures</w:t>
      </w:r>
    </w:p>
    <w:p w14:paraId="7A35F1DD" w14:textId="77777777" w:rsidR="00DF7FB0" w:rsidRPr="00DF7FB0" w:rsidRDefault="00DF7FB0" w:rsidP="00DF7FB0">
      <w:pPr>
        <w:rPr>
          <w:sz w:val="22"/>
          <w:szCs w:val="22"/>
        </w:rPr>
      </w:pPr>
    </w:p>
    <w:p w14:paraId="6974B4C0" w14:textId="7DEABE32" w:rsidR="00143C9B" w:rsidRPr="00580A99" w:rsidRDefault="00621D3C" w:rsidP="006149F8">
      <w:pPr>
        <w:pStyle w:val="TableofFigures"/>
        <w:tabs>
          <w:tab w:val="right" w:leader="dot" w:pos="9350"/>
        </w:tabs>
        <w:ind w:left="900" w:right="2160" w:hanging="900"/>
        <w:rPr>
          <w:rFonts w:eastAsiaTheme="minorEastAsia"/>
          <w:b/>
          <w:bCs/>
          <w:noProof/>
          <w:sz w:val="20"/>
          <w:szCs w:val="20"/>
        </w:rPr>
      </w:pPr>
      <w:r w:rsidRPr="00580A99">
        <w:rPr>
          <w:sz w:val="20"/>
          <w:szCs w:val="20"/>
        </w:rPr>
        <w:fldChar w:fldCharType="begin"/>
      </w:r>
      <w:r w:rsidRPr="00580A99">
        <w:rPr>
          <w:sz w:val="20"/>
          <w:szCs w:val="20"/>
        </w:rPr>
        <w:instrText xml:space="preserve"> TOC \h \z \c "Figure" </w:instrText>
      </w:r>
      <w:r w:rsidRPr="00580A99">
        <w:rPr>
          <w:sz w:val="20"/>
          <w:szCs w:val="20"/>
        </w:rPr>
        <w:fldChar w:fldCharType="separate"/>
      </w:r>
      <w:hyperlink w:anchor="_Toc125504946" w:history="1">
        <w:r w:rsidR="00143C9B" w:rsidRPr="00580A99">
          <w:rPr>
            <w:rStyle w:val="Hyperlink"/>
            <w:b/>
            <w:bCs/>
            <w:noProof/>
            <w:sz w:val="20"/>
            <w:szCs w:val="20"/>
          </w:rPr>
          <w:t>Figure 1: Oregon CCBHC Sites</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_Toc125504946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10</w:t>
        </w:r>
        <w:r w:rsidR="00143C9B" w:rsidRPr="00580A99">
          <w:rPr>
            <w:b/>
            <w:bCs/>
            <w:noProof/>
            <w:webHidden/>
            <w:sz w:val="20"/>
            <w:szCs w:val="20"/>
          </w:rPr>
          <w:fldChar w:fldCharType="end"/>
        </w:r>
      </w:hyperlink>
    </w:p>
    <w:p w14:paraId="3D471832" w14:textId="6A5CF5E4"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47" w:history="1">
        <w:r w:rsidR="00143C9B" w:rsidRPr="00580A99">
          <w:rPr>
            <w:rStyle w:val="Hyperlink"/>
            <w:b/>
            <w:bCs/>
            <w:noProof/>
            <w:sz w:val="20"/>
            <w:szCs w:val="20"/>
          </w:rPr>
          <w:t>Figure 2: Self-Reported Racial/Ethnic Distribution of Oregon’s Population</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_Toc125504947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12</w:t>
        </w:r>
        <w:r w:rsidR="00143C9B" w:rsidRPr="00580A99">
          <w:rPr>
            <w:b/>
            <w:bCs/>
            <w:noProof/>
            <w:webHidden/>
            <w:sz w:val="20"/>
            <w:szCs w:val="20"/>
          </w:rPr>
          <w:fldChar w:fldCharType="end"/>
        </w:r>
      </w:hyperlink>
    </w:p>
    <w:p w14:paraId="6B7805F6" w14:textId="666DCEBF"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48" w:history="1">
        <w:r w:rsidR="00143C9B" w:rsidRPr="00580A99">
          <w:rPr>
            <w:rStyle w:val="Hyperlink"/>
            <w:b/>
            <w:bCs/>
            <w:noProof/>
            <w:sz w:val="20"/>
            <w:szCs w:val="20"/>
          </w:rPr>
          <w:t>Figure 3: Percent of People Uninsured by Oregon Census Tract</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_Toc125504948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12</w:t>
        </w:r>
        <w:r w:rsidR="00143C9B" w:rsidRPr="00580A99">
          <w:rPr>
            <w:b/>
            <w:bCs/>
            <w:noProof/>
            <w:webHidden/>
            <w:sz w:val="20"/>
            <w:szCs w:val="20"/>
          </w:rPr>
          <w:fldChar w:fldCharType="end"/>
        </w:r>
      </w:hyperlink>
    </w:p>
    <w:p w14:paraId="7689995D" w14:textId="525A7F5E"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49" w:history="1">
        <w:r w:rsidR="00143C9B" w:rsidRPr="00580A99">
          <w:rPr>
            <w:rStyle w:val="Hyperlink"/>
            <w:b/>
            <w:bCs/>
            <w:noProof/>
            <w:sz w:val="20"/>
            <w:szCs w:val="20"/>
          </w:rPr>
          <w:t>Figure 4: Percent of People Living Below 150% of the Federal Poverty Level by Oregon Census Tract</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_Toc125504949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13</w:t>
        </w:r>
        <w:r w:rsidR="00143C9B" w:rsidRPr="00580A99">
          <w:rPr>
            <w:b/>
            <w:bCs/>
            <w:noProof/>
            <w:webHidden/>
            <w:sz w:val="20"/>
            <w:szCs w:val="20"/>
          </w:rPr>
          <w:fldChar w:fldCharType="end"/>
        </w:r>
      </w:hyperlink>
    </w:p>
    <w:p w14:paraId="17CD6D50" w14:textId="2F994AD0"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50" w:history="1">
        <w:r w:rsidR="00143C9B" w:rsidRPr="00580A99">
          <w:rPr>
            <w:rStyle w:val="Hyperlink"/>
            <w:b/>
            <w:bCs/>
            <w:noProof/>
            <w:sz w:val="20"/>
            <w:szCs w:val="20"/>
          </w:rPr>
          <w:t>Figure 5: Change in Mental Health and Substance Service Quarterly Use and  Visits Per Person for CCBHC OHP Members</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_Toc125504950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20</w:t>
        </w:r>
        <w:r w:rsidR="00143C9B" w:rsidRPr="00580A99">
          <w:rPr>
            <w:b/>
            <w:bCs/>
            <w:noProof/>
            <w:webHidden/>
            <w:sz w:val="20"/>
            <w:szCs w:val="20"/>
          </w:rPr>
          <w:fldChar w:fldCharType="end"/>
        </w:r>
      </w:hyperlink>
    </w:p>
    <w:p w14:paraId="3EE75886" w14:textId="426AFC63"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51" w:history="1">
        <w:r w:rsidR="00143C9B" w:rsidRPr="00580A99">
          <w:rPr>
            <w:rStyle w:val="Hyperlink"/>
            <w:b/>
            <w:bCs/>
            <w:noProof/>
            <w:sz w:val="20"/>
            <w:szCs w:val="20"/>
          </w:rPr>
          <w:t>Figure 6</w:t>
        </w:r>
        <w:r w:rsidR="00143C9B" w:rsidRPr="00580A99">
          <w:rPr>
            <w:rStyle w:val="Hyperlink"/>
            <w:rFonts w:cstheme="minorHAnsi"/>
            <w:b/>
            <w:bCs/>
            <w:noProof/>
            <w:sz w:val="20"/>
            <w:szCs w:val="20"/>
          </w:rPr>
          <w:t>: Change in Primary Care Quarterly Use and Visits Per Person for CCBHC OHP Members</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_Toc125504951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32</w:t>
        </w:r>
        <w:r w:rsidR="00143C9B" w:rsidRPr="00580A99">
          <w:rPr>
            <w:b/>
            <w:bCs/>
            <w:noProof/>
            <w:webHidden/>
            <w:sz w:val="20"/>
            <w:szCs w:val="20"/>
          </w:rPr>
          <w:fldChar w:fldCharType="end"/>
        </w:r>
      </w:hyperlink>
    </w:p>
    <w:p w14:paraId="4C3BEAF0" w14:textId="3382BF10"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52" w:history="1">
        <w:r w:rsidR="00143C9B" w:rsidRPr="00580A99">
          <w:rPr>
            <w:rStyle w:val="Hyperlink"/>
            <w:b/>
            <w:bCs/>
            <w:noProof/>
            <w:sz w:val="20"/>
            <w:szCs w:val="20"/>
          </w:rPr>
          <w:t>Figure 7: Change in MHSIP Survey Domains and Satisfaction for CCBHC OHP Members:  Adult and Children &amp; Youth Outpatient and Residential Services</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_Toc125504952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34</w:t>
        </w:r>
        <w:r w:rsidR="00143C9B" w:rsidRPr="00580A99">
          <w:rPr>
            <w:b/>
            <w:bCs/>
            <w:noProof/>
            <w:webHidden/>
            <w:sz w:val="20"/>
            <w:szCs w:val="20"/>
          </w:rPr>
          <w:fldChar w:fldCharType="end"/>
        </w:r>
      </w:hyperlink>
    </w:p>
    <w:p w14:paraId="31B0E65C" w14:textId="2DD9E526"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53" w:history="1">
        <w:r w:rsidR="00143C9B" w:rsidRPr="00580A99">
          <w:rPr>
            <w:rStyle w:val="Hyperlink"/>
            <w:b/>
            <w:bCs/>
            <w:noProof/>
            <w:sz w:val="20"/>
            <w:szCs w:val="20"/>
          </w:rPr>
          <w:t>Figure 8: Change in Inpatient, Emergency Department and Residential Treatment  Quarterly Use and Visits/Days per Person for CCBHC OHP Members:</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_Toc125504953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36</w:t>
        </w:r>
        <w:r w:rsidR="00143C9B" w:rsidRPr="00580A99">
          <w:rPr>
            <w:b/>
            <w:bCs/>
            <w:noProof/>
            <w:webHidden/>
            <w:sz w:val="20"/>
            <w:szCs w:val="20"/>
          </w:rPr>
          <w:fldChar w:fldCharType="end"/>
        </w:r>
      </w:hyperlink>
    </w:p>
    <w:p w14:paraId="6A8223D9" w14:textId="6AD7D58B" w:rsidR="00143C9B" w:rsidRPr="00580A99" w:rsidRDefault="00101CB3" w:rsidP="006149F8">
      <w:pPr>
        <w:pStyle w:val="TableofFigures"/>
        <w:tabs>
          <w:tab w:val="right" w:leader="dot" w:pos="9350"/>
        </w:tabs>
        <w:ind w:left="900" w:right="2160" w:hanging="900"/>
        <w:rPr>
          <w:rFonts w:eastAsiaTheme="minorEastAsia"/>
          <w:b/>
          <w:bCs/>
          <w:noProof/>
          <w:sz w:val="20"/>
          <w:szCs w:val="20"/>
        </w:rPr>
      </w:pPr>
      <w:hyperlink w:anchor="_Toc125504954" w:history="1">
        <w:r w:rsidR="00143C9B" w:rsidRPr="00580A99">
          <w:rPr>
            <w:rStyle w:val="Hyperlink"/>
            <w:b/>
            <w:bCs/>
            <w:noProof/>
            <w:sz w:val="20"/>
            <w:szCs w:val="20"/>
          </w:rPr>
          <w:t>Figure 9: Change in Expenditure Levels per Person for CCBHC OHP Members Overall and by Service Type</w:t>
        </w:r>
        <w:r w:rsidR="00143C9B" w:rsidRPr="00580A99">
          <w:rPr>
            <w:b/>
            <w:bCs/>
            <w:noProof/>
            <w:webHidden/>
            <w:sz w:val="20"/>
            <w:szCs w:val="20"/>
          </w:rPr>
          <w:tab/>
        </w:r>
        <w:r w:rsidR="00143C9B" w:rsidRPr="00580A99">
          <w:rPr>
            <w:b/>
            <w:bCs/>
            <w:noProof/>
            <w:webHidden/>
            <w:sz w:val="20"/>
            <w:szCs w:val="20"/>
          </w:rPr>
          <w:fldChar w:fldCharType="begin"/>
        </w:r>
        <w:r w:rsidR="00143C9B" w:rsidRPr="00580A99">
          <w:rPr>
            <w:b/>
            <w:bCs/>
            <w:noProof/>
            <w:webHidden/>
            <w:sz w:val="20"/>
            <w:szCs w:val="20"/>
          </w:rPr>
          <w:instrText xml:space="preserve"> PAGEREF _Toc125504954 \h </w:instrText>
        </w:r>
        <w:r w:rsidR="00143C9B" w:rsidRPr="00580A99">
          <w:rPr>
            <w:b/>
            <w:bCs/>
            <w:noProof/>
            <w:webHidden/>
            <w:sz w:val="20"/>
            <w:szCs w:val="20"/>
          </w:rPr>
        </w:r>
        <w:r w:rsidR="00143C9B" w:rsidRPr="00580A99">
          <w:rPr>
            <w:b/>
            <w:bCs/>
            <w:noProof/>
            <w:webHidden/>
            <w:sz w:val="20"/>
            <w:szCs w:val="20"/>
          </w:rPr>
          <w:fldChar w:fldCharType="separate"/>
        </w:r>
        <w:r w:rsidR="00DA018F">
          <w:rPr>
            <w:b/>
            <w:bCs/>
            <w:noProof/>
            <w:webHidden/>
            <w:sz w:val="20"/>
            <w:szCs w:val="20"/>
          </w:rPr>
          <w:t>42</w:t>
        </w:r>
        <w:r w:rsidR="00143C9B" w:rsidRPr="00580A99">
          <w:rPr>
            <w:b/>
            <w:bCs/>
            <w:noProof/>
            <w:webHidden/>
            <w:sz w:val="20"/>
            <w:szCs w:val="20"/>
          </w:rPr>
          <w:fldChar w:fldCharType="end"/>
        </w:r>
      </w:hyperlink>
    </w:p>
    <w:p w14:paraId="1807AAF1" w14:textId="6298254A" w:rsidR="00621D3C" w:rsidRDefault="00621D3C" w:rsidP="006149F8">
      <w:pPr>
        <w:ind w:left="900" w:right="2160" w:hanging="900"/>
        <w:rPr>
          <w:sz w:val="22"/>
          <w:szCs w:val="22"/>
        </w:rPr>
      </w:pPr>
      <w:r w:rsidRPr="00580A99">
        <w:rPr>
          <w:sz w:val="20"/>
          <w:szCs w:val="20"/>
        </w:rPr>
        <w:fldChar w:fldCharType="end"/>
      </w:r>
    </w:p>
    <w:p w14:paraId="1A69E1C8" w14:textId="49B2A7C5" w:rsidR="00621D3C" w:rsidRDefault="00621D3C" w:rsidP="008A45A3">
      <w:pPr>
        <w:ind w:left="900" w:hanging="900"/>
      </w:pPr>
    </w:p>
    <w:p w14:paraId="40D49E17" w14:textId="77777777" w:rsidR="00580A99" w:rsidRDefault="00580A99">
      <w:pPr>
        <w:rPr>
          <w:rFonts w:eastAsiaTheme="majorEastAsia" w:cstheme="minorHAnsi"/>
          <w:b/>
          <w:bCs/>
          <w:color w:val="6A7F0F"/>
          <w:sz w:val="40"/>
          <w:szCs w:val="40"/>
        </w:rPr>
      </w:pPr>
      <w:r>
        <w:rPr>
          <w:rFonts w:cstheme="minorHAnsi"/>
          <w:b/>
          <w:bCs/>
          <w:color w:val="6A7F0F"/>
          <w:sz w:val="40"/>
          <w:szCs w:val="40"/>
        </w:rPr>
        <w:br w:type="page"/>
      </w:r>
    </w:p>
    <w:p w14:paraId="40F0A619" w14:textId="3CD48A90" w:rsidR="00A02801" w:rsidRPr="001173FB" w:rsidRDefault="00A02801" w:rsidP="00621D3C">
      <w:pPr>
        <w:pStyle w:val="Heading1"/>
        <w:jc w:val="center"/>
        <w:rPr>
          <w:rFonts w:asciiTheme="minorHAnsi" w:hAnsiTheme="minorHAnsi" w:cstheme="minorHAnsi"/>
          <w:b/>
          <w:bCs/>
          <w:color w:val="6A7F0F"/>
          <w:sz w:val="40"/>
          <w:szCs w:val="40"/>
        </w:rPr>
      </w:pPr>
      <w:bookmarkStart w:id="0" w:name="_Toc126068165"/>
      <w:r w:rsidRPr="001173FB">
        <w:rPr>
          <w:rFonts w:asciiTheme="minorHAnsi" w:hAnsiTheme="minorHAnsi" w:cstheme="minorHAnsi"/>
          <w:b/>
          <w:bCs/>
          <w:color w:val="6A7F0F"/>
          <w:sz w:val="40"/>
          <w:szCs w:val="40"/>
        </w:rPr>
        <w:t>Acknowledgements</w:t>
      </w:r>
      <w:bookmarkEnd w:id="0"/>
    </w:p>
    <w:p w14:paraId="4C438B7D" w14:textId="77777777" w:rsidR="00621D3C" w:rsidRDefault="00621D3C" w:rsidP="00621D3C">
      <w:pPr>
        <w:rPr>
          <w:rFonts w:cstheme="minorHAnsi"/>
          <w:sz w:val="22"/>
          <w:szCs w:val="22"/>
        </w:rPr>
      </w:pPr>
    </w:p>
    <w:p w14:paraId="4433B1BB" w14:textId="4F5D6048" w:rsidR="00621D3C" w:rsidRPr="003E3DE4" w:rsidRDefault="00621D3C" w:rsidP="00621D3C">
      <w:pPr>
        <w:rPr>
          <w:rFonts w:cstheme="minorHAnsi"/>
          <w:sz w:val="22"/>
          <w:szCs w:val="22"/>
        </w:rPr>
      </w:pPr>
      <w:r w:rsidRPr="003E3DE4">
        <w:rPr>
          <w:rFonts w:cstheme="minorHAnsi"/>
          <w:sz w:val="22"/>
          <w:szCs w:val="22"/>
        </w:rPr>
        <w:t>The evaluation team gratefully acknowledges the following individuals who contributed their time and expertise to the development of this report, which could not have been completed without their generosity.</w:t>
      </w:r>
    </w:p>
    <w:p w14:paraId="0E362E80" w14:textId="77777777" w:rsidR="00621D3C" w:rsidRPr="00AB2E35" w:rsidRDefault="00621D3C" w:rsidP="00621D3C">
      <w:pPr>
        <w:rPr>
          <w:rFonts w:cstheme="minorHAnsi"/>
          <w:sz w:val="22"/>
          <w:szCs w:val="22"/>
        </w:rPr>
      </w:pPr>
    </w:p>
    <w:p w14:paraId="4FA296A0"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Kendall Alexander, Chief Executive Officer, Klamath Basin Behavioral Health </w:t>
      </w:r>
    </w:p>
    <w:p w14:paraId="2B7965D2"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Steve Allen, Behavioral Health Director, Oregon Health Authority </w:t>
      </w:r>
    </w:p>
    <w:p w14:paraId="6B440021" w14:textId="77777777" w:rsidR="00621D3C" w:rsidRPr="003E3DE4" w:rsidRDefault="00621D3C" w:rsidP="00621D3C">
      <w:pPr>
        <w:ind w:left="720" w:hanging="720"/>
        <w:rPr>
          <w:rFonts w:cstheme="minorHAnsi"/>
          <w:sz w:val="22"/>
          <w:szCs w:val="22"/>
        </w:rPr>
      </w:pPr>
      <w:r w:rsidRPr="003E3DE4">
        <w:rPr>
          <w:rFonts w:cstheme="minorHAnsi"/>
          <w:sz w:val="22"/>
          <w:szCs w:val="22"/>
        </w:rPr>
        <w:t>Brenda Altamirano, Office Manager, Lifeworks NW</w:t>
      </w:r>
    </w:p>
    <w:p w14:paraId="2AC5DFD6" w14:textId="77777777" w:rsidR="00621D3C" w:rsidRPr="003E3DE4" w:rsidRDefault="00621D3C" w:rsidP="00621D3C">
      <w:pPr>
        <w:ind w:left="720" w:hanging="720"/>
        <w:rPr>
          <w:rFonts w:cstheme="minorHAnsi"/>
          <w:sz w:val="22"/>
          <w:szCs w:val="22"/>
        </w:rPr>
      </w:pPr>
      <w:r w:rsidRPr="003E3DE4">
        <w:rPr>
          <w:rFonts w:cstheme="minorHAnsi"/>
          <w:sz w:val="22"/>
          <w:szCs w:val="22"/>
        </w:rPr>
        <w:t>Kristen Anders, Clinical Manager, Mid-Columbia Center for Living</w:t>
      </w:r>
    </w:p>
    <w:p w14:paraId="0428D350" w14:textId="77777777" w:rsidR="00621D3C" w:rsidRPr="003E3DE4" w:rsidRDefault="00621D3C" w:rsidP="00621D3C">
      <w:pPr>
        <w:ind w:left="720" w:hanging="720"/>
        <w:rPr>
          <w:rFonts w:cstheme="minorHAnsi"/>
          <w:sz w:val="22"/>
          <w:szCs w:val="22"/>
        </w:rPr>
      </w:pPr>
      <w:r w:rsidRPr="003E3DE4">
        <w:rPr>
          <w:rFonts w:cstheme="minorHAnsi"/>
          <w:sz w:val="22"/>
          <w:szCs w:val="22"/>
        </w:rPr>
        <w:t>Jill Archer, Vice President Behavioral Health, CareOregon</w:t>
      </w:r>
    </w:p>
    <w:p w14:paraId="2D3F4AE0" w14:textId="77777777" w:rsidR="00621D3C" w:rsidRPr="003E3DE4" w:rsidRDefault="00621D3C" w:rsidP="00621D3C">
      <w:pPr>
        <w:ind w:left="720" w:hanging="720"/>
        <w:rPr>
          <w:rFonts w:cstheme="minorHAnsi"/>
          <w:sz w:val="22"/>
          <w:szCs w:val="22"/>
        </w:rPr>
      </w:pPr>
      <w:r w:rsidRPr="003E3DE4">
        <w:rPr>
          <w:rFonts w:cstheme="minorHAnsi"/>
          <w:sz w:val="22"/>
          <w:szCs w:val="22"/>
        </w:rPr>
        <w:t>Aaron Aschenfelter, Sergeant, Medical Observation Unit, Washington County Sheriff’s Office</w:t>
      </w:r>
    </w:p>
    <w:p w14:paraId="702850A8" w14:textId="77777777" w:rsidR="00621D3C" w:rsidRPr="003E3DE4" w:rsidRDefault="00621D3C" w:rsidP="00621D3C">
      <w:pPr>
        <w:ind w:left="720" w:hanging="720"/>
        <w:rPr>
          <w:rFonts w:cstheme="minorHAnsi"/>
          <w:sz w:val="22"/>
          <w:szCs w:val="22"/>
        </w:rPr>
      </w:pPr>
      <w:r w:rsidRPr="003E3DE4">
        <w:rPr>
          <w:rFonts w:cstheme="minorHAnsi"/>
          <w:sz w:val="22"/>
          <w:szCs w:val="22"/>
        </w:rPr>
        <w:t>Al Barton, Executive Director, Mid-Columbia Center for Living</w:t>
      </w:r>
    </w:p>
    <w:p w14:paraId="55AB42B4" w14:textId="77777777" w:rsidR="00621D3C" w:rsidRPr="003E3DE4" w:rsidRDefault="00621D3C" w:rsidP="00621D3C">
      <w:pPr>
        <w:ind w:left="720" w:hanging="720"/>
        <w:rPr>
          <w:rFonts w:cstheme="minorHAnsi"/>
          <w:sz w:val="22"/>
          <w:szCs w:val="22"/>
        </w:rPr>
      </w:pPr>
      <w:r w:rsidRPr="003E3DE4">
        <w:rPr>
          <w:rFonts w:cstheme="minorHAnsi"/>
          <w:sz w:val="22"/>
          <w:szCs w:val="22"/>
        </w:rPr>
        <w:t>Katy Beveridge, Vice President of Operations, LifeWorks NW</w:t>
      </w:r>
    </w:p>
    <w:p w14:paraId="262ACF08" w14:textId="77777777" w:rsidR="00621D3C" w:rsidRPr="003E3DE4" w:rsidRDefault="00621D3C" w:rsidP="00621D3C">
      <w:pPr>
        <w:ind w:left="720" w:hanging="720"/>
        <w:rPr>
          <w:rFonts w:cstheme="minorHAnsi"/>
          <w:sz w:val="22"/>
          <w:szCs w:val="22"/>
        </w:rPr>
      </w:pPr>
      <w:r w:rsidRPr="003E3DE4">
        <w:rPr>
          <w:rFonts w:cstheme="minorHAnsi"/>
          <w:sz w:val="22"/>
          <w:szCs w:val="22"/>
        </w:rPr>
        <w:t>Kristie Bingaman, Executive Assistant, Community Counseling Solutions</w:t>
      </w:r>
    </w:p>
    <w:p w14:paraId="53551F00" w14:textId="77777777" w:rsidR="00621D3C" w:rsidRPr="003E3DE4" w:rsidRDefault="00621D3C" w:rsidP="00621D3C">
      <w:pPr>
        <w:ind w:left="720" w:hanging="720"/>
        <w:rPr>
          <w:rFonts w:cstheme="minorHAnsi"/>
          <w:sz w:val="22"/>
          <w:szCs w:val="22"/>
        </w:rPr>
      </w:pPr>
      <w:r w:rsidRPr="003E3DE4">
        <w:rPr>
          <w:rFonts w:cstheme="minorHAnsi"/>
          <w:sz w:val="22"/>
          <w:szCs w:val="22"/>
        </w:rPr>
        <w:t>Brianna Boice, Compliance Officer, Columbia Community Mental Health</w:t>
      </w:r>
    </w:p>
    <w:p w14:paraId="03932C94" w14:textId="77777777" w:rsidR="00621D3C" w:rsidRPr="003E3DE4" w:rsidRDefault="00621D3C" w:rsidP="00621D3C">
      <w:pPr>
        <w:ind w:left="720" w:hanging="720"/>
        <w:rPr>
          <w:rFonts w:cstheme="minorHAnsi"/>
          <w:sz w:val="22"/>
          <w:szCs w:val="22"/>
        </w:rPr>
      </w:pPr>
      <w:r w:rsidRPr="003E3DE4">
        <w:rPr>
          <w:rFonts w:cstheme="minorHAnsi"/>
          <w:sz w:val="22"/>
          <w:szCs w:val="22"/>
        </w:rPr>
        <w:t>Amy Boivin, Director of Clinical Services, Klamath Basin Behavioral Health</w:t>
      </w:r>
    </w:p>
    <w:p w14:paraId="4021DA9F"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Summer Boslaugh, Transformation Analyst, Oregon Health Authority </w:t>
      </w:r>
    </w:p>
    <w:p w14:paraId="6DCCC9B8" w14:textId="72E5E373" w:rsidR="00621D3C" w:rsidRPr="003E3DE4" w:rsidRDefault="00621D3C" w:rsidP="00621D3C">
      <w:pPr>
        <w:ind w:left="720" w:hanging="720"/>
        <w:rPr>
          <w:rFonts w:cstheme="minorHAnsi"/>
          <w:sz w:val="22"/>
          <w:szCs w:val="22"/>
        </w:rPr>
      </w:pPr>
      <w:r w:rsidRPr="003E3DE4">
        <w:rPr>
          <w:rFonts w:cstheme="minorHAnsi"/>
          <w:sz w:val="22"/>
          <w:szCs w:val="22"/>
        </w:rPr>
        <w:t xml:space="preserve">Allison Brenner, Senior Director of Population Health </w:t>
      </w:r>
      <w:r w:rsidR="00517AAA" w:rsidRPr="003E3DE4">
        <w:rPr>
          <w:rFonts w:cstheme="minorHAnsi"/>
          <w:sz w:val="22"/>
          <w:szCs w:val="22"/>
        </w:rPr>
        <w:t>and</w:t>
      </w:r>
      <w:r w:rsidRPr="003E3DE4">
        <w:rPr>
          <w:rFonts w:cstheme="minorHAnsi"/>
          <w:sz w:val="22"/>
          <w:szCs w:val="22"/>
        </w:rPr>
        <w:t xml:space="preserve"> Research Innovation, Cascadia Health</w:t>
      </w:r>
    </w:p>
    <w:p w14:paraId="64638E61"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Samantha Byers, Health Systems Division, Oregon Health Authority </w:t>
      </w:r>
    </w:p>
    <w:p w14:paraId="5A5A06DD" w14:textId="77777777" w:rsidR="00621D3C" w:rsidRPr="003E3DE4" w:rsidRDefault="00621D3C" w:rsidP="00655CE6">
      <w:pPr>
        <w:rPr>
          <w:rFonts w:cstheme="minorHAnsi"/>
          <w:sz w:val="22"/>
          <w:szCs w:val="22"/>
        </w:rPr>
      </w:pPr>
      <w:r w:rsidRPr="003E3DE4">
        <w:rPr>
          <w:rFonts w:cstheme="minorHAnsi"/>
          <w:sz w:val="22"/>
          <w:szCs w:val="22"/>
        </w:rPr>
        <w:t>CCO Oregon Behavioral Health Workgroup</w:t>
      </w:r>
    </w:p>
    <w:p w14:paraId="4AC62E24" w14:textId="7BC02261" w:rsidR="00621D3C" w:rsidRPr="003E3DE4" w:rsidRDefault="00621D3C" w:rsidP="00621D3C">
      <w:pPr>
        <w:ind w:left="720" w:hanging="720"/>
        <w:rPr>
          <w:rFonts w:cstheme="minorHAnsi"/>
          <w:sz w:val="22"/>
          <w:szCs w:val="22"/>
        </w:rPr>
      </w:pPr>
      <w:r w:rsidRPr="003E3DE4">
        <w:rPr>
          <w:rFonts w:cstheme="minorHAnsi"/>
          <w:sz w:val="22"/>
          <w:szCs w:val="22"/>
        </w:rPr>
        <w:t xml:space="preserve">Amber Clegg, Access </w:t>
      </w:r>
      <w:r w:rsidR="00517AAA" w:rsidRPr="003E3DE4">
        <w:rPr>
          <w:rFonts w:cstheme="minorHAnsi"/>
          <w:sz w:val="22"/>
          <w:szCs w:val="22"/>
        </w:rPr>
        <w:t>and</w:t>
      </w:r>
      <w:r w:rsidRPr="003E3DE4">
        <w:rPr>
          <w:rFonts w:cstheme="minorHAnsi"/>
          <w:sz w:val="22"/>
          <w:szCs w:val="22"/>
        </w:rPr>
        <w:t xml:space="preserve"> Integrated Care Manager, Deschutes County Behavioral Health </w:t>
      </w:r>
    </w:p>
    <w:p w14:paraId="2FE4FD76" w14:textId="77777777"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 xml:space="preserve">Sarah Cooper, Administrative Assistant, Options for Southern Oregon </w:t>
      </w:r>
      <w:r w:rsidRPr="003E3DE4">
        <w:rPr>
          <w:rFonts w:cstheme="minorHAnsi"/>
          <w:sz w:val="22"/>
          <w:szCs w:val="22"/>
        </w:rPr>
        <w:tab/>
      </w:r>
    </w:p>
    <w:p w14:paraId="7EDC5E4C" w14:textId="77777777"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Mollie Cudmore, Clinical Director, Wallowa Valley Center for Wellness</w:t>
      </w:r>
    </w:p>
    <w:p w14:paraId="671A7FEB" w14:textId="6B2CDA96"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 xml:space="preserve">Traci Dawson, Quality </w:t>
      </w:r>
      <w:r w:rsidR="00517AAA" w:rsidRPr="003E3DE4">
        <w:rPr>
          <w:rFonts w:cstheme="minorHAnsi"/>
          <w:sz w:val="22"/>
          <w:szCs w:val="22"/>
        </w:rPr>
        <w:t>and</w:t>
      </w:r>
      <w:r w:rsidRPr="003E3DE4">
        <w:rPr>
          <w:rFonts w:cstheme="minorHAnsi"/>
          <w:sz w:val="22"/>
          <w:szCs w:val="22"/>
        </w:rPr>
        <w:t xml:space="preserve"> Compliance Manager, Yamhill County Health and Human Services </w:t>
      </w:r>
    </w:p>
    <w:p w14:paraId="7EAA5360" w14:textId="77777777" w:rsidR="00621D3C" w:rsidRPr="003E3DE4" w:rsidRDefault="00621D3C" w:rsidP="00621D3C">
      <w:pPr>
        <w:ind w:left="720" w:hanging="720"/>
        <w:rPr>
          <w:rFonts w:cstheme="minorHAnsi"/>
          <w:sz w:val="22"/>
          <w:szCs w:val="22"/>
        </w:rPr>
      </w:pPr>
      <w:r w:rsidRPr="003E3DE4">
        <w:rPr>
          <w:rFonts w:ascii="Calibri" w:hAnsi="Calibri" w:cs="Calibri"/>
          <w:color w:val="000000" w:themeColor="text1"/>
          <w:sz w:val="22"/>
          <w:szCs w:val="22"/>
        </w:rPr>
        <w:t xml:space="preserve">Jessica Deas, Provider Outreach and Engagement Strategist, </w:t>
      </w:r>
      <w:r w:rsidRPr="003E3DE4">
        <w:rPr>
          <w:rFonts w:cstheme="minorHAnsi"/>
          <w:sz w:val="22"/>
          <w:szCs w:val="22"/>
        </w:rPr>
        <w:t xml:space="preserve">Oregon Health Authority </w:t>
      </w:r>
    </w:p>
    <w:p w14:paraId="674D977D" w14:textId="6D68CD22" w:rsidR="00621D3C" w:rsidRPr="003E3DE4" w:rsidRDefault="00621D3C" w:rsidP="00621D3C">
      <w:pPr>
        <w:ind w:left="720" w:hanging="720"/>
        <w:rPr>
          <w:rFonts w:cstheme="minorHAnsi"/>
          <w:color w:val="000000" w:themeColor="text1"/>
          <w:sz w:val="22"/>
          <w:szCs w:val="22"/>
        </w:rPr>
      </w:pPr>
      <w:r w:rsidRPr="003E3DE4">
        <w:rPr>
          <w:rFonts w:cstheme="minorHAnsi"/>
          <w:color w:val="000000" w:themeColor="text1"/>
          <w:sz w:val="22"/>
          <w:szCs w:val="22"/>
        </w:rPr>
        <w:t xml:space="preserve">Sarah Dobra, Ombuds Program and Innovator Agents Manager, </w:t>
      </w:r>
      <w:r w:rsidRPr="003E3DE4">
        <w:rPr>
          <w:rFonts w:cstheme="minorHAnsi"/>
          <w:sz w:val="22"/>
          <w:szCs w:val="22"/>
        </w:rPr>
        <w:t>Oregon Health Authority</w:t>
      </w:r>
    </w:p>
    <w:p w14:paraId="26B97BF1" w14:textId="77777777" w:rsidR="00621D3C" w:rsidRPr="003E3DE4" w:rsidRDefault="00621D3C" w:rsidP="00621D3C">
      <w:pPr>
        <w:ind w:left="720" w:hanging="720"/>
        <w:rPr>
          <w:rFonts w:cstheme="minorHAnsi"/>
          <w:sz w:val="22"/>
          <w:szCs w:val="22"/>
        </w:rPr>
      </w:pPr>
      <w:r w:rsidRPr="003E3DE4">
        <w:rPr>
          <w:rFonts w:cstheme="minorHAnsi"/>
          <w:sz w:val="22"/>
          <w:szCs w:val="22"/>
        </w:rPr>
        <w:t>Annaliese Dolph, Policy Advisor to Oregon House Speaker, Oregon Legislature</w:t>
      </w:r>
    </w:p>
    <w:p w14:paraId="34D484BF"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Danielle Droppers, Regional Health Equity Coalition Program, Oregon Health Authority </w:t>
      </w:r>
    </w:p>
    <w:p w14:paraId="57F57611" w14:textId="77777777" w:rsidR="00621D3C" w:rsidRPr="003E3DE4" w:rsidRDefault="00621D3C" w:rsidP="00621D3C">
      <w:pPr>
        <w:ind w:left="720" w:hanging="720"/>
        <w:rPr>
          <w:rFonts w:cstheme="minorHAnsi"/>
          <w:sz w:val="22"/>
          <w:szCs w:val="22"/>
        </w:rPr>
      </w:pPr>
      <w:r w:rsidRPr="003E3DE4">
        <w:rPr>
          <w:rFonts w:cstheme="minorHAnsi"/>
          <w:sz w:val="22"/>
          <w:szCs w:val="22"/>
        </w:rPr>
        <w:t>Oliver Droppers, Deputy Director for Policy Research, Oregon Legislative Policy and Research Office</w:t>
      </w:r>
    </w:p>
    <w:p w14:paraId="7EBF4C7A" w14:textId="77777777" w:rsidR="00621D3C" w:rsidRPr="003E3DE4" w:rsidRDefault="00621D3C" w:rsidP="00621D3C">
      <w:pPr>
        <w:ind w:left="720" w:hanging="720"/>
        <w:rPr>
          <w:rFonts w:cstheme="minorHAnsi"/>
          <w:sz w:val="22"/>
          <w:szCs w:val="22"/>
        </w:rPr>
      </w:pPr>
      <w:r w:rsidRPr="003E3DE4">
        <w:rPr>
          <w:rFonts w:cstheme="minorHAnsi"/>
          <w:sz w:val="22"/>
          <w:szCs w:val="22"/>
        </w:rPr>
        <w:t>Sheree Durant, Executive Assistant, LifeWorks NW</w:t>
      </w:r>
    </w:p>
    <w:p w14:paraId="0BE5F084" w14:textId="77777777" w:rsidR="00621D3C" w:rsidRPr="003E3DE4" w:rsidRDefault="00621D3C" w:rsidP="00621D3C">
      <w:pPr>
        <w:ind w:left="720" w:hanging="720"/>
        <w:rPr>
          <w:rFonts w:cstheme="minorHAnsi"/>
          <w:sz w:val="22"/>
          <w:szCs w:val="22"/>
        </w:rPr>
      </w:pPr>
      <w:r w:rsidRPr="003E3DE4">
        <w:rPr>
          <w:rFonts w:cstheme="minorHAnsi"/>
          <w:sz w:val="22"/>
          <w:szCs w:val="22"/>
        </w:rPr>
        <w:t>Beth Epps, Chief Community Solutions Officer, Cascadia Health</w:t>
      </w:r>
    </w:p>
    <w:p w14:paraId="0F48A5BD" w14:textId="220E347B" w:rsidR="00621D3C" w:rsidRPr="003E3DE4" w:rsidRDefault="00621D3C" w:rsidP="00621D3C">
      <w:pPr>
        <w:ind w:left="720" w:hanging="720"/>
        <w:rPr>
          <w:rFonts w:cstheme="minorHAnsi"/>
          <w:sz w:val="22"/>
          <w:szCs w:val="22"/>
        </w:rPr>
      </w:pPr>
      <w:r w:rsidRPr="003E3DE4">
        <w:rPr>
          <w:rFonts w:cstheme="minorHAnsi"/>
          <w:sz w:val="22"/>
          <w:szCs w:val="22"/>
        </w:rPr>
        <w:t xml:space="preserve">Christina Ferguson, Administrative Services Director, Yamhill County Health </w:t>
      </w:r>
      <w:r w:rsidR="00517AAA" w:rsidRPr="003E3DE4">
        <w:rPr>
          <w:rFonts w:cstheme="minorHAnsi"/>
          <w:sz w:val="22"/>
          <w:szCs w:val="22"/>
        </w:rPr>
        <w:t>and</w:t>
      </w:r>
      <w:r w:rsidRPr="003E3DE4">
        <w:rPr>
          <w:rFonts w:cstheme="minorHAnsi"/>
          <w:sz w:val="22"/>
          <w:szCs w:val="22"/>
        </w:rPr>
        <w:t xml:space="preserve"> Human Services</w:t>
      </w:r>
    </w:p>
    <w:p w14:paraId="710AF675" w14:textId="04EDD1FD" w:rsidR="00621D3C" w:rsidRPr="003E3DE4" w:rsidRDefault="00621D3C" w:rsidP="00621D3C">
      <w:pPr>
        <w:ind w:left="720" w:hanging="720"/>
        <w:rPr>
          <w:rFonts w:cstheme="minorHAnsi"/>
          <w:sz w:val="22"/>
          <w:szCs w:val="22"/>
        </w:rPr>
      </w:pPr>
      <w:r w:rsidRPr="003E3DE4">
        <w:rPr>
          <w:rFonts w:cstheme="minorHAnsi"/>
          <w:sz w:val="22"/>
          <w:szCs w:val="22"/>
        </w:rPr>
        <w:t>Steven Fiala, Tobacco Policy and Partnerships Lead</w:t>
      </w:r>
      <w:r w:rsidR="001271ED">
        <w:rPr>
          <w:rFonts w:cstheme="minorHAnsi"/>
          <w:sz w:val="22"/>
          <w:szCs w:val="22"/>
        </w:rPr>
        <w:t>,</w:t>
      </w:r>
      <w:r w:rsidRPr="003E3DE4">
        <w:rPr>
          <w:rFonts w:cstheme="minorHAnsi"/>
          <w:sz w:val="22"/>
          <w:szCs w:val="22"/>
        </w:rPr>
        <w:t xml:space="preserve"> Oregon Health Authority</w:t>
      </w:r>
    </w:p>
    <w:p w14:paraId="4C9DEC8D" w14:textId="77777777" w:rsidR="00621D3C" w:rsidRPr="003E3DE4" w:rsidRDefault="00621D3C" w:rsidP="00621D3C">
      <w:pPr>
        <w:ind w:left="720" w:hanging="720"/>
        <w:rPr>
          <w:rFonts w:cstheme="minorHAnsi"/>
          <w:sz w:val="22"/>
          <w:szCs w:val="22"/>
        </w:rPr>
      </w:pPr>
      <w:r w:rsidRPr="003E3DE4">
        <w:rPr>
          <w:rFonts w:cstheme="minorHAnsi"/>
          <w:sz w:val="22"/>
          <w:szCs w:val="22"/>
        </w:rPr>
        <w:t>Janice Garceau, Health Services Director, Deschutes County Health Services, Behavioral Health Division</w:t>
      </w:r>
    </w:p>
    <w:p w14:paraId="6188B569"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Carla Gerber, Clinic Manager for Outpatient Behavioral Health, PeaceHealth </w:t>
      </w:r>
    </w:p>
    <w:p w14:paraId="54A47554" w14:textId="01C3B457" w:rsidR="00621D3C" w:rsidRPr="003E3DE4" w:rsidRDefault="00621D3C" w:rsidP="00621D3C">
      <w:pPr>
        <w:ind w:left="720" w:hanging="720"/>
        <w:rPr>
          <w:rFonts w:cstheme="minorHAnsi"/>
          <w:sz w:val="22"/>
          <w:szCs w:val="22"/>
        </w:rPr>
      </w:pPr>
      <w:r w:rsidRPr="003E3DE4">
        <w:rPr>
          <w:rFonts w:cstheme="minorHAnsi"/>
          <w:sz w:val="22"/>
          <w:szCs w:val="22"/>
        </w:rPr>
        <w:t xml:space="preserve">Janie Gullickson, Executive Director, Mental Health </w:t>
      </w:r>
      <w:r w:rsidR="00517AAA" w:rsidRPr="003E3DE4">
        <w:rPr>
          <w:rFonts w:cstheme="minorHAnsi"/>
          <w:sz w:val="22"/>
          <w:szCs w:val="22"/>
        </w:rPr>
        <w:t>and</w:t>
      </w:r>
      <w:r w:rsidRPr="003E3DE4">
        <w:rPr>
          <w:rFonts w:cstheme="minorHAnsi"/>
          <w:sz w:val="22"/>
          <w:szCs w:val="22"/>
        </w:rPr>
        <w:t xml:space="preserve"> Addiction Association of Oregon</w:t>
      </w:r>
    </w:p>
    <w:p w14:paraId="4435FED8"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Dana Hargunani, Chief Medical Officer, Oregon Health Authority </w:t>
      </w:r>
    </w:p>
    <w:p w14:paraId="667E6A73" w14:textId="77777777" w:rsidR="00621D3C" w:rsidRPr="003E3DE4" w:rsidRDefault="00621D3C" w:rsidP="00621D3C">
      <w:pPr>
        <w:ind w:left="720" w:hanging="720"/>
        <w:rPr>
          <w:rFonts w:cstheme="minorHAnsi"/>
          <w:sz w:val="22"/>
          <w:szCs w:val="22"/>
        </w:rPr>
      </w:pPr>
      <w:r w:rsidRPr="003E3DE4">
        <w:rPr>
          <w:rFonts w:cstheme="minorHAnsi"/>
          <w:sz w:val="22"/>
          <w:szCs w:val="22"/>
        </w:rPr>
        <w:t>Andrea Hay, Senior Clinic Operations Manager, Lifeworks NW</w:t>
      </w:r>
    </w:p>
    <w:p w14:paraId="1AC6B0A5" w14:textId="77777777" w:rsidR="00621D3C" w:rsidRPr="003E3DE4" w:rsidRDefault="00621D3C" w:rsidP="00621D3C">
      <w:pPr>
        <w:ind w:left="720" w:hanging="720"/>
        <w:rPr>
          <w:rFonts w:cstheme="minorHAnsi"/>
          <w:sz w:val="22"/>
          <w:szCs w:val="22"/>
        </w:rPr>
      </w:pPr>
      <w:r w:rsidRPr="003E3DE4">
        <w:rPr>
          <w:rFonts w:cstheme="minorHAnsi"/>
          <w:sz w:val="22"/>
          <w:szCs w:val="22"/>
        </w:rPr>
        <w:t>Brandy Hemsley, Director, Office of Recovery and Resilience, Oregon Health Authority</w:t>
      </w:r>
    </w:p>
    <w:p w14:paraId="53736EE0" w14:textId="1F65861B" w:rsidR="00621D3C" w:rsidRPr="003E3DE4" w:rsidRDefault="00621D3C" w:rsidP="00621D3C">
      <w:pPr>
        <w:ind w:left="720" w:hanging="720"/>
        <w:rPr>
          <w:rFonts w:cstheme="minorHAnsi"/>
          <w:sz w:val="22"/>
          <w:szCs w:val="22"/>
        </w:rPr>
      </w:pPr>
      <w:r w:rsidRPr="003E3DE4">
        <w:rPr>
          <w:rFonts w:cstheme="minorHAnsi"/>
          <w:sz w:val="22"/>
          <w:szCs w:val="22"/>
        </w:rPr>
        <w:t xml:space="preserve">Jason Henness, Behavioral Health Director, Yamhill County Health </w:t>
      </w:r>
      <w:r w:rsidR="00517AAA" w:rsidRPr="003E3DE4">
        <w:rPr>
          <w:rFonts w:cstheme="minorHAnsi"/>
          <w:sz w:val="22"/>
          <w:szCs w:val="22"/>
        </w:rPr>
        <w:t>and</w:t>
      </w:r>
      <w:r w:rsidRPr="003E3DE4">
        <w:rPr>
          <w:rFonts w:cstheme="minorHAnsi"/>
          <w:sz w:val="22"/>
          <w:szCs w:val="22"/>
        </w:rPr>
        <w:t xml:space="preserve"> Human Services</w:t>
      </w:r>
    </w:p>
    <w:p w14:paraId="0E71656A"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Kimberly </w:t>
      </w:r>
      <w:r w:rsidRPr="003E3DE4">
        <w:rPr>
          <w:rFonts w:cstheme="minorHAnsi"/>
          <w:sz w:val="22"/>
          <w:szCs w:val="22"/>
          <w:lang w:bidi="th-TH"/>
        </w:rPr>
        <w:t xml:space="preserve">Hoover, Behavioral Health Program Coordinator CCBHC, </w:t>
      </w:r>
      <w:r w:rsidRPr="003E3DE4">
        <w:rPr>
          <w:rFonts w:cstheme="minorHAnsi"/>
          <w:sz w:val="22"/>
          <w:szCs w:val="22"/>
        </w:rPr>
        <w:t>Oregon Health Authority</w:t>
      </w:r>
    </w:p>
    <w:p w14:paraId="2F4C4569"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Todd Jacobson, Executive Director, Columbia Community Mental Health </w:t>
      </w:r>
    </w:p>
    <w:p w14:paraId="1C0FA5F0" w14:textId="77777777" w:rsidR="00621D3C" w:rsidRPr="003E3DE4" w:rsidRDefault="00621D3C" w:rsidP="00621D3C">
      <w:pPr>
        <w:ind w:left="720" w:hanging="720"/>
        <w:rPr>
          <w:rFonts w:cstheme="minorHAnsi"/>
          <w:sz w:val="22"/>
          <w:szCs w:val="22"/>
        </w:rPr>
      </w:pPr>
      <w:r w:rsidRPr="003E3DE4">
        <w:rPr>
          <w:rFonts w:cstheme="minorHAnsi"/>
          <w:sz w:val="22"/>
          <w:szCs w:val="22"/>
        </w:rPr>
        <w:t>Heather Jefferis, Executive Director, Oregon Council for Behavioral Health</w:t>
      </w:r>
    </w:p>
    <w:p w14:paraId="1F5DA508" w14:textId="77777777"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Chantay Jett, Executive Director, Wallowa Valley Center for Wellness</w:t>
      </w:r>
    </w:p>
    <w:p w14:paraId="6690EA43" w14:textId="715D0FFF" w:rsidR="00621D3C" w:rsidRPr="003E3DE4" w:rsidRDefault="00621D3C" w:rsidP="00621D3C">
      <w:pPr>
        <w:ind w:left="720" w:hanging="720"/>
        <w:rPr>
          <w:rFonts w:cstheme="minorHAnsi"/>
          <w:sz w:val="22"/>
          <w:szCs w:val="22"/>
        </w:rPr>
      </w:pPr>
      <w:r w:rsidRPr="003E3DE4">
        <w:rPr>
          <w:rFonts w:cstheme="minorHAnsi"/>
          <w:sz w:val="22"/>
          <w:szCs w:val="22"/>
        </w:rPr>
        <w:t xml:space="preserve">Emily Johnson, Clinical Compliance Officer </w:t>
      </w:r>
      <w:r w:rsidR="00517AAA" w:rsidRPr="003E3DE4">
        <w:rPr>
          <w:rFonts w:cstheme="minorHAnsi"/>
          <w:sz w:val="22"/>
          <w:szCs w:val="22"/>
        </w:rPr>
        <w:t>and</w:t>
      </w:r>
      <w:r w:rsidRPr="003E3DE4">
        <w:rPr>
          <w:rFonts w:cstheme="minorHAnsi"/>
          <w:sz w:val="22"/>
          <w:szCs w:val="22"/>
        </w:rPr>
        <w:t xml:space="preserve"> Supported Employment Supervisor, Symmetry Care</w:t>
      </w:r>
    </w:p>
    <w:p w14:paraId="6077FBAE" w14:textId="78D379C2" w:rsidR="00621D3C" w:rsidRPr="00EC0D2F" w:rsidRDefault="00621D3C" w:rsidP="00621D3C">
      <w:pPr>
        <w:ind w:left="720" w:hanging="720"/>
        <w:rPr>
          <w:rFonts w:cstheme="minorHAnsi"/>
          <w:sz w:val="22"/>
          <w:szCs w:val="22"/>
        </w:rPr>
      </w:pPr>
      <w:r w:rsidRPr="00EC0D2F">
        <w:rPr>
          <w:rFonts w:cstheme="minorHAnsi"/>
          <w:sz w:val="22"/>
          <w:szCs w:val="22"/>
        </w:rPr>
        <w:t>Chelsea Keating, Graduate Research Assistant, OHSU-PSU School of Public Health</w:t>
      </w:r>
    </w:p>
    <w:p w14:paraId="63F2F804" w14:textId="7DC3C154" w:rsidR="00EC0D2F" w:rsidRPr="00EC0D2F" w:rsidRDefault="00EC0D2F" w:rsidP="00621D3C">
      <w:pPr>
        <w:ind w:left="720" w:hanging="720"/>
        <w:rPr>
          <w:rFonts w:cstheme="minorHAnsi"/>
          <w:sz w:val="22"/>
          <w:szCs w:val="22"/>
        </w:rPr>
      </w:pPr>
      <w:r w:rsidRPr="00EC0D2F">
        <w:rPr>
          <w:sz w:val="22"/>
          <w:szCs w:val="22"/>
        </w:rPr>
        <w:t>Sarah Knipper, School Health Epidemiologist, Oregon Health Authority</w:t>
      </w:r>
    </w:p>
    <w:p w14:paraId="75FF3F43" w14:textId="77777777" w:rsidR="00621D3C" w:rsidRPr="00EC0D2F" w:rsidRDefault="00621D3C" w:rsidP="00621D3C">
      <w:pPr>
        <w:ind w:left="720" w:hanging="720"/>
        <w:rPr>
          <w:rFonts w:cstheme="minorHAnsi"/>
          <w:sz w:val="22"/>
          <w:szCs w:val="22"/>
        </w:rPr>
      </w:pPr>
      <w:r w:rsidRPr="00EC0D2F">
        <w:rPr>
          <w:rFonts w:cstheme="minorHAnsi"/>
          <w:sz w:val="22"/>
          <w:szCs w:val="22"/>
        </w:rPr>
        <w:t>Stephanie Krell, Administrative Assistant, Mid-Columbia Center for Living</w:t>
      </w:r>
    </w:p>
    <w:p w14:paraId="5C2AF39C" w14:textId="77777777" w:rsidR="00621D3C" w:rsidRPr="003E3DE4" w:rsidRDefault="00621D3C" w:rsidP="00621D3C">
      <w:pPr>
        <w:ind w:left="720" w:hanging="720"/>
        <w:rPr>
          <w:rFonts w:cstheme="minorHAnsi"/>
          <w:sz w:val="22"/>
          <w:szCs w:val="22"/>
        </w:rPr>
      </w:pPr>
      <w:r w:rsidRPr="003E3DE4">
        <w:rPr>
          <w:rFonts w:cstheme="minorHAnsi"/>
          <w:sz w:val="22"/>
          <w:szCs w:val="22"/>
        </w:rPr>
        <w:t>Mark Lewinsohn, Vice President of Clinical Services, LifeWorks NW</w:t>
      </w:r>
    </w:p>
    <w:p w14:paraId="76D094B1" w14:textId="77777777" w:rsidR="00621D3C" w:rsidRPr="003E3DE4" w:rsidRDefault="00621D3C" w:rsidP="00621D3C">
      <w:pPr>
        <w:ind w:left="720" w:hanging="720"/>
        <w:rPr>
          <w:rFonts w:cstheme="minorHAnsi"/>
          <w:sz w:val="22"/>
          <w:szCs w:val="22"/>
        </w:rPr>
      </w:pPr>
      <w:r w:rsidRPr="003E3DE4">
        <w:rPr>
          <w:rFonts w:cstheme="minorHAnsi"/>
          <w:sz w:val="22"/>
          <w:szCs w:val="22"/>
        </w:rPr>
        <w:t>Sen. Kate Lieber, Oregon Senate</w:t>
      </w:r>
    </w:p>
    <w:p w14:paraId="3AE52F28" w14:textId="77777777" w:rsidR="00621D3C" w:rsidRPr="003E3DE4" w:rsidRDefault="00621D3C" w:rsidP="00621D3C">
      <w:pPr>
        <w:ind w:left="720" w:hanging="720"/>
        <w:rPr>
          <w:rFonts w:cstheme="minorHAnsi"/>
          <w:sz w:val="22"/>
          <w:szCs w:val="22"/>
        </w:rPr>
      </w:pPr>
      <w:r w:rsidRPr="003E3DE4">
        <w:rPr>
          <w:rFonts w:cstheme="minorHAnsi"/>
          <w:sz w:val="22"/>
          <w:szCs w:val="22"/>
        </w:rPr>
        <w:t>Kimberly Lindsay, Executive Director, Community Counseling Solutions</w:t>
      </w:r>
    </w:p>
    <w:p w14:paraId="054ED7E5" w14:textId="77777777" w:rsidR="00621D3C" w:rsidRPr="003E3DE4" w:rsidRDefault="00621D3C" w:rsidP="00621D3C">
      <w:pPr>
        <w:ind w:left="720" w:hanging="720"/>
        <w:rPr>
          <w:rFonts w:cstheme="minorHAnsi"/>
          <w:sz w:val="22"/>
          <w:szCs w:val="22"/>
        </w:rPr>
      </w:pPr>
      <w:r w:rsidRPr="003E3DE4">
        <w:rPr>
          <w:rFonts w:cstheme="minorHAnsi"/>
          <w:sz w:val="22"/>
          <w:szCs w:val="22"/>
        </w:rPr>
        <w:t>Kate Lonborg, Quality Metrics, Surveys and Evaluations Manager, Oregon Health Authority</w:t>
      </w:r>
    </w:p>
    <w:p w14:paraId="3CBD0ECF" w14:textId="77777777" w:rsidR="00621D3C" w:rsidRPr="003E3DE4" w:rsidRDefault="00621D3C" w:rsidP="00621D3C">
      <w:pPr>
        <w:ind w:left="720" w:hanging="720"/>
        <w:rPr>
          <w:rFonts w:cstheme="minorHAnsi"/>
          <w:sz w:val="22"/>
          <w:szCs w:val="22"/>
        </w:rPr>
      </w:pPr>
      <w:r w:rsidRPr="003E3DE4">
        <w:rPr>
          <w:rFonts w:cstheme="minorHAnsi"/>
          <w:sz w:val="22"/>
          <w:szCs w:val="22"/>
        </w:rPr>
        <w:t>Liz Maddalena, Director of Operations, Klamath Basin Behavioral Health</w:t>
      </w:r>
    </w:p>
    <w:p w14:paraId="3BEDF1E4" w14:textId="71B600C6"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 xml:space="preserve">Lindsey Manfrin, Health </w:t>
      </w:r>
      <w:r w:rsidR="00517AAA" w:rsidRPr="003E3DE4">
        <w:rPr>
          <w:rFonts w:cstheme="minorHAnsi"/>
          <w:sz w:val="22"/>
          <w:szCs w:val="22"/>
        </w:rPr>
        <w:t>and</w:t>
      </w:r>
      <w:r w:rsidRPr="003E3DE4">
        <w:rPr>
          <w:rFonts w:cstheme="minorHAnsi"/>
          <w:sz w:val="22"/>
          <w:szCs w:val="22"/>
        </w:rPr>
        <w:t xml:space="preserve"> Human Services Director, Yamhill County Health and Human Services</w:t>
      </w:r>
    </w:p>
    <w:p w14:paraId="326597BD" w14:textId="77777777" w:rsidR="00621D3C" w:rsidRPr="003E3DE4" w:rsidRDefault="00621D3C" w:rsidP="00621D3C">
      <w:pPr>
        <w:ind w:left="720" w:hanging="720"/>
        <w:rPr>
          <w:rFonts w:cstheme="minorHAnsi"/>
          <w:sz w:val="22"/>
          <w:szCs w:val="22"/>
        </w:rPr>
      </w:pPr>
      <w:r w:rsidRPr="003E3DE4">
        <w:rPr>
          <w:rFonts w:cstheme="minorHAnsi"/>
          <w:sz w:val="22"/>
          <w:szCs w:val="22"/>
        </w:rPr>
        <w:t>Karla McCafferty, Executive Director, Options for Southern Oregon</w:t>
      </w:r>
    </w:p>
    <w:p w14:paraId="7E7AF450" w14:textId="77777777" w:rsidR="00621D3C" w:rsidRPr="003E3DE4" w:rsidRDefault="00621D3C" w:rsidP="00621D3C">
      <w:pPr>
        <w:ind w:left="720" w:hanging="720"/>
        <w:rPr>
          <w:rFonts w:cstheme="minorHAnsi"/>
          <w:color w:val="000000" w:themeColor="text1"/>
          <w:sz w:val="22"/>
          <w:szCs w:val="22"/>
        </w:rPr>
      </w:pPr>
      <w:r w:rsidRPr="003E3DE4">
        <w:rPr>
          <w:rFonts w:cstheme="minorHAnsi"/>
          <w:color w:val="000000" w:themeColor="text1"/>
          <w:sz w:val="22"/>
          <w:szCs w:val="22"/>
        </w:rPr>
        <w:t>Shawna McDermott, Behavioral Health Strategic Operations Director, Oregon Health Authority</w:t>
      </w:r>
    </w:p>
    <w:p w14:paraId="4DFBAC47" w14:textId="77777777" w:rsidR="00621D3C" w:rsidRPr="003E3DE4" w:rsidRDefault="00621D3C" w:rsidP="00621D3C">
      <w:pPr>
        <w:ind w:left="720" w:hanging="720"/>
        <w:rPr>
          <w:rFonts w:cstheme="minorHAnsi"/>
          <w:sz w:val="22"/>
          <w:szCs w:val="22"/>
        </w:rPr>
      </w:pPr>
      <w:r w:rsidRPr="003E3DE4">
        <w:rPr>
          <w:rFonts w:cstheme="minorHAnsi"/>
          <w:sz w:val="22"/>
          <w:szCs w:val="22"/>
        </w:rPr>
        <w:t>Mary Monnat, Chief Executive Officer, LifeWorks NW</w:t>
      </w:r>
    </w:p>
    <w:p w14:paraId="4B0D0C83"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Dana Murray, Administrative Assistant, Deschutes County Behavioral Health </w:t>
      </w:r>
    </w:p>
    <w:p w14:paraId="4EA5ECEF" w14:textId="21F2C929" w:rsidR="00621D3C" w:rsidRPr="00EC0D2F" w:rsidRDefault="00621D3C" w:rsidP="00621D3C">
      <w:pPr>
        <w:ind w:left="720" w:hanging="720"/>
        <w:rPr>
          <w:rFonts w:cstheme="minorHAnsi"/>
          <w:sz w:val="22"/>
          <w:szCs w:val="22"/>
        </w:rPr>
      </w:pPr>
      <w:r w:rsidRPr="00EC0D2F">
        <w:rPr>
          <w:rFonts w:cstheme="minorHAnsi"/>
          <w:sz w:val="22"/>
          <w:szCs w:val="22"/>
        </w:rPr>
        <w:t>Rep. Rob Nosse, Oregon Legislature; Chair, House Interim Committee on Behavioral Health</w:t>
      </w:r>
    </w:p>
    <w:p w14:paraId="7A1BE3E3" w14:textId="28C96E29" w:rsidR="00EC0D2F" w:rsidRPr="00EC0D2F" w:rsidRDefault="00EC0D2F" w:rsidP="00EC0D2F">
      <w:pPr>
        <w:rPr>
          <w:rFonts w:cstheme="minorHAnsi"/>
          <w:sz w:val="22"/>
          <w:szCs w:val="22"/>
        </w:rPr>
      </w:pPr>
      <w:r w:rsidRPr="00EC0D2F">
        <w:rPr>
          <w:sz w:val="22"/>
          <w:szCs w:val="22"/>
        </w:rPr>
        <w:t>Kate O'Donnell, School-Based Health Center Program Coordinator &amp; Health Systems Team Lead, Oregon Health Authority</w:t>
      </w:r>
    </w:p>
    <w:p w14:paraId="4E7F6384"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Chris Olwine, CCBHC Program Manager, Community Counseling Solutions </w:t>
      </w:r>
    </w:p>
    <w:p w14:paraId="08199EDD" w14:textId="77777777" w:rsidR="00621D3C" w:rsidRPr="003E3DE4" w:rsidRDefault="00621D3C" w:rsidP="00621D3C">
      <w:pPr>
        <w:ind w:left="720" w:hanging="720"/>
        <w:rPr>
          <w:rFonts w:cstheme="minorHAnsi"/>
          <w:sz w:val="22"/>
          <w:szCs w:val="22"/>
        </w:rPr>
      </w:pPr>
      <w:r w:rsidRPr="003E3DE4">
        <w:rPr>
          <w:rFonts w:cstheme="minorHAnsi"/>
          <w:sz w:val="22"/>
          <w:szCs w:val="22"/>
        </w:rPr>
        <w:t>Jay Otero, Director, Klamath Basin Behavioral Health</w:t>
      </w:r>
    </w:p>
    <w:p w14:paraId="59F04AF1" w14:textId="77777777" w:rsidR="00621D3C" w:rsidRPr="003E3DE4" w:rsidRDefault="00621D3C" w:rsidP="00621D3C">
      <w:pPr>
        <w:tabs>
          <w:tab w:val="left" w:pos="7577"/>
        </w:tabs>
        <w:ind w:left="720" w:hanging="720"/>
        <w:rPr>
          <w:rFonts w:cstheme="minorHAnsi"/>
          <w:sz w:val="22"/>
          <w:szCs w:val="22"/>
        </w:rPr>
      </w:pPr>
      <w:r w:rsidRPr="003E3DE4">
        <w:rPr>
          <w:rFonts w:cstheme="minorHAnsi"/>
          <w:sz w:val="22"/>
          <w:szCs w:val="22"/>
        </w:rPr>
        <w:t>Macie Palmer, Receptionist, Symmetry Care</w:t>
      </w:r>
    </w:p>
    <w:p w14:paraId="7277E467" w14:textId="77777777" w:rsidR="00621D3C" w:rsidRPr="003E3DE4" w:rsidRDefault="00621D3C" w:rsidP="00621D3C">
      <w:pPr>
        <w:ind w:left="720" w:hanging="720"/>
        <w:rPr>
          <w:rFonts w:cstheme="minorHAnsi"/>
          <w:sz w:val="22"/>
          <w:szCs w:val="22"/>
        </w:rPr>
      </w:pPr>
      <w:r w:rsidRPr="003E3DE4">
        <w:rPr>
          <w:rFonts w:cstheme="minorHAnsi"/>
          <w:sz w:val="22"/>
          <w:szCs w:val="22"/>
        </w:rPr>
        <w:t>Janet Perez, Interim Behavioral Health Director, Oregon Network, PeaceHealth</w:t>
      </w:r>
    </w:p>
    <w:p w14:paraId="7C822FFC" w14:textId="77777777" w:rsidR="00621D3C" w:rsidRPr="003E3DE4" w:rsidRDefault="00621D3C" w:rsidP="00621D3C">
      <w:pPr>
        <w:ind w:left="720" w:hanging="720"/>
        <w:rPr>
          <w:rFonts w:cstheme="minorHAnsi"/>
          <w:sz w:val="22"/>
          <w:szCs w:val="22"/>
        </w:rPr>
      </w:pPr>
      <w:r w:rsidRPr="003E3DE4">
        <w:rPr>
          <w:rFonts w:cstheme="minorHAnsi"/>
          <w:sz w:val="22"/>
          <w:szCs w:val="22"/>
        </w:rPr>
        <w:t>Heather Peterson, Executive Assistant, Columbia Community Mental Health</w:t>
      </w:r>
    </w:p>
    <w:p w14:paraId="2977DE65" w14:textId="77777777" w:rsidR="00621D3C" w:rsidRPr="003E3DE4" w:rsidRDefault="00621D3C" w:rsidP="00621D3C">
      <w:pPr>
        <w:ind w:left="720" w:hanging="720"/>
        <w:rPr>
          <w:rFonts w:cstheme="minorHAnsi"/>
          <w:sz w:val="22"/>
          <w:szCs w:val="22"/>
        </w:rPr>
      </w:pPr>
      <w:r w:rsidRPr="003E3DE4">
        <w:rPr>
          <w:rFonts w:cstheme="minorHAnsi"/>
          <w:sz w:val="22"/>
          <w:szCs w:val="22"/>
        </w:rPr>
        <w:t>Darlene Ponder, Project Associate, Options for Southern Oregon</w:t>
      </w:r>
    </w:p>
    <w:p w14:paraId="769B884D" w14:textId="77777777" w:rsidR="00621D3C" w:rsidRPr="003E3DE4" w:rsidRDefault="00621D3C" w:rsidP="00621D3C">
      <w:pPr>
        <w:ind w:left="720" w:hanging="720"/>
        <w:rPr>
          <w:rFonts w:cstheme="minorHAnsi"/>
          <w:sz w:val="22"/>
          <w:szCs w:val="22"/>
        </w:rPr>
      </w:pPr>
      <w:r w:rsidRPr="003E3DE4">
        <w:rPr>
          <w:rFonts w:cstheme="minorHAnsi"/>
          <w:sz w:val="22"/>
          <w:szCs w:val="22"/>
        </w:rPr>
        <w:t xml:space="preserve">Cherryl Ramirez, Executive </w:t>
      </w:r>
      <w:r w:rsidRPr="003E3DE4">
        <w:rPr>
          <w:rFonts w:cstheme="minorHAnsi"/>
          <w:color w:val="000000" w:themeColor="text1"/>
          <w:sz w:val="22"/>
          <w:szCs w:val="22"/>
        </w:rPr>
        <w:t xml:space="preserve">Director, </w:t>
      </w:r>
      <w:r w:rsidRPr="003E3DE4">
        <w:rPr>
          <w:rFonts w:cstheme="minorHAnsi"/>
          <w:sz w:val="22"/>
          <w:szCs w:val="22"/>
        </w:rPr>
        <w:t>Association of Community Mental Health Programs</w:t>
      </w:r>
    </w:p>
    <w:p w14:paraId="47C8FA58" w14:textId="77777777" w:rsidR="00621D3C" w:rsidRPr="003E3DE4" w:rsidRDefault="00621D3C" w:rsidP="00621D3C">
      <w:pPr>
        <w:ind w:left="720" w:hanging="720"/>
        <w:rPr>
          <w:rFonts w:cstheme="minorHAnsi"/>
          <w:sz w:val="22"/>
          <w:szCs w:val="22"/>
        </w:rPr>
      </w:pPr>
      <w:r w:rsidRPr="003E3DE4">
        <w:rPr>
          <w:rFonts w:cstheme="minorHAnsi"/>
          <w:sz w:val="22"/>
          <w:szCs w:val="22"/>
        </w:rPr>
        <w:t>Jennifer Reffel, Medical Director, Columbia Community Mental Health</w:t>
      </w:r>
    </w:p>
    <w:p w14:paraId="0438CBED" w14:textId="77777777" w:rsidR="00621D3C" w:rsidRPr="003E3DE4" w:rsidRDefault="00621D3C" w:rsidP="00C84575">
      <w:pPr>
        <w:rPr>
          <w:rFonts w:cstheme="minorHAnsi"/>
          <w:sz w:val="22"/>
          <w:szCs w:val="22"/>
        </w:rPr>
      </w:pPr>
      <w:r w:rsidRPr="003E3DE4">
        <w:rPr>
          <w:rFonts w:cstheme="minorHAnsi"/>
          <w:sz w:val="22"/>
          <w:szCs w:val="22"/>
        </w:rPr>
        <w:t xml:space="preserve">Derek Reinke, </w:t>
      </w:r>
      <w:r w:rsidRPr="003E3DE4">
        <w:rPr>
          <w:rFonts w:cstheme="minorHAnsi"/>
          <w:color w:val="000000"/>
          <w:sz w:val="22"/>
          <w:szCs w:val="22"/>
        </w:rPr>
        <w:t>Metrics/Surveys/Evaluations Manager</w:t>
      </w:r>
      <w:r w:rsidRPr="003E3DE4">
        <w:rPr>
          <w:rFonts w:cstheme="minorHAnsi"/>
          <w:sz w:val="22"/>
          <w:szCs w:val="22"/>
        </w:rPr>
        <w:t xml:space="preserve">, </w:t>
      </w:r>
      <w:r w:rsidRPr="003E3DE4">
        <w:rPr>
          <w:rFonts w:cstheme="minorHAnsi"/>
          <w:color w:val="000000"/>
          <w:sz w:val="22"/>
          <w:szCs w:val="22"/>
        </w:rPr>
        <w:t xml:space="preserve">Office of Health Analytics, </w:t>
      </w:r>
      <w:r w:rsidRPr="003E3DE4">
        <w:rPr>
          <w:rFonts w:cstheme="minorHAnsi"/>
          <w:sz w:val="22"/>
          <w:szCs w:val="22"/>
        </w:rPr>
        <w:t>Oregon Health Authority</w:t>
      </w:r>
    </w:p>
    <w:p w14:paraId="11F4014B" w14:textId="77777777" w:rsidR="00621D3C" w:rsidRPr="003E3DE4" w:rsidRDefault="00621D3C" w:rsidP="00621D3C">
      <w:pPr>
        <w:ind w:left="720" w:hanging="720"/>
        <w:rPr>
          <w:rFonts w:cstheme="minorHAnsi"/>
          <w:sz w:val="22"/>
          <w:szCs w:val="22"/>
        </w:rPr>
      </w:pPr>
      <w:r w:rsidRPr="003E3DE4">
        <w:rPr>
          <w:rStyle w:val="markedcontent"/>
          <w:rFonts w:cstheme="minorHAnsi"/>
          <w:sz w:val="22"/>
          <w:szCs w:val="22"/>
        </w:rPr>
        <w:t xml:space="preserve">Katie Rosenthal, CCBHC Medicaid Specialist, </w:t>
      </w:r>
      <w:r w:rsidRPr="003E3DE4">
        <w:rPr>
          <w:rFonts w:cstheme="minorHAnsi"/>
          <w:color w:val="212121"/>
          <w:sz w:val="22"/>
          <w:szCs w:val="22"/>
        </w:rPr>
        <w:t>Oregon Health Authority</w:t>
      </w:r>
    </w:p>
    <w:p w14:paraId="58E24494" w14:textId="77777777" w:rsidR="00621D3C" w:rsidRPr="003E3DE4" w:rsidRDefault="00621D3C" w:rsidP="00621D3C">
      <w:pPr>
        <w:ind w:left="720" w:hanging="720"/>
        <w:rPr>
          <w:rFonts w:cstheme="minorHAnsi"/>
          <w:color w:val="212121"/>
          <w:sz w:val="22"/>
          <w:szCs w:val="22"/>
        </w:rPr>
      </w:pPr>
      <w:r w:rsidRPr="003E3DE4">
        <w:rPr>
          <w:rFonts w:cstheme="minorHAnsi"/>
          <w:color w:val="212121"/>
          <w:sz w:val="22"/>
          <w:szCs w:val="22"/>
        </w:rPr>
        <w:t>Belle Shepherd, Innovator Agent, Oregon Health Authority</w:t>
      </w:r>
    </w:p>
    <w:p w14:paraId="7B6DD3A7" w14:textId="77777777" w:rsidR="00621D3C" w:rsidRPr="003E3DE4" w:rsidRDefault="00621D3C" w:rsidP="00621D3C">
      <w:pPr>
        <w:ind w:left="720" w:hanging="720"/>
        <w:rPr>
          <w:rFonts w:cstheme="minorHAnsi"/>
          <w:sz w:val="22"/>
          <w:szCs w:val="22"/>
        </w:rPr>
      </w:pPr>
      <w:r w:rsidRPr="003E3DE4">
        <w:rPr>
          <w:rFonts w:cstheme="minorHAnsi"/>
          <w:sz w:val="22"/>
          <w:szCs w:val="22"/>
        </w:rPr>
        <w:t>Samantha Shepherd, Executive Director, CCO Oregon</w:t>
      </w:r>
    </w:p>
    <w:p w14:paraId="3F5DB178" w14:textId="77777777" w:rsidR="00621D3C" w:rsidRPr="003E3DE4" w:rsidRDefault="00621D3C" w:rsidP="00621D3C">
      <w:pPr>
        <w:ind w:left="720" w:hanging="720"/>
        <w:rPr>
          <w:rFonts w:cstheme="minorHAnsi"/>
          <w:sz w:val="22"/>
          <w:szCs w:val="22"/>
        </w:rPr>
      </w:pPr>
      <w:r w:rsidRPr="003E3DE4">
        <w:rPr>
          <w:rFonts w:cstheme="minorHAnsi"/>
          <w:sz w:val="22"/>
          <w:szCs w:val="22"/>
        </w:rPr>
        <w:t>Chris Siegner, Director, Symmetry Care</w:t>
      </w:r>
    </w:p>
    <w:p w14:paraId="086E0F8E" w14:textId="77777777" w:rsidR="00621D3C" w:rsidRPr="003E3DE4" w:rsidRDefault="00621D3C" w:rsidP="00621D3C">
      <w:pPr>
        <w:ind w:left="720" w:hanging="720"/>
        <w:rPr>
          <w:rFonts w:cstheme="minorHAnsi"/>
          <w:sz w:val="22"/>
          <w:szCs w:val="22"/>
        </w:rPr>
      </w:pPr>
      <w:r w:rsidRPr="003E3DE4">
        <w:rPr>
          <w:rFonts w:cstheme="minorHAnsi"/>
          <w:sz w:val="22"/>
          <w:szCs w:val="22"/>
        </w:rPr>
        <w:t>Josh Silverman, Sergeant with Behavioral Health Unit, Portland Police Bureau</w:t>
      </w:r>
    </w:p>
    <w:p w14:paraId="01576E97" w14:textId="77777777" w:rsidR="00621D3C" w:rsidRPr="003E3DE4" w:rsidRDefault="00621D3C" w:rsidP="00621D3C">
      <w:pPr>
        <w:ind w:left="720" w:hanging="720"/>
        <w:rPr>
          <w:rFonts w:cstheme="minorHAnsi"/>
          <w:sz w:val="22"/>
          <w:szCs w:val="22"/>
        </w:rPr>
      </w:pPr>
      <w:r w:rsidRPr="003E3DE4">
        <w:rPr>
          <w:rFonts w:cstheme="minorHAnsi"/>
          <w:sz w:val="22"/>
          <w:szCs w:val="22"/>
        </w:rPr>
        <w:t>Shelly Uhrig, Chief Operations Officer, Options for Southern Oregon</w:t>
      </w:r>
    </w:p>
    <w:p w14:paraId="123A4C95" w14:textId="7DCCF067" w:rsidR="00621D3C" w:rsidRPr="003E3DE4" w:rsidRDefault="00621D3C" w:rsidP="00C84575">
      <w:pPr>
        <w:rPr>
          <w:rFonts w:cstheme="minorHAnsi"/>
          <w:sz w:val="22"/>
          <w:szCs w:val="22"/>
        </w:rPr>
      </w:pPr>
      <w:r w:rsidRPr="003E3DE4">
        <w:rPr>
          <w:rFonts w:cstheme="minorHAnsi"/>
          <w:sz w:val="22"/>
          <w:szCs w:val="22"/>
        </w:rPr>
        <w:t xml:space="preserve">Kweku Wilson, REALD </w:t>
      </w:r>
      <w:r w:rsidR="00517AAA" w:rsidRPr="003E3DE4">
        <w:rPr>
          <w:rFonts w:cstheme="minorHAnsi"/>
          <w:sz w:val="22"/>
          <w:szCs w:val="22"/>
        </w:rPr>
        <w:t>and</w:t>
      </w:r>
      <w:r w:rsidRPr="003E3DE4">
        <w:rPr>
          <w:rFonts w:cstheme="minorHAnsi"/>
          <w:sz w:val="22"/>
          <w:szCs w:val="22"/>
        </w:rPr>
        <w:t xml:space="preserve"> SOGI Data Analytics Manager, Equity and Inclusion Division, Oregon Health Authority</w:t>
      </w:r>
    </w:p>
    <w:p w14:paraId="6198ACAC" w14:textId="77777777" w:rsidR="00621D3C" w:rsidRPr="003E3DE4" w:rsidRDefault="00621D3C" w:rsidP="00621D3C">
      <w:pPr>
        <w:pStyle w:val="NormalWeb"/>
        <w:spacing w:before="0" w:beforeAutospacing="0" w:after="0" w:afterAutospacing="0"/>
        <w:ind w:left="720" w:hanging="720"/>
        <w:rPr>
          <w:rFonts w:asciiTheme="minorHAnsi" w:hAnsiTheme="minorHAnsi" w:cstheme="minorHAnsi"/>
          <w:color w:val="212121"/>
          <w:sz w:val="22"/>
          <w:szCs w:val="22"/>
        </w:rPr>
      </w:pPr>
      <w:r w:rsidRPr="003E3DE4">
        <w:rPr>
          <w:rFonts w:asciiTheme="minorHAnsi" w:hAnsiTheme="minorHAnsi" w:cstheme="minorHAnsi"/>
          <w:color w:val="212121"/>
          <w:sz w:val="22"/>
          <w:szCs w:val="22"/>
        </w:rPr>
        <w:t>Kristty Zamora-Polanco, Innovator Agent, Oregon Health Authority</w:t>
      </w:r>
    </w:p>
    <w:p w14:paraId="08A2DB5D" w14:textId="7384F950" w:rsidR="0027132F" w:rsidRPr="00621D3C" w:rsidRDefault="00621D3C" w:rsidP="00621D3C">
      <w:pPr>
        <w:ind w:left="720" w:hanging="720"/>
        <w:rPr>
          <w:rFonts w:cstheme="minorHAnsi"/>
          <w:sz w:val="22"/>
          <w:szCs w:val="22"/>
        </w:rPr>
      </w:pPr>
      <w:r w:rsidRPr="003E3DE4">
        <w:rPr>
          <w:rFonts w:cstheme="minorHAnsi"/>
          <w:sz w:val="22"/>
          <w:szCs w:val="22"/>
        </w:rPr>
        <w:t xml:space="preserve">Brigid Zani, </w:t>
      </w:r>
      <w:r w:rsidRPr="003E3DE4">
        <w:rPr>
          <w:rFonts w:cstheme="minorHAnsi"/>
          <w:sz w:val="22"/>
          <w:szCs w:val="22"/>
          <w:lang w:bidi="th-TH"/>
        </w:rPr>
        <w:t>CCBHC</w:t>
      </w:r>
      <w:r w:rsidRPr="00AB2E35">
        <w:rPr>
          <w:rFonts w:cstheme="minorHAnsi"/>
          <w:sz w:val="22"/>
          <w:szCs w:val="22"/>
          <w:lang w:bidi="th-TH"/>
        </w:rPr>
        <w:t xml:space="preserve"> Evaluation Analyst/Consultant, </w:t>
      </w:r>
      <w:r w:rsidRPr="001200B6">
        <w:rPr>
          <w:rFonts w:cstheme="minorHAnsi"/>
          <w:color w:val="000000"/>
          <w:sz w:val="22"/>
          <w:szCs w:val="22"/>
        </w:rPr>
        <w:t>Office of Health Analytics</w:t>
      </w:r>
      <w:r>
        <w:rPr>
          <w:rFonts w:cstheme="minorHAnsi"/>
          <w:bCs/>
          <w:sz w:val="22"/>
          <w:szCs w:val="22"/>
        </w:rPr>
        <w:t xml:space="preserve">, </w:t>
      </w:r>
      <w:r w:rsidRPr="00AB2E35">
        <w:rPr>
          <w:rFonts w:cstheme="minorHAnsi"/>
          <w:bCs/>
          <w:sz w:val="22"/>
          <w:szCs w:val="22"/>
        </w:rPr>
        <w:t>Oregon Health Authority</w:t>
      </w:r>
    </w:p>
    <w:p w14:paraId="0F420F04" w14:textId="160C074D" w:rsidR="00A02801" w:rsidRDefault="00A02801"/>
    <w:p w14:paraId="6680C347" w14:textId="74D05E5F" w:rsidR="00655CE6" w:rsidRDefault="00655CE6"/>
    <w:p w14:paraId="78C14BB5" w14:textId="2A825FDB" w:rsidR="00655CE6" w:rsidRDefault="00655CE6"/>
    <w:p w14:paraId="66A42D32" w14:textId="4366D2CC" w:rsidR="00655CE6" w:rsidRDefault="00655CE6"/>
    <w:p w14:paraId="5AB1AAB5" w14:textId="6CEED058" w:rsidR="00655CE6" w:rsidRDefault="00655CE6"/>
    <w:p w14:paraId="20BBC412" w14:textId="5E5DA301" w:rsidR="00655CE6" w:rsidRDefault="00655CE6"/>
    <w:p w14:paraId="49434D9B" w14:textId="360510E5" w:rsidR="00655CE6" w:rsidRDefault="00655CE6"/>
    <w:p w14:paraId="19C5D78F" w14:textId="55EB450A" w:rsidR="00655CE6" w:rsidRDefault="00655CE6"/>
    <w:p w14:paraId="5B828502" w14:textId="2642DE9F" w:rsidR="00A02801" w:rsidRPr="00BD7AF8" w:rsidRDefault="00A02801">
      <w:pPr>
        <w:rPr>
          <w:b/>
          <w:bCs/>
          <w:color w:val="6A7F0F"/>
        </w:rPr>
      </w:pPr>
      <w:r>
        <w:br w:type="page"/>
      </w:r>
    </w:p>
    <w:p w14:paraId="04F9B28B" w14:textId="79F12DC1" w:rsidR="00A02801" w:rsidRPr="001173FB" w:rsidRDefault="00A02801" w:rsidP="00621D3C">
      <w:pPr>
        <w:pStyle w:val="Heading1"/>
        <w:jc w:val="center"/>
        <w:rPr>
          <w:rFonts w:asciiTheme="minorHAnsi" w:hAnsiTheme="minorHAnsi" w:cstheme="minorHAnsi"/>
          <w:b/>
          <w:bCs/>
          <w:color w:val="6A7F0F"/>
          <w:sz w:val="40"/>
          <w:szCs w:val="40"/>
        </w:rPr>
      </w:pPr>
      <w:bookmarkStart w:id="1" w:name="_Toc126068166"/>
      <w:r w:rsidRPr="001173FB">
        <w:rPr>
          <w:rFonts w:asciiTheme="minorHAnsi" w:hAnsiTheme="minorHAnsi" w:cstheme="minorHAnsi"/>
          <w:b/>
          <w:bCs/>
          <w:color w:val="6A7F0F"/>
          <w:sz w:val="40"/>
          <w:szCs w:val="40"/>
        </w:rPr>
        <w:t>Acronyms</w:t>
      </w:r>
      <w:r w:rsidR="001173FB">
        <w:rPr>
          <w:rFonts w:asciiTheme="minorHAnsi" w:hAnsiTheme="minorHAnsi" w:cstheme="minorHAnsi"/>
          <w:b/>
          <w:bCs/>
          <w:color w:val="6A7F0F"/>
          <w:sz w:val="40"/>
          <w:szCs w:val="40"/>
        </w:rPr>
        <w:t xml:space="preserve"> Used in the Report</w:t>
      </w:r>
      <w:bookmarkEnd w:id="1"/>
    </w:p>
    <w:p w14:paraId="1047A3D5" w14:textId="77777777" w:rsidR="00621D3C" w:rsidRPr="00621D3C" w:rsidRDefault="00621D3C" w:rsidP="00621D3C"/>
    <w:p w14:paraId="6836F933" w14:textId="77777777" w:rsidR="00F128DF" w:rsidRPr="00BF4CD0" w:rsidRDefault="00F128DF" w:rsidP="00F128DF">
      <w:pPr>
        <w:rPr>
          <w:rFonts w:cstheme="minorHAnsi"/>
          <w:sz w:val="22"/>
          <w:szCs w:val="22"/>
        </w:rPr>
      </w:pPr>
      <w:r w:rsidRPr="00BF4CD0">
        <w:rPr>
          <w:rFonts w:cstheme="minorHAnsi"/>
          <w:sz w:val="22"/>
          <w:szCs w:val="22"/>
        </w:rPr>
        <w:t>ACS</w:t>
      </w:r>
      <w:r w:rsidRPr="00BF4CD0">
        <w:rPr>
          <w:rFonts w:cstheme="minorHAnsi"/>
          <w:sz w:val="22"/>
          <w:szCs w:val="22"/>
        </w:rPr>
        <w:tab/>
      </w:r>
      <w:r w:rsidRPr="00BF4CD0">
        <w:rPr>
          <w:rFonts w:cstheme="minorHAnsi"/>
          <w:sz w:val="22"/>
          <w:szCs w:val="22"/>
        </w:rPr>
        <w:tab/>
        <w:t>American Community Survey</w:t>
      </w:r>
    </w:p>
    <w:p w14:paraId="2002F8EA" w14:textId="77777777" w:rsidR="00F128DF" w:rsidRDefault="00F128DF" w:rsidP="00F128DF">
      <w:pPr>
        <w:rPr>
          <w:rFonts w:cstheme="minorHAnsi"/>
          <w:sz w:val="22"/>
          <w:szCs w:val="22"/>
        </w:rPr>
      </w:pPr>
      <w:r w:rsidRPr="005665C2">
        <w:rPr>
          <w:rFonts w:cstheme="minorHAnsi"/>
          <w:sz w:val="22"/>
          <w:szCs w:val="22"/>
        </w:rPr>
        <w:t>ACT</w:t>
      </w:r>
      <w:r w:rsidRPr="005665C2">
        <w:rPr>
          <w:rFonts w:cstheme="minorHAnsi"/>
          <w:sz w:val="22"/>
          <w:szCs w:val="22"/>
        </w:rPr>
        <w:tab/>
      </w:r>
      <w:r w:rsidRPr="005665C2">
        <w:rPr>
          <w:rFonts w:cstheme="minorHAnsi"/>
          <w:sz w:val="22"/>
          <w:szCs w:val="22"/>
        </w:rPr>
        <w:tab/>
        <w:t>Assertive Community Treatment</w:t>
      </w:r>
    </w:p>
    <w:p w14:paraId="2D13E540" w14:textId="77777777" w:rsidR="00F128DF" w:rsidRPr="005665C2" w:rsidRDefault="00F128DF" w:rsidP="00F128DF">
      <w:pPr>
        <w:rPr>
          <w:rFonts w:cstheme="minorHAnsi"/>
          <w:sz w:val="22"/>
          <w:szCs w:val="22"/>
        </w:rPr>
      </w:pPr>
      <w:r w:rsidRPr="00D51CC3">
        <w:rPr>
          <w:rFonts w:cstheme="minorHAnsi"/>
          <w:sz w:val="22"/>
          <w:szCs w:val="22"/>
        </w:rPr>
        <w:t xml:space="preserve">APM </w:t>
      </w:r>
      <w:r>
        <w:rPr>
          <w:rFonts w:cstheme="minorHAnsi"/>
          <w:sz w:val="22"/>
          <w:szCs w:val="22"/>
        </w:rPr>
        <w:tab/>
      </w:r>
      <w:r>
        <w:rPr>
          <w:rFonts w:cstheme="minorHAnsi"/>
          <w:sz w:val="22"/>
          <w:szCs w:val="22"/>
        </w:rPr>
        <w:tab/>
      </w:r>
      <w:r w:rsidRPr="00D51CC3">
        <w:rPr>
          <w:rFonts w:cstheme="minorHAnsi"/>
          <w:sz w:val="22"/>
          <w:szCs w:val="22"/>
        </w:rPr>
        <w:t>Alternative Payment Mechanism</w:t>
      </w:r>
    </w:p>
    <w:p w14:paraId="6F4EA396" w14:textId="77777777" w:rsidR="00F128DF" w:rsidRPr="005665C2" w:rsidRDefault="00F128DF" w:rsidP="00F128DF">
      <w:pPr>
        <w:rPr>
          <w:rFonts w:cstheme="minorHAnsi"/>
          <w:sz w:val="22"/>
          <w:szCs w:val="22"/>
        </w:rPr>
      </w:pPr>
      <w:r w:rsidRPr="005665C2">
        <w:rPr>
          <w:rFonts w:cstheme="minorHAnsi"/>
          <w:sz w:val="22"/>
          <w:szCs w:val="22"/>
        </w:rPr>
        <w:t xml:space="preserve">BHC </w:t>
      </w:r>
      <w:r w:rsidRPr="005665C2">
        <w:rPr>
          <w:rFonts w:cstheme="minorHAnsi"/>
          <w:sz w:val="22"/>
          <w:szCs w:val="22"/>
        </w:rPr>
        <w:tab/>
      </w:r>
      <w:r w:rsidRPr="005665C2">
        <w:rPr>
          <w:rFonts w:cstheme="minorHAnsi"/>
          <w:sz w:val="22"/>
          <w:szCs w:val="22"/>
        </w:rPr>
        <w:tab/>
        <w:t xml:space="preserve">Behavioral Health Committee </w:t>
      </w:r>
    </w:p>
    <w:p w14:paraId="36E69B71" w14:textId="77777777" w:rsidR="00F128DF" w:rsidRPr="005665C2" w:rsidRDefault="00F128DF" w:rsidP="00F128DF">
      <w:pPr>
        <w:rPr>
          <w:rFonts w:cstheme="minorHAnsi"/>
          <w:sz w:val="22"/>
          <w:szCs w:val="22"/>
        </w:rPr>
      </w:pPr>
      <w:r w:rsidRPr="005665C2">
        <w:rPr>
          <w:rFonts w:cstheme="minorHAnsi"/>
          <w:sz w:val="22"/>
          <w:szCs w:val="22"/>
        </w:rPr>
        <w:t>BHH</w:t>
      </w:r>
      <w:r w:rsidRPr="005665C2">
        <w:rPr>
          <w:rFonts w:cstheme="minorHAnsi"/>
          <w:sz w:val="22"/>
          <w:szCs w:val="22"/>
        </w:rPr>
        <w:tab/>
      </w:r>
      <w:r w:rsidRPr="005665C2">
        <w:rPr>
          <w:rFonts w:cstheme="minorHAnsi"/>
          <w:sz w:val="22"/>
          <w:szCs w:val="22"/>
        </w:rPr>
        <w:tab/>
        <w:t>Behavioral Health Home</w:t>
      </w:r>
    </w:p>
    <w:p w14:paraId="47E611E5" w14:textId="77777777" w:rsidR="00F128DF" w:rsidRPr="005665C2" w:rsidRDefault="00F128DF" w:rsidP="00F128DF">
      <w:pPr>
        <w:rPr>
          <w:rFonts w:cstheme="minorHAnsi"/>
          <w:sz w:val="22"/>
          <w:szCs w:val="22"/>
        </w:rPr>
      </w:pPr>
      <w:r w:rsidRPr="005665C2">
        <w:rPr>
          <w:rFonts w:cstheme="minorHAnsi"/>
          <w:sz w:val="22"/>
          <w:szCs w:val="22"/>
        </w:rPr>
        <w:t>BIPOC</w:t>
      </w:r>
      <w:r w:rsidRPr="005665C2">
        <w:rPr>
          <w:rFonts w:cstheme="minorHAnsi"/>
          <w:sz w:val="22"/>
          <w:szCs w:val="22"/>
        </w:rPr>
        <w:tab/>
      </w:r>
      <w:r w:rsidRPr="005665C2">
        <w:rPr>
          <w:rFonts w:cstheme="minorHAnsi"/>
          <w:sz w:val="22"/>
          <w:szCs w:val="22"/>
        </w:rPr>
        <w:tab/>
        <w:t>Black/African American, Indigenous, and People of Color</w:t>
      </w:r>
    </w:p>
    <w:p w14:paraId="604961D8" w14:textId="77777777" w:rsidR="00F128DF" w:rsidRPr="005665C2" w:rsidRDefault="00F128DF" w:rsidP="00F128DF">
      <w:pPr>
        <w:rPr>
          <w:rFonts w:cstheme="minorHAnsi"/>
          <w:sz w:val="22"/>
          <w:szCs w:val="22"/>
        </w:rPr>
      </w:pPr>
      <w:r w:rsidRPr="005665C2">
        <w:rPr>
          <w:rFonts w:cstheme="minorHAnsi"/>
          <w:sz w:val="22"/>
          <w:szCs w:val="22"/>
        </w:rPr>
        <w:t>CBO</w:t>
      </w:r>
      <w:r w:rsidRPr="005665C2">
        <w:rPr>
          <w:rFonts w:cstheme="minorHAnsi"/>
          <w:sz w:val="22"/>
          <w:szCs w:val="22"/>
        </w:rPr>
        <w:tab/>
      </w:r>
      <w:r w:rsidRPr="005665C2">
        <w:rPr>
          <w:rFonts w:cstheme="minorHAnsi"/>
          <w:sz w:val="22"/>
          <w:szCs w:val="22"/>
        </w:rPr>
        <w:tab/>
      </w:r>
      <w:r w:rsidRPr="005665C2">
        <w:rPr>
          <w:rFonts w:cstheme="minorHAnsi"/>
          <w:color w:val="000000" w:themeColor="text1"/>
          <w:sz w:val="22"/>
          <w:szCs w:val="22"/>
        </w:rPr>
        <w:t>Community-Based Organizations</w:t>
      </w:r>
    </w:p>
    <w:p w14:paraId="7A3B8BA2" w14:textId="77777777" w:rsidR="00F128DF" w:rsidRPr="005665C2" w:rsidRDefault="00F128DF" w:rsidP="00F128DF">
      <w:pPr>
        <w:rPr>
          <w:rFonts w:cstheme="minorHAnsi"/>
          <w:color w:val="000000" w:themeColor="text1"/>
          <w:sz w:val="22"/>
          <w:szCs w:val="22"/>
        </w:rPr>
      </w:pPr>
      <w:r w:rsidRPr="005665C2">
        <w:rPr>
          <w:rFonts w:cstheme="minorHAnsi"/>
          <w:sz w:val="22"/>
          <w:szCs w:val="22"/>
        </w:rPr>
        <w:t>CCBHC</w:t>
      </w:r>
      <w:r w:rsidRPr="005665C2">
        <w:rPr>
          <w:rFonts w:cstheme="minorHAnsi"/>
          <w:sz w:val="22"/>
          <w:szCs w:val="22"/>
        </w:rPr>
        <w:tab/>
      </w:r>
      <w:r w:rsidRPr="005665C2">
        <w:rPr>
          <w:rFonts w:cstheme="minorHAnsi"/>
          <w:sz w:val="22"/>
          <w:szCs w:val="22"/>
        </w:rPr>
        <w:tab/>
      </w:r>
      <w:r w:rsidRPr="005665C2">
        <w:rPr>
          <w:rFonts w:cstheme="minorHAnsi"/>
          <w:color w:val="000000" w:themeColor="text1"/>
          <w:sz w:val="22"/>
          <w:szCs w:val="22"/>
        </w:rPr>
        <w:t>Certified Community Behavioral Health Clinic</w:t>
      </w:r>
    </w:p>
    <w:p w14:paraId="5968C2D5" w14:textId="77777777" w:rsidR="00F128DF" w:rsidRPr="005665C2" w:rsidRDefault="00F128DF" w:rsidP="00F128DF">
      <w:pPr>
        <w:rPr>
          <w:rFonts w:cstheme="minorHAnsi"/>
          <w:color w:val="000000" w:themeColor="text1"/>
          <w:sz w:val="22"/>
          <w:szCs w:val="22"/>
        </w:rPr>
      </w:pPr>
      <w:r w:rsidRPr="005665C2">
        <w:rPr>
          <w:rFonts w:cstheme="minorHAnsi"/>
          <w:color w:val="000000" w:themeColor="text1"/>
          <w:sz w:val="22"/>
          <w:szCs w:val="22"/>
        </w:rPr>
        <w:t>CCO</w:t>
      </w:r>
      <w:r w:rsidRPr="005665C2">
        <w:rPr>
          <w:rFonts w:cstheme="minorHAnsi"/>
          <w:color w:val="000000" w:themeColor="text1"/>
          <w:sz w:val="22"/>
          <w:szCs w:val="22"/>
        </w:rPr>
        <w:tab/>
      </w:r>
      <w:r w:rsidRPr="005665C2">
        <w:rPr>
          <w:rFonts w:cstheme="minorHAnsi"/>
          <w:color w:val="000000" w:themeColor="text1"/>
          <w:sz w:val="22"/>
          <w:szCs w:val="22"/>
        </w:rPr>
        <w:tab/>
        <w:t>Coordinated Care Organization</w:t>
      </w:r>
    </w:p>
    <w:p w14:paraId="23073E52" w14:textId="77777777" w:rsidR="00F128DF" w:rsidRPr="005665C2" w:rsidRDefault="00F128DF" w:rsidP="00F128DF">
      <w:pPr>
        <w:rPr>
          <w:rFonts w:cstheme="minorHAnsi"/>
          <w:color w:val="000000" w:themeColor="text1"/>
          <w:sz w:val="22"/>
          <w:szCs w:val="22"/>
        </w:rPr>
      </w:pPr>
      <w:r w:rsidRPr="005665C2">
        <w:rPr>
          <w:rFonts w:cstheme="minorHAnsi"/>
          <w:color w:val="000000" w:themeColor="text1"/>
          <w:sz w:val="22"/>
          <w:szCs w:val="22"/>
        </w:rPr>
        <w:t>CDC</w:t>
      </w:r>
      <w:r w:rsidRPr="005665C2">
        <w:rPr>
          <w:rFonts w:cstheme="minorHAnsi"/>
          <w:color w:val="000000" w:themeColor="text1"/>
          <w:sz w:val="22"/>
          <w:szCs w:val="22"/>
        </w:rPr>
        <w:tab/>
      </w:r>
      <w:r w:rsidRPr="005665C2">
        <w:rPr>
          <w:rFonts w:cstheme="minorHAnsi"/>
          <w:color w:val="000000" w:themeColor="text1"/>
          <w:sz w:val="22"/>
          <w:szCs w:val="22"/>
        </w:rPr>
        <w:tab/>
        <w:t>Centers for Disease Control and Prevention</w:t>
      </w:r>
    </w:p>
    <w:p w14:paraId="67EE9A91" w14:textId="77777777" w:rsidR="00F128DF" w:rsidRDefault="00F128DF" w:rsidP="00F128DF">
      <w:pPr>
        <w:rPr>
          <w:rFonts w:cstheme="minorHAnsi"/>
          <w:sz w:val="22"/>
          <w:szCs w:val="22"/>
        </w:rPr>
      </w:pPr>
      <w:r w:rsidRPr="005665C2">
        <w:rPr>
          <w:rFonts w:cstheme="minorHAnsi"/>
          <w:sz w:val="22"/>
          <w:szCs w:val="22"/>
        </w:rPr>
        <w:t xml:space="preserve">CDPS </w:t>
      </w:r>
      <w:r w:rsidRPr="005665C2">
        <w:rPr>
          <w:rFonts w:cstheme="minorHAnsi"/>
          <w:sz w:val="22"/>
          <w:szCs w:val="22"/>
        </w:rPr>
        <w:tab/>
      </w:r>
      <w:r w:rsidRPr="005665C2">
        <w:rPr>
          <w:rFonts w:cstheme="minorHAnsi"/>
          <w:sz w:val="22"/>
          <w:szCs w:val="22"/>
        </w:rPr>
        <w:tab/>
        <w:t>Chronic Illness and Disability Payment System</w:t>
      </w:r>
    </w:p>
    <w:p w14:paraId="47AC9128" w14:textId="77777777" w:rsidR="00F128DF" w:rsidRPr="005665C2" w:rsidRDefault="00F128DF" w:rsidP="00F128DF">
      <w:pPr>
        <w:rPr>
          <w:rFonts w:cstheme="minorHAnsi"/>
          <w:color w:val="000000" w:themeColor="text1"/>
          <w:sz w:val="22"/>
          <w:szCs w:val="22"/>
        </w:rPr>
      </w:pPr>
      <w:r>
        <w:rPr>
          <w:rFonts w:cstheme="minorHAnsi"/>
          <w:sz w:val="22"/>
          <w:szCs w:val="22"/>
        </w:rPr>
        <w:t>CFR</w:t>
      </w:r>
      <w:r>
        <w:rPr>
          <w:rFonts w:cstheme="minorHAnsi"/>
          <w:sz w:val="22"/>
          <w:szCs w:val="22"/>
        </w:rPr>
        <w:tab/>
      </w:r>
      <w:r>
        <w:rPr>
          <w:rFonts w:cstheme="minorHAnsi"/>
          <w:sz w:val="22"/>
          <w:szCs w:val="22"/>
        </w:rPr>
        <w:tab/>
        <w:t>Code of Federal Regulations</w:t>
      </w:r>
      <w:r w:rsidRPr="005665C2">
        <w:rPr>
          <w:rFonts w:cstheme="minorHAnsi"/>
          <w:sz w:val="22"/>
          <w:szCs w:val="22"/>
        </w:rPr>
        <w:t xml:space="preserve"> </w:t>
      </w:r>
    </w:p>
    <w:p w14:paraId="42497543" w14:textId="77777777" w:rsidR="00F128DF" w:rsidRDefault="00F128DF" w:rsidP="00F128DF">
      <w:pPr>
        <w:rPr>
          <w:rFonts w:cstheme="minorHAnsi"/>
          <w:color w:val="000000" w:themeColor="text1"/>
          <w:sz w:val="22"/>
          <w:szCs w:val="22"/>
        </w:rPr>
      </w:pPr>
      <w:r w:rsidRPr="005665C2">
        <w:rPr>
          <w:rFonts w:cstheme="minorHAnsi"/>
          <w:color w:val="000000" w:themeColor="text1"/>
          <w:sz w:val="22"/>
          <w:szCs w:val="22"/>
        </w:rPr>
        <w:t>CHIP</w:t>
      </w:r>
      <w:r w:rsidRPr="005665C2">
        <w:rPr>
          <w:rFonts w:cstheme="minorHAnsi"/>
          <w:color w:val="000000" w:themeColor="text1"/>
          <w:sz w:val="22"/>
          <w:szCs w:val="22"/>
        </w:rPr>
        <w:tab/>
      </w:r>
      <w:r w:rsidRPr="005665C2">
        <w:rPr>
          <w:rFonts w:cstheme="minorHAnsi"/>
          <w:color w:val="000000" w:themeColor="text1"/>
          <w:sz w:val="22"/>
          <w:szCs w:val="22"/>
        </w:rPr>
        <w:tab/>
        <w:t>Children’s Health Insurance Program</w:t>
      </w:r>
    </w:p>
    <w:p w14:paraId="17245AFE" w14:textId="77777777" w:rsidR="00F128DF" w:rsidRPr="005665C2" w:rsidRDefault="00F128DF" w:rsidP="00F128DF">
      <w:pPr>
        <w:rPr>
          <w:rFonts w:cstheme="minorHAnsi"/>
          <w:color w:val="000000" w:themeColor="text1"/>
          <w:sz w:val="22"/>
          <w:szCs w:val="22"/>
        </w:rPr>
      </w:pPr>
      <w:r w:rsidRPr="00421366">
        <w:rPr>
          <w:rFonts w:eastAsia="Calibri" w:cstheme="minorHAnsi"/>
          <w:sz w:val="22"/>
          <w:szCs w:val="22"/>
        </w:rPr>
        <w:t xml:space="preserve">CIHS </w:t>
      </w:r>
      <w:r>
        <w:rPr>
          <w:rFonts w:eastAsia="Calibri" w:cstheme="minorHAnsi"/>
          <w:sz w:val="22"/>
          <w:szCs w:val="22"/>
        </w:rPr>
        <w:tab/>
      </w:r>
      <w:r>
        <w:rPr>
          <w:rFonts w:eastAsia="Calibri" w:cstheme="minorHAnsi"/>
          <w:sz w:val="22"/>
          <w:szCs w:val="22"/>
        </w:rPr>
        <w:tab/>
      </w:r>
      <w:r w:rsidRPr="00421366">
        <w:rPr>
          <w:rFonts w:eastAsia="Calibri" w:cstheme="minorHAnsi"/>
          <w:sz w:val="22"/>
          <w:szCs w:val="22"/>
        </w:rPr>
        <w:t>Center for Integrated Health Solutions</w:t>
      </w:r>
    </w:p>
    <w:p w14:paraId="68C378F8" w14:textId="77777777" w:rsidR="00F128DF" w:rsidRDefault="00F128DF" w:rsidP="00F128DF">
      <w:pPr>
        <w:rPr>
          <w:rFonts w:cstheme="minorHAnsi"/>
          <w:sz w:val="22"/>
          <w:szCs w:val="22"/>
        </w:rPr>
      </w:pPr>
      <w:r w:rsidRPr="005665C2">
        <w:rPr>
          <w:rFonts w:cstheme="minorHAnsi"/>
          <w:color w:val="000000" w:themeColor="text1"/>
          <w:sz w:val="22"/>
          <w:szCs w:val="22"/>
        </w:rPr>
        <w:t>CMHP</w:t>
      </w:r>
      <w:r w:rsidRPr="005665C2">
        <w:rPr>
          <w:rFonts w:cstheme="minorHAnsi"/>
          <w:color w:val="000000" w:themeColor="text1"/>
          <w:sz w:val="22"/>
          <w:szCs w:val="22"/>
        </w:rPr>
        <w:tab/>
      </w:r>
      <w:r w:rsidRPr="005665C2">
        <w:rPr>
          <w:rFonts w:cstheme="minorHAnsi"/>
          <w:color w:val="000000" w:themeColor="text1"/>
          <w:sz w:val="22"/>
          <w:szCs w:val="22"/>
        </w:rPr>
        <w:tab/>
      </w:r>
      <w:r w:rsidRPr="005665C2">
        <w:rPr>
          <w:rFonts w:cstheme="minorHAnsi"/>
          <w:sz w:val="22"/>
          <w:szCs w:val="22"/>
        </w:rPr>
        <w:t>Community Mental Health Program</w:t>
      </w:r>
    </w:p>
    <w:p w14:paraId="2E04B2DD" w14:textId="77777777" w:rsidR="00F128DF" w:rsidRPr="005665C2" w:rsidRDefault="00F128DF" w:rsidP="00F128DF">
      <w:pPr>
        <w:rPr>
          <w:rFonts w:cstheme="minorHAnsi"/>
          <w:sz w:val="22"/>
          <w:szCs w:val="22"/>
        </w:rPr>
      </w:pPr>
      <w:r>
        <w:rPr>
          <w:rFonts w:cstheme="minorHAnsi"/>
          <w:sz w:val="22"/>
          <w:szCs w:val="22"/>
        </w:rPr>
        <w:t>CMS</w:t>
      </w:r>
      <w:r>
        <w:rPr>
          <w:rFonts w:cstheme="minorHAnsi"/>
          <w:sz w:val="22"/>
          <w:szCs w:val="22"/>
        </w:rPr>
        <w:tab/>
      </w:r>
      <w:r>
        <w:rPr>
          <w:rFonts w:cstheme="minorHAnsi"/>
          <w:sz w:val="22"/>
          <w:szCs w:val="22"/>
        </w:rPr>
        <w:tab/>
        <w:t>Centers for Medicare and Medicaid Services</w:t>
      </w:r>
    </w:p>
    <w:p w14:paraId="054E89ED" w14:textId="77777777" w:rsidR="00F128DF" w:rsidRDefault="00F128DF" w:rsidP="00F128DF">
      <w:pPr>
        <w:rPr>
          <w:rFonts w:cstheme="minorHAnsi"/>
          <w:sz w:val="22"/>
          <w:szCs w:val="22"/>
        </w:rPr>
      </w:pPr>
      <w:r w:rsidRPr="005665C2">
        <w:rPr>
          <w:rFonts w:cstheme="minorHAnsi"/>
          <w:sz w:val="22"/>
          <w:szCs w:val="22"/>
        </w:rPr>
        <w:t>DCO</w:t>
      </w:r>
      <w:r w:rsidRPr="005665C2">
        <w:rPr>
          <w:rFonts w:cstheme="minorHAnsi"/>
          <w:sz w:val="22"/>
          <w:szCs w:val="22"/>
        </w:rPr>
        <w:tab/>
      </w:r>
      <w:r w:rsidRPr="005665C2">
        <w:rPr>
          <w:rFonts w:cstheme="minorHAnsi"/>
          <w:sz w:val="22"/>
          <w:szCs w:val="22"/>
        </w:rPr>
        <w:tab/>
        <w:t>Designated Collaborating Organization</w:t>
      </w:r>
    </w:p>
    <w:p w14:paraId="310E0112" w14:textId="77777777" w:rsidR="00F128DF" w:rsidRDefault="00F128DF" w:rsidP="00F128DF">
      <w:pPr>
        <w:rPr>
          <w:rFonts w:cstheme="minorHAnsi"/>
          <w:sz w:val="22"/>
          <w:szCs w:val="22"/>
        </w:rPr>
      </w:pPr>
      <w:r>
        <w:rPr>
          <w:rFonts w:cstheme="minorHAnsi"/>
          <w:sz w:val="22"/>
          <w:szCs w:val="22"/>
        </w:rPr>
        <w:t>DHS</w:t>
      </w:r>
      <w:r>
        <w:rPr>
          <w:rFonts w:cstheme="minorHAnsi"/>
          <w:sz w:val="22"/>
          <w:szCs w:val="22"/>
        </w:rPr>
        <w:tab/>
      </w:r>
      <w:r>
        <w:rPr>
          <w:rFonts w:cstheme="minorHAnsi"/>
          <w:sz w:val="22"/>
          <w:szCs w:val="22"/>
        </w:rPr>
        <w:tab/>
        <w:t>Department of Human Services, Oregon</w:t>
      </w:r>
    </w:p>
    <w:p w14:paraId="014BDD52" w14:textId="77777777" w:rsidR="00F128DF" w:rsidRDefault="00F128DF" w:rsidP="00F128DF">
      <w:pPr>
        <w:rPr>
          <w:rFonts w:cstheme="minorHAnsi"/>
          <w:sz w:val="22"/>
          <w:szCs w:val="22"/>
        </w:rPr>
      </w:pPr>
      <w:r>
        <w:rPr>
          <w:rFonts w:cstheme="minorHAnsi"/>
          <w:sz w:val="22"/>
          <w:szCs w:val="22"/>
        </w:rPr>
        <w:t xml:space="preserve">ED </w:t>
      </w:r>
      <w:r>
        <w:rPr>
          <w:rFonts w:cstheme="minorHAnsi"/>
          <w:sz w:val="22"/>
          <w:szCs w:val="22"/>
        </w:rPr>
        <w:tab/>
      </w:r>
      <w:r>
        <w:rPr>
          <w:rFonts w:cstheme="minorHAnsi"/>
          <w:sz w:val="22"/>
          <w:szCs w:val="22"/>
        </w:rPr>
        <w:tab/>
        <w:t xml:space="preserve">Emergency Department </w:t>
      </w:r>
    </w:p>
    <w:p w14:paraId="567634BB" w14:textId="77777777" w:rsidR="00F128DF" w:rsidRDefault="00F128DF" w:rsidP="00F128DF">
      <w:pPr>
        <w:rPr>
          <w:rFonts w:eastAsia="Calibri" w:cstheme="minorHAnsi"/>
          <w:sz w:val="22"/>
          <w:szCs w:val="22"/>
        </w:rPr>
      </w:pPr>
      <w:r w:rsidRPr="00337BFB">
        <w:rPr>
          <w:rFonts w:eastAsia="Calibri" w:cstheme="minorHAnsi"/>
          <w:sz w:val="22"/>
          <w:szCs w:val="22"/>
        </w:rPr>
        <w:t xml:space="preserve">EHR </w:t>
      </w:r>
      <w:r>
        <w:rPr>
          <w:rFonts w:eastAsia="Calibri" w:cstheme="minorHAnsi"/>
          <w:sz w:val="22"/>
          <w:szCs w:val="22"/>
        </w:rPr>
        <w:tab/>
      </w:r>
      <w:r>
        <w:rPr>
          <w:rFonts w:eastAsia="Calibri" w:cstheme="minorHAnsi"/>
          <w:sz w:val="22"/>
          <w:szCs w:val="22"/>
        </w:rPr>
        <w:tab/>
        <w:t>E</w:t>
      </w:r>
      <w:r w:rsidRPr="00337BFB">
        <w:rPr>
          <w:rFonts w:eastAsia="Calibri" w:cstheme="minorHAnsi"/>
          <w:sz w:val="22"/>
          <w:szCs w:val="22"/>
        </w:rPr>
        <w:t xml:space="preserve">lectronic </w:t>
      </w:r>
      <w:r>
        <w:rPr>
          <w:rFonts w:eastAsia="Calibri" w:cstheme="minorHAnsi"/>
          <w:sz w:val="22"/>
          <w:szCs w:val="22"/>
        </w:rPr>
        <w:t>H</w:t>
      </w:r>
      <w:r w:rsidRPr="00337BFB">
        <w:rPr>
          <w:rFonts w:eastAsia="Calibri" w:cstheme="minorHAnsi"/>
          <w:sz w:val="22"/>
          <w:szCs w:val="22"/>
        </w:rPr>
        <w:t xml:space="preserve">ealth </w:t>
      </w:r>
      <w:r>
        <w:rPr>
          <w:rFonts w:eastAsia="Calibri" w:cstheme="minorHAnsi"/>
          <w:sz w:val="22"/>
          <w:szCs w:val="22"/>
        </w:rPr>
        <w:t>R</w:t>
      </w:r>
      <w:r w:rsidRPr="00337BFB">
        <w:rPr>
          <w:rFonts w:eastAsia="Calibri" w:cstheme="minorHAnsi"/>
          <w:sz w:val="22"/>
          <w:szCs w:val="22"/>
        </w:rPr>
        <w:t>ecord</w:t>
      </w:r>
    </w:p>
    <w:p w14:paraId="0FD1CEA4" w14:textId="77777777" w:rsidR="00F128DF" w:rsidRDefault="00F128DF" w:rsidP="00F128DF">
      <w:pPr>
        <w:rPr>
          <w:rFonts w:ascii="Calibri" w:eastAsia="Calibri" w:hAnsi="Calibri" w:cs="Calibri"/>
          <w:sz w:val="22"/>
          <w:szCs w:val="22"/>
        </w:rPr>
      </w:pPr>
      <w:r>
        <w:rPr>
          <w:rFonts w:ascii="Calibri" w:eastAsia="Calibri" w:hAnsi="Calibri" w:cs="Calibri"/>
          <w:sz w:val="22"/>
          <w:szCs w:val="22"/>
        </w:rPr>
        <w:t xml:space="preserve">FFS </w:t>
      </w:r>
      <w:r>
        <w:rPr>
          <w:rFonts w:ascii="Calibri" w:eastAsia="Calibri" w:hAnsi="Calibri" w:cs="Calibri"/>
          <w:sz w:val="22"/>
          <w:szCs w:val="22"/>
        </w:rPr>
        <w:tab/>
      </w:r>
      <w:r>
        <w:rPr>
          <w:rFonts w:ascii="Calibri" w:eastAsia="Calibri" w:hAnsi="Calibri" w:cs="Calibri"/>
          <w:sz w:val="22"/>
          <w:szCs w:val="22"/>
        </w:rPr>
        <w:tab/>
        <w:t xml:space="preserve">Fee-For-Service </w:t>
      </w:r>
    </w:p>
    <w:p w14:paraId="7EF12D4F" w14:textId="77777777" w:rsidR="00F128DF" w:rsidRPr="005665C2" w:rsidRDefault="00F128DF" w:rsidP="00F128DF">
      <w:pPr>
        <w:rPr>
          <w:rFonts w:cstheme="minorHAnsi"/>
          <w:sz w:val="22"/>
          <w:szCs w:val="22"/>
        </w:rPr>
      </w:pPr>
      <w:r>
        <w:rPr>
          <w:rFonts w:ascii="Calibri" w:eastAsia="Calibri" w:hAnsi="Calibri" w:cs="Calibri"/>
          <w:sz w:val="22"/>
          <w:szCs w:val="22"/>
        </w:rPr>
        <w:t>FQHC</w:t>
      </w:r>
      <w:r>
        <w:rPr>
          <w:rFonts w:ascii="Calibri" w:eastAsia="Calibri" w:hAnsi="Calibri" w:cs="Calibri"/>
          <w:sz w:val="22"/>
          <w:szCs w:val="22"/>
        </w:rPr>
        <w:tab/>
      </w:r>
      <w:r>
        <w:rPr>
          <w:rFonts w:ascii="Calibri" w:eastAsia="Calibri" w:hAnsi="Calibri" w:cs="Calibri"/>
          <w:sz w:val="22"/>
          <w:szCs w:val="22"/>
        </w:rPr>
        <w:tab/>
        <w:t>Federally Qualified Health Center</w:t>
      </w:r>
    </w:p>
    <w:p w14:paraId="056437B3" w14:textId="77777777" w:rsidR="00F128DF" w:rsidRDefault="00F128DF" w:rsidP="00F128DF">
      <w:pPr>
        <w:rPr>
          <w:rFonts w:cstheme="minorHAnsi"/>
          <w:sz w:val="22"/>
          <w:szCs w:val="22"/>
        </w:rPr>
      </w:pPr>
      <w:r w:rsidRPr="005665C2">
        <w:rPr>
          <w:rFonts w:cstheme="minorHAnsi"/>
          <w:sz w:val="22"/>
          <w:szCs w:val="22"/>
        </w:rPr>
        <w:t xml:space="preserve">GBHAC </w:t>
      </w:r>
      <w:r w:rsidRPr="005665C2">
        <w:rPr>
          <w:rFonts w:cstheme="minorHAnsi"/>
          <w:sz w:val="22"/>
          <w:szCs w:val="22"/>
        </w:rPr>
        <w:tab/>
      </w:r>
      <w:r w:rsidRPr="005665C2">
        <w:rPr>
          <w:rFonts w:cstheme="minorHAnsi"/>
          <w:sz w:val="22"/>
          <w:szCs w:val="22"/>
        </w:rPr>
        <w:tab/>
        <w:t xml:space="preserve">Governor’s Behavioral Health Advisory Council </w:t>
      </w:r>
    </w:p>
    <w:p w14:paraId="70B97536" w14:textId="77777777" w:rsidR="00F128DF" w:rsidRPr="005665C2" w:rsidRDefault="00F128DF" w:rsidP="00F128DF">
      <w:pPr>
        <w:rPr>
          <w:rFonts w:cstheme="minorHAnsi"/>
          <w:color w:val="000000" w:themeColor="text1"/>
          <w:sz w:val="22"/>
          <w:szCs w:val="22"/>
        </w:rPr>
      </w:pPr>
      <w:r>
        <w:rPr>
          <w:rFonts w:cstheme="minorHAnsi"/>
          <w:sz w:val="22"/>
          <w:szCs w:val="22"/>
        </w:rPr>
        <w:t>HCPSC</w:t>
      </w:r>
      <w:r>
        <w:rPr>
          <w:rFonts w:cstheme="minorHAnsi"/>
          <w:sz w:val="22"/>
          <w:szCs w:val="22"/>
        </w:rPr>
        <w:tab/>
      </w:r>
      <w:r>
        <w:rPr>
          <w:rFonts w:cstheme="minorHAnsi"/>
          <w:sz w:val="22"/>
          <w:szCs w:val="22"/>
        </w:rPr>
        <w:tab/>
        <w:t>Healthcare Common Procedure Coding System</w:t>
      </w:r>
    </w:p>
    <w:p w14:paraId="15D298BF" w14:textId="77777777" w:rsidR="00F128DF" w:rsidRPr="005665C2" w:rsidRDefault="00F128DF" w:rsidP="00F128DF">
      <w:pPr>
        <w:rPr>
          <w:rFonts w:cstheme="minorHAnsi"/>
          <w:sz w:val="22"/>
          <w:szCs w:val="22"/>
        </w:rPr>
      </w:pPr>
      <w:r w:rsidRPr="005665C2">
        <w:rPr>
          <w:rFonts w:cstheme="minorHAnsi"/>
          <w:color w:val="000000" w:themeColor="text1"/>
          <w:sz w:val="22"/>
          <w:szCs w:val="22"/>
        </w:rPr>
        <w:t>HHS</w:t>
      </w:r>
      <w:r w:rsidRPr="005665C2">
        <w:rPr>
          <w:rFonts w:cstheme="minorHAnsi"/>
          <w:color w:val="000000" w:themeColor="text1"/>
          <w:sz w:val="22"/>
          <w:szCs w:val="22"/>
        </w:rPr>
        <w:tab/>
      </w:r>
      <w:r w:rsidRPr="005665C2">
        <w:rPr>
          <w:rFonts w:cstheme="minorHAnsi"/>
          <w:color w:val="000000" w:themeColor="text1"/>
          <w:sz w:val="22"/>
          <w:szCs w:val="22"/>
        </w:rPr>
        <w:tab/>
      </w:r>
      <w:r w:rsidRPr="005665C2">
        <w:rPr>
          <w:rFonts w:cstheme="minorHAnsi"/>
          <w:sz w:val="22"/>
          <w:szCs w:val="22"/>
        </w:rPr>
        <w:t>U.S. Department of Health and Human Services</w:t>
      </w:r>
    </w:p>
    <w:p w14:paraId="4B3AA23D" w14:textId="77777777" w:rsidR="00F128DF" w:rsidRDefault="00F128DF" w:rsidP="00F128DF">
      <w:pPr>
        <w:rPr>
          <w:rFonts w:cstheme="minorHAnsi"/>
          <w:sz w:val="22"/>
          <w:szCs w:val="22"/>
        </w:rPr>
      </w:pPr>
      <w:r w:rsidRPr="005665C2">
        <w:rPr>
          <w:rFonts w:cstheme="minorHAnsi"/>
          <w:sz w:val="22"/>
          <w:szCs w:val="22"/>
        </w:rPr>
        <w:t>HIE</w:t>
      </w:r>
      <w:r w:rsidRPr="005665C2">
        <w:rPr>
          <w:rFonts w:cstheme="minorHAnsi"/>
          <w:sz w:val="22"/>
          <w:szCs w:val="22"/>
        </w:rPr>
        <w:tab/>
      </w:r>
      <w:r w:rsidRPr="005665C2">
        <w:rPr>
          <w:rFonts w:cstheme="minorHAnsi"/>
          <w:sz w:val="22"/>
          <w:szCs w:val="22"/>
        </w:rPr>
        <w:tab/>
        <w:t>Health Information Exchange</w:t>
      </w:r>
    </w:p>
    <w:p w14:paraId="236EE99C" w14:textId="77777777" w:rsidR="00F128DF" w:rsidRPr="005665C2" w:rsidRDefault="00F128DF" w:rsidP="00F128DF">
      <w:pPr>
        <w:rPr>
          <w:rFonts w:cstheme="minorHAnsi"/>
          <w:sz w:val="22"/>
          <w:szCs w:val="22"/>
        </w:rPr>
      </w:pPr>
      <w:r>
        <w:rPr>
          <w:rFonts w:cstheme="minorHAnsi"/>
          <w:sz w:val="22"/>
          <w:szCs w:val="22"/>
        </w:rPr>
        <w:t>HIPAA</w:t>
      </w:r>
      <w:r>
        <w:rPr>
          <w:rFonts w:cstheme="minorHAnsi"/>
          <w:sz w:val="22"/>
          <w:szCs w:val="22"/>
        </w:rPr>
        <w:tab/>
      </w:r>
      <w:r>
        <w:rPr>
          <w:rFonts w:cstheme="minorHAnsi"/>
          <w:sz w:val="22"/>
          <w:szCs w:val="22"/>
        </w:rPr>
        <w:tab/>
        <w:t>Health Insurance Portability and Accountability Act</w:t>
      </w:r>
    </w:p>
    <w:p w14:paraId="7104CB47" w14:textId="77777777" w:rsidR="00F128DF" w:rsidRDefault="00F128DF" w:rsidP="00F128DF">
      <w:pPr>
        <w:rPr>
          <w:rFonts w:cstheme="minorHAnsi"/>
          <w:sz w:val="22"/>
          <w:szCs w:val="22"/>
        </w:rPr>
      </w:pPr>
      <w:r w:rsidRPr="005665C2">
        <w:rPr>
          <w:rFonts w:cstheme="minorHAnsi"/>
          <w:sz w:val="22"/>
          <w:szCs w:val="22"/>
        </w:rPr>
        <w:t>HIT</w:t>
      </w:r>
      <w:r w:rsidRPr="005665C2">
        <w:rPr>
          <w:rFonts w:cstheme="minorHAnsi"/>
          <w:sz w:val="22"/>
          <w:szCs w:val="22"/>
        </w:rPr>
        <w:tab/>
      </w:r>
      <w:r w:rsidRPr="005665C2">
        <w:rPr>
          <w:rFonts w:cstheme="minorHAnsi"/>
          <w:sz w:val="22"/>
          <w:szCs w:val="22"/>
        </w:rPr>
        <w:tab/>
        <w:t>Health Information Technology</w:t>
      </w:r>
    </w:p>
    <w:p w14:paraId="5FF7592E" w14:textId="77777777" w:rsidR="00F128DF" w:rsidRPr="005665C2" w:rsidRDefault="00F128DF" w:rsidP="00F128DF">
      <w:pPr>
        <w:rPr>
          <w:rFonts w:cstheme="minorHAnsi"/>
          <w:sz w:val="22"/>
          <w:szCs w:val="22"/>
        </w:rPr>
      </w:pPr>
      <w:r w:rsidRPr="00421366">
        <w:rPr>
          <w:rFonts w:eastAsia="Calibri" w:cstheme="minorHAnsi"/>
          <w:sz w:val="22"/>
          <w:szCs w:val="22"/>
        </w:rPr>
        <w:t>HRSA</w:t>
      </w:r>
      <w:r>
        <w:rPr>
          <w:rFonts w:eastAsia="Calibri" w:cstheme="minorHAnsi"/>
          <w:sz w:val="22"/>
          <w:szCs w:val="22"/>
        </w:rPr>
        <w:tab/>
      </w:r>
      <w:r>
        <w:rPr>
          <w:rFonts w:eastAsia="Calibri" w:cstheme="minorHAnsi"/>
          <w:sz w:val="22"/>
          <w:szCs w:val="22"/>
        </w:rPr>
        <w:tab/>
        <w:t>Health Resources and Services Administration</w:t>
      </w:r>
    </w:p>
    <w:p w14:paraId="2F251340" w14:textId="77777777" w:rsidR="00F128DF" w:rsidRPr="005665C2" w:rsidRDefault="00F128DF" w:rsidP="00F128DF">
      <w:pPr>
        <w:rPr>
          <w:rFonts w:cstheme="minorHAnsi"/>
          <w:sz w:val="22"/>
          <w:szCs w:val="22"/>
        </w:rPr>
      </w:pPr>
      <w:r w:rsidRPr="005665C2">
        <w:rPr>
          <w:rFonts w:cstheme="minorHAnsi"/>
          <w:sz w:val="22"/>
          <w:szCs w:val="22"/>
        </w:rPr>
        <w:t>IRB</w:t>
      </w:r>
      <w:r w:rsidRPr="005665C2">
        <w:rPr>
          <w:rFonts w:cstheme="minorHAnsi"/>
          <w:sz w:val="22"/>
          <w:szCs w:val="22"/>
        </w:rPr>
        <w:tab/>
      </w:r>
      <w:r w:rsidRPr="005665C2">
        <w:rPr>
          <w:rFonts w:cstheme="minorHAnsi"/>
          <w:sz w:val="22"/>
          <w:szCs w:val="22"/>
        </w:rPr>
        <w:tab/>
        <w:t>Institutional Review Board</w:t>
      </w:r>
    </w:p>
    <w:p w14:paraId="3C605A6A" w14:textId="224F3FC2" w:rsidR="00F128DF" w:rsidRPr="005665C2" w:rsidRDefault="00F128DF" w:rsidP="00F128DF">
      <w:pPr>
        <w:rPr>
          <w:rFonts w:cstheme="minorHAnsi"/>
          <w:sz w:val="22"/>
          <w:szCs w:val="22"/>
        </w:rPr>
      </w:pPr>
      <w:r w:rsidRPr="005665C2">
        <w:rPr>
          <w:rFonts w:cstheme="minorHAnsi"/>
          <w:sz w:val="22"/>
          <w:szCs w:val="22"/>
        </w:rPr>
        <w:t>LBGTQ+</w:t>
      </w:r>
      <w:r w:rsidRPr="005665C2">
        <w:rPr>
          <w:rFonts w:cstheme="minorHAnsi"/>
          <w:sz w:val="22"/>
          <w:szCs w:val="22"/>
        </w:rPr>
        <w:tab/>
      </w:r>
      <w:r w:rsidRPr="005665C2">
        <w:rPr>
          <w:rFonts w:cstheme="minorHAnsi"/>
          <w:sz w:val="22"/>
          <w:szCs w:val="22"/>
        </w:rPr>
        <w:tab/>
        <w:t xml:space="preserve">Lesbian, </w:t>
      </w:r>
      <w:r w:rsidR="0058670B">
        <w:rPr>
          <w:rFonts w:cstheme="minorHAnsi"/>
          <w:sz w:val="22"/>
          <w:szCs w:val="22"/>
        </w:rPr>
        <w:t>G</w:t>
      </w:r>
      <w:r w:rsidRPr="005665C2">
        <w:rPr>
          <w:rFonts w:cstheme="minorHAnsi"/>
          <w:sz w:val="22"/>
          <w:szCs w:val="22"/>
        </w:rPr>
        <w:t>ay, Bisexual, Transgender, Queer (or Questioning), and Others</w:t>
      </w:r>
    </w:p>
    <w:p w14:paraId="57795804" w14:textId="77777777" w:rsidR="00F128DF" w:rsidRPr="005665C2" w:rsidRDefault="00F128DF" w:rsidP="00F128DF">
      <w:pPr>
        <w:rPr>
          <w:rFonts w:cstheme="minorHAnsi"/>
          <w:sz w:val="22"/>
          <w:szCs w:val="22"/>
        </w:rPr>
      </w:pPr>
      <w:r w:rsidRPr="005665C2">
        <w:rPr>
          <w:rFonts w:cstheme="minorHAnsi"/>
          <w:sz w:val="22"/>
          <w:szCs w:val="22"/>
        </w:rPr>
        <w:t>MA</w:t>
      </w:r>
      <w:r w:rsidRPr="005665C2">
        <w:rPr>
          <w:rFonts w:cstheme="minorHAnsi"/>
          <w:sz w:val="22"/>
          <w:szCs w:val="22"/>
        </w:rPr>
        <w:tab/>
      </w:r>
      <w:r w:rsidRPr="005665C2">
        <w:rPr>
          <w:rFonts w:cstheme="minorHAnsi"/>
          <w:sz w:val="22"/>
          <w:szCs w:val="22"/>
        </w:rPr>
        <w:tab/>
        <w:t>Medical Assistant</w:t>
      </w:r>
    </w:p>
    <w:p w14:paraId="6532848B" w14:textId="77777777" w:rsidR="00F128DF" w:rsidRPr="005665C2" w:rsidRDefault="00F128DF" w:rsidP="00F128DF">
      <w:pPr>
        <w:rPr>
          <w:rStyle w:val="markedcontent"/>
          <w:rFonts w:cstheme="minorHAnsi"/>
          <w:sz w:val="22"/>
          <w:szCs w:val="22"/>
        </w:rPr>
      </w:pPr>
      <w:r w:rsidRPr="005665C2">
        <w:rPr>
          <w:rFonts w:cstheme="minorHAnsi"/>
          <w:sz w:val="22"/>
          <w:szCs w:val="22"/>
        </w:rPr>
        <w:t>MHSIP</w:t>
      </w:r>
      <w:r w:rsidRPr="005665C2">
        <w:rPr>
          <w:rFonts w:cstheme="minorHAnsi"/>
          <w:sz w:val="22"/>
          <w:szCs w:val="22"/>
        </w:rPr>
        <w:tab/>
      </w:r>
      <w:r w:rsidRPr="005665C2">
        <w:rPr>
          <w:rFonts w:cstheme="minorHAnsi"/>
          <w:sz w:val="22"/>
          <w:szCs w:val="22"/>
        </w:rPr>
        <w:tab/>
      </w:r>
      <w:r w:rsidRPr="005665C2">
        <w:rPr>
          <w:rStyle w:val="markedcontent"/>
          <w:rFonts w:cstheme="minorHAnsi"/>
          <w:sz w:val="22"/>
          <w:szCs w:val="22"/>
        </w:rPr>
        <w:t>Mental Health Statistics Improvement Program</w:t>
      </w:r>
    </w:p>
    <w:p w14:paraId="5E13A255" w14:textId="7FCEBB91" w:rsidR="00F128DF" w:rsidRDefault="00F128DF" w:rsidP="00F128DF">
      <w:pPr>
        <w:rPr>
          <w:rFonts w:cstheme="minorHAnsi"/>
          <w:sz w:val="22"/>
          <w:szCs w:val="22"/>
        </w:rPr>
      </w:pPr>
      <w:r w:rsidRPr="005665C2">
        <w:rPr>
          <w:rFonts w:cstheme="minorHAnsi"/>
          <w:sz w:val="22"/>
          <w:szCs w:val="22"/>
        </w:rPr>
        <w:t xml:space="preserve">MOUD </w:t>
      </w:r>
      <w:r w:rsidRPr="005665C2">
        <w:rPr>
          <w:rFonts w:cstheme="minorHAnsi"/>
          <w:sz w:val="22"/>
          <w:szCs w:val="22"/>
        </w:rPr>
        <w:tab/>
      </w:r>
      <w:r w:rsidRPr="005665C2">
        <w:rPr>
          <w:rFonts w:cstheme="minorHAnsi"/>
          <w:sz w:val="22"/>
          <w:szCs w:val="22"/>
        </w:rPr>
        <w:tab/>
        <w:t>Medication for Opioid Use Disorder</w:t>
      </w:r>
    </w:p>
    <w:p w14:paraId="38FE9486" w14:textId="4FDBF68D" w:rsidR="0058670B" w:rsidRDefault="0058670B" w:rsidP="00F128DF">
      <w:pPr>
        <w:rPr>
          <w:rFonts w:cstheme="minorHAnsi"/>
          <w:sz w:val="22"/>
          <w:szCs w:val="22"/>
        </w:rPr>
      </w:pPr>
      <w:r w:rsidRPr="009111E5">
        <w:rPr>
          <w:rFonts w:cstheme="minorHAnsi"/>
          <w:sz w:val="22"/>
          <w:szCs w:val="22"/>
        </w:rPr>
        <w:t xml:space="preserve">M/SUD </w:t>
      </w:r>
      <w:r>
        <w:rPr>
          <w:rFonts w:cstheme="minorHAnsi"/>
          <w:sz w:val="22"/>
          <w:szCs w:val="22"/>
        </w:rPr>
        <w:tab/>
      </w:r>
      <w:r>
        <w:rPr>
          <w:rFonts w:cstheme="minorHAnsi"/>
          <w:sz w:val="22"/>
          <w:szCs w:val="22"/>
        </w:rPr>
        <w:tab/>
        <w:t>M</w:t>
      </w:r>
      <w:r w:rsidRPr="009111E5">
        <w:rPr>
          <w:rFonts w:cstheme="minorHAnsi"/>
          <w:sz w:val="22"/>
          <w:szCs w:val="22"/>
        </w:rPr>
        <w:t xml:space="preserve">ental and </w:t>
      </w:r>
      <w:r>
        <w:rPr>
          <w:rFonts w:cstheme="minorHAnsi"/>
          <w:sz w:val="22"/>
          <w:szCs w:val="22"/>
        </w:rPr>
        <w:t>S</w:t>
      </w:r>
      <w:r w:rsidRPr="009111E5">
        <w:rPr>
          <w:rFonts w:cstheme="minorHAnsi"/>
          <w:sz w:val="22"/>
          <w:szCs w:val="22"/>
        </w:rPr>
        <w:t xml:space="preserve">ubstance </w:t>
      </w:r>
      <w:r>
        <w:rPr>
          <w:rFonts w:cstheme="minorHAnsi"/>
          <w:sz w:val="22"/>
          <w:szCs w:val="22"/>
        </w:rPr>
        <w:t>U</w:t>
      </w:r>
      <w:r w:rsidRPr="009111E5">
        <w:rPr>
          <w:rFonts w:cstheme="minorHAnsi"/>
          <w:sz w:val="22"/>
          <w:szCs w:val="22"/>
        </w:rPr>
        <w:t xml:space="preserve">se </w:t>
      </w:r>
      <w:r>
        <w:rPr>
          <w:rFonts w:cstheme="minorHAnsi"/>
          <w:sz w:val="22"/>
          <w:szCs w:val="22"/>
        </w:rPr>
        <w:t>D</w:t>
      </w:r>
      <w:r w:rsidRPr="009111E5">
        <w:rPr>
          <w:rFonts w:cstheme="minorHAnsi"/>
          <w:sz w:val="22"/>
          <w:szCs w:val="22"/>
        </w:rPr>
        <w:t>isorders</w:t>
      </w:r>
    </w:p>
    <w:p w14:paraId="32478EEA" w14:textId="77777777" w:rsidR="00F128DF" w:rsidRPr="008A01B4" w:rsidRDefault="00F128DF" w:rsidP="00F128DF">
      <w:pPr>
        <w:rPr>
          <w:rFonts w:cstheme="minorHAnsi"/>
          <w:sz w:val="22"/>
          <w:szCs w:val="22"/>
        </w:rPr>
      </w:pPr>
      <w:r w:rsidRPr="008A01B4">
        <w:rPr>
          <w:rFonts w:cstheme="minorHAnsi"/>
          <w:sz w:val="22"/>
          <w:szCs w:val="22"/>
        </w:rPr>
        <w:t xml:space="preserve">OAR </w:t>
      </w:r>
      <w:r w:rsidRPr="008A01B4">
        <w:rPr>
          <w:rFonts w:cstheme="minorHAnsi"/>
          <w:sz w:val="22"/>
          <w:szCs w:val="22"/>
        </w:rPr>
        <w:tab/>
      </w:r>
      <w:r w:rsidRPr="008A01B4">
        <w:rPr>
          <w:rFonts w:cstheme="minorHAnsi"/>
          <w:sz w:val="22"/>
          <w:szCs w:val="22"/>
        </w:rPr>
        <w:tab/>
        <w:t xml:space="preserve">Oregon Administrative Rules </w:t>
      </w:r>
    </w:p>
    <w:p w14:paraId="7E428065" w14:textId="77777777" w:rsidR="00F128DF" w:rsidRPr="005665C2" w:rsidRDefault="00F128DF" w:rsidP="00F128DF">
      <w:pPr>
        <w:rPr>
          <w:rFonts w:cstheme="minorHAnsi"/>
          <w:color w:val="000000" w:themeColor="text1"/>
          <w:sz w:val="22"/>
          <w:szCs w:val="22"/>
        </w:rPr>
      </w:pPr>
      <w:r w:rsidRPr="005665C2">
        <w:rPr>
          <w:rFonts w:cstheme="minorHAnsi"/>
          <w:sz w:val="22"/>
          <w:szCs w:val="22"/>
        </w:rPr>
        <w:t>OHA</w:t>
      </w:r>
      <w:r w:rsidRPr="005665C2">
        <w:rPr>
          <w:rFonts w:cstheme="minorHAnsi"/>
          <w:sz w:val="22"/>
          <w:szCs w:val="22"/>
        </w:rPr>
        <w:tab/>
      </w:r>
      <w:r w:rsidRPr="005665C2">
        <w:rPr>
          <w:rFonts w:cstheme="minorHAnsi"/>
          <w:sz w:val="22"/>
          <w:szCs w:val="22"/>
        </w:rPr>
        <w:tab/>
      </w:r>
      <w:r w:rsidRPr="005665C2">
        <w:rPr>
          <w:rFonts w:cstheme="minorHAnsi"/>
          <w:color w:val="000000" w:themeColor="text1"/>
          <w:sz w:val="22"/>
          <w:szCs w:val="22"/>
        </w:rPr>
        <w:t>Oregon Health Authority</w:t>
      </w:r>
    </w:p>
    <w:p w14:paraId="58449747" w14:textId="77777777" w:rsidR="00F128DF" w:rsidRPr="005665C2" w:rsidRDefault="00F128DF" w:rsidP="00F128DF">
      <w:pPr>
        <w:rPr>
          <w:rFonts w:cstheme="minorHAnsi"/>
          <w:color w:val="000000" w:themeColor="text1"/>
          <w:sz w:val="22"/>
          <w:szCs w:val="22"/>
        </w:rPr>
      </w:pPr>
      <w:r w:rsidRPr="005665C2">
        <w:rPr>
          <w:rFonts w:cstheme="minorHAnsi"/>
          <w:color w:val="000000" w:themeColor="text1"/>
          <w:sz w:val="22"/>
          <w:szCs w:val="22"/>
        </w:rPr>
        <w:t>OHP</w:t>
      </w:r>
      <w:r w:rsidRPr="005665C2">
        <w:rPr>
          <w:rFonts w:cstheme="minorHAnsi"/>
          <w:color w:val="000000" w:themeColor="text1"/>
          <w:sz w:val="22"/>
          <w:szCs w:val="22"/>
        </w:rPr>
        <w:tab/>
      </w:r>
      <w:r w:rsidRPr="005665C2">
        <w:rPr>
          <w:rFonts w:cstheme="minorHAnsi"/>
          <w:color w:val="000000" w:themeColor="text1"/>
          <w:sz w:val="22"/>
          <w:szCs w:val="22"/>
        </w:rPr>
        <w:tab/>
        <w:t>Oregon Health Plan</w:t>
      </w:r>
    </w:p>
    <w:p w14:paraId="5A6C70E8" w14:textId="77777777" w:rsidR="00F128DF" w:rsidRPr="005665C2" w:rsidRDefault="00F128DF" w:rsidP="00F128DF">
      <w:pPr>
        <w:rPr>
          <w:rFonts w:cstheme="minorHAnsi"/>
          <w:color w:val="000000" w:themeColor="text1"/>
          <w:sz w:val="22"/>
          <w:szCs w:val="22"/>
        </w:rPr>
      </w:pPr>
      <w:r w:rsidRPr="005665C2">
        <w:rPr>
          <w:rFonts w:cstheme="minorHAnsi"/>
          <w:sz w:val="22"/>
          <w:szCs w:val="22"/>
        </w:rPr>
        <w:t xml:space="preserve">OHPB </w:t>
      </w:r>
      <w:r w:rsidRPr="005665C2">
        <w:rPr>
          <w:rFonts w:cstheme="minorHAnsi"/>
          <w:sz w:val="22"/>
          <w:szCs w:val="22"/>
        </w:rPr>
        <w:tab/>
      </w:r>
      <w:r w:rsidRPr="005665C2">
        <w:rPr>
          <w:rFonts w:cstheme="minorHAnsi"/>
          <w:sz w:val="22"/>
          <w:szCs w:val="22"/>
        </w:rPr>
        <w:tab/>
        <w:t xml:space="preserve">Oregon Health Policy Board </w:t>
      </w:r>
    </w:p>
    <w:p w14:paraId="0D3466A0" w14:textId="77777777" w:rsidR="00F128DF" w:rsidRDefault="00F128DF" w:rsidP="00F128DF">
      <w:pPr>
        <w:rPr>
          <w:rFonts w:cstheme="minorHAnsi"/>
          <w:color w:val="000000" w:themeColor="text1"/>
          <w:sz w:val="22"/>
          <w:szCs w:val="22"/>
        </w:rPr>
      </w:pPr>
      <w:r w:rsidRPr="005665C2">
        <w:rPr>
          <w:rFonts w:cstheme="minorHAnsi"/>
          <w:color w:val="000000" w:themeColor="text1"/>
          <w:sz w:val="22"/>
          <w:szCs w:val="22"/>
        </w:rPr>
        <w:t>OHSU</w:t>
      </w:r>
      <w:r w:rsidRPr="005665C2">
        <w:rPr>
          <w:rFonts w:cstheme="minorHAnsi"/>
          <w:color w:val="000000" w:themeColor="text1"/>
          <w:sz w:val="22"/>
          <w:szCs w:val="22"/>
        </w:rPr>
        <w:tab/>
      </w:r>
      <w:r w:rsidRPr="005665C2">
        <w:rPr>
          <w:rFonts w:cstheme="minorHAnsi"/>
          <w:color w:val="000000" w:themeColor="text1"/>
          <w:sz w:val="22"/>
          <w:szCs w:val="22"/>
        </w:rPr>
        <w:tab/>
        <w:t>Oregon Health &amp; Science University</w:t>
      </w:r>
    </w:p>
    <w:p w14:paraId="2E51C2A5" w14:textId="77777777" w:rsidR="00F128DF" w:rsidRPr="005665C2" w:rsidRDefault="00F128DF" w:rsidP="00F128DF">
      <w:pPr>
        <w:rPr>
          <w:rFonts w:cstheme="minorHAnsi"/>
          <w:sz w:val="22"/>
          <w:szCs w:val="22"/>
        </w:rPr>
      </w:pPr>
      <w:r w:rsidRPr="008631A8">
        <w:rPr>
          <w:rFonts w:cstheme="minorHAnsi"/>
          <w:sz w:val="22"/>
          <w:szCs w:val="22"/>
        </w:rPr>
        <w:t xml:space="preserve">OLS </w:t>
      </w:r>
      <w:r>
        <w:rPr>
          <w:rFonts w:cstheme="minorHAnsi"/>
          <w:sz w:val="22"/>
          <w:szCs w:val="22"/>
        </w:rPr>
        <w:tab/>
      </w:r>
      <w:r>
        <w:rPr>
          <w:rFonts w:cstheme="minorHAnsi"/>
          <w:sz w:val="22"/>
          <w:szCs w:val="22"/>
        </w:rPr>
        <w:tab/>
        <w:t>O</w:t>
      </w:r>
      <w:r w:rsidRPr="008631A8">
        <w:rPr>
          <w:rFonts w:cstheme="minorHAnsi"/>
          <w:sz w:val="22"/>
          <w:szCs w:val="22"/>
        </w:rPr>
        <w:t xml:space="preserve">rdinary </w:t>
      </w:r>
      <w:r>
        <w:rPr>
          <w:rFonts w:cstheme="minorHAnsi"/>
          <w:sz w:val="22"/>
          <w:szCs w:val="22"/>
        </w:rPr>
        <w:t>L</w:t>
      </w:r>
      <w:r w:rsidRPr="008631A8">
        <w:rPr>
          <w:rFonts w:cstheme="minorHAnsi"/>
          <w:sz w:val="22"/>
          <w:szCs w:val="22"/>
        </w:rPr>
        <w:t xml:space="preserve">east </w:t>
      </w:r>
      <w:r>
        <w:rPr>
          <w:rFonts w:cstheme="minorHAnsi"/>
          <w:sz w:val="22"/>
          <w:szCs w:val="22"/>
        </w:rPr>
        <w:t>S</w:t>
      </w:r>
      <w:r w:rsidRPr="008631A8">
        <w:rPr>
          <w:rFonts w:cstheme="minorHAnsi"/>
          <w:sz w:val="22"/>
          <w:szCs w:val="22"/>
        </w:rPr>
        <w:t xml:space="preserve">quares </w:t>
      </w:r>
    </w:p>
    <w:p w14:paraId="11A50877" w14:textId="77777777" w:rsidR="00F128DF" w:rsidRPr="005665C2" w:rsidRDefault="00F128DF" w:rsidP="00F128DF">
      <w:pPr>
        <w:rPr>
          <w:rFonts w:cstheme="minorHAnsi"/>
          <w:sz w:val="22"/>
          <w:szCs w:val="22"/>
        </w:rPr>
      </w:pPr>
      <w:r w:rsidRPr="005665C2">
        <w:rPr>
          <w:rFonts w:cstheme="minorHAnsi"/>
          <w:sz w:val="22"/>
          <w:szCs w:val="22"/>
        </w:rPr>
        <w:t>ORH</w:t>
      </w:r>
      <w:r w:rsidRPr="005665C2">
        <w:rPr>
          <w:rFonts w:cstheme="minorHAnsi"/>
          <w:sz w:val="22"/>
          <w:szCs w:val="22"/>
        </w:rPr>
        <w:tab/>
      </w:r>
      <w:r w:rsidRPr="005665C2">
        <w:rPr>
          <w:rFonts w:cstheme="minorHAnsi"/>
          <w:sz w:val="22"/>
          <w:szCs w:val="22"/>
        </w:rPr>
        <w:tab/>
      </w:r>
      <w:r w:rsidRPr="005665C2">
        <w:rPr>
          <w:rFonts w:cstheme="minorHAnsi"/>
          <w:sz w:val="22"/>
          <w:szCs w:val="22"/>
          <w:lang w:bidi="th-TH"/>
        </w:rPr>
        <w:t>Office of Rural Health, Oregon Health Authority</w:t>
      </w:r>
    </w:p>
    <w:p w14:paraId="03426C84" w14:textId="77777777" w:rsidR="00F128DF" w:rsidRPr="005665C2" w:rsidRDefault="00F128DF" w:rsidP="00F128DF">
      <w:pPr>
        <w:rPr>
          <w:rFonts w:cstheme="minorHAnsi"/>
          <w:sz w:val="22"/>
          <w:szCs w:val="22"/>
        </w:rPr>
      </w:pPr>
      <w:r w:rsidRPr="005665C2">
        <w:rPr>
          <w:rFonts w:cstheme="minorHAnsi"/>
          <w:sz w:val="22"/>
          <w:szCs w:val="22"/>
        </w:rPr>
        <w:t>PCPCH</w:t>
      </w:r>
      <w:r w:rsidRPr="005665C2">
        <w:rPr>
          <w:rFonts w:cstheme="minorHAnsi"/>
          <w:sz w:val="22"/>
          <w:szCs w:val="22"/>
        </w:rPr>
        <w:tab/>
      </w:r>
      <w:r w:rsidRPr="005665C2">
        <w:rPr>
          <w:rFonts w:cstheme="minorHAnsi"/>
          <w:sz w:val="22"/>
          <w:szCs w:val="22"/>
        </w:rPr>
        <w:tab/>
        <w:t>Patient-Centered Primary Care Home</w:t>
      </w:r>
    </w:p>
    <w:p w14:paraId="2649A8AB" w14:textId="77777777" w:rsidR="00F128DF" w:rsidRPr="005665C2" w:rsidRDefault="00F128DF" w:rsidP="00F128DF">
      <w:pPr>
        <w:rPr>
          <w:rFonts w:cstheme="minorHAnsi"/>
          <w:sz w:val="22"/>
          <w:szCs w:val="22"/>
        </w:rPr>
      </w:pPr>
      <w:r w:rsidRPr="005665C2">
        <w:rPr>
          <w:rFonts w:cstheme="minorHAnsi"/>
          <w:sz w:val="22"/>
          <w:szCs w:val="22"/>
        </w:rPr>
        <w:t xml:space="preserve">POS </w:t>
      </w:r>
      <w:r w:rsidRPr="005665C2">
        <w:rPr>
          <w:rFonts w:cstheme="minorHAnsi"/>
          <w:sz w:val="22"/>
          <w:szCs w:val="22"/>
        </w:rPr>
        <w:tab/>
      </w:r>
      <w:r w:rsidRPr="005665C2">
        <w:rPr>
          <w:rFonts w:cstheme="minorHAnsi"/>
          <w:sz w:val="22"/>
          <w:szCs w:val="22"/>
        </w:rPr>
        <w:tab/>
        <w:t xml:space="preserve">Place of Service </w:t>
      </w:r>
    </w:p>
    <w:p w14:paraId="72D8821C" w14:textId="77777777" w:rsidR="00F128DF" w:rsidRPr="005665C2" w:rsidRDefault="00F128DF" w:rsidP="00F128DF">
      <w:pPr>
        <w:rPr>
          <w:rFonts w:cstheme="minorHAnsi"/>
          <w:sz w:val="22"/>
          <w:szCs w:val="22"/>
        </w:rPr>
      </w:pPr>
      <w:r w:rsidRPr="005665C2">
        <w:rPr>
          <w:rFonts w:cstheme="minorHAnsi"/>
          <w:sz w:val="22"/>
          <w:szCs w:val="22"/>
        </w:rPr>
        <w:t>PPS</w:t>
      </w:r>
      <w:r w:rsidRPr="005665C2">
        <w:rPr>
          <w:rFonts w:cstheme="minorHAnsi"/>
          <w:sz w:val="22"/>
          <w:szCs w:val="22"/>
        </w:rPr>
        <w:tab/>
      </w:r>
      <w:r w:rsidRPr="005665C2">
        <w:rPr>
          <w:rFonts w:cstheme="minorHAnsi"/>
          <w:sz w:val="22"/>
          <w:szCs w:val="22"/>
        </w:rPr>
        <w:tab/>
      </w:r>
      <w:r w:rsidRPr="005665C2">
        <w:rPr>
          <w:rFonts w:cstheme="minorHAnsi"/>
          <w:color w:val="000000" w:themeColor="text1"/>
          <w:sz w:val="22"/>
          <w:szCs w:val="22"/>
        </w:rPr>
        <w:t>Prospective Payment System</w:t>
      </w:r>
    </w:p>
    <w:p w14:paraId="770462C8" w14:textId="77777777" w:rsidR="00F128DF" w:rsidRDefault="00F128DF" w:rsidP="00F128DF">
      <w:pPr>
        <w:rPr>
          <w:rFonts w:cstheme="minorHAnsi"/>
          <w:sz w:val="22"/>
          <w:szCs w:val="22"/>
        </w:rPr>
      </w:pPr>
      <w:r w:rsidRPr="005665C2">
        <w:rPr>
          <w:rFonts w:cstheme="minorHAnsi"/>
          <w:sz w:val="22"/>
          <w:szCs w:val="22"/>
        </w:rPr>
        <w:t>PSU</w:t>
      </w:r>
      <w:r w:rsidRPr="005665C2">
        <w:rPr>
          <w:rFonts w:cstheme="minorHAnsi"/>
          <w:sz w:val="22"/>
          <w:szCs w:val="22"/>
        </w:rPr>
        <w:tab/>
      </w:r>
      <w:r w:rsidRPr="005665C2">
        <w:rPr>
          <w:rFonts w:cstheme="minorHAnsi"/>
          <w:sz w:val="22"/>
          <w:szCs w:val="22"/>
        </w:rPr>
        <w:tab/>
        <w:t>Portland State University</w:t>
      </w:r>
    </w:p>
    <w:p w14:paraId="7E4E812C" w14:textId="77777777" w:rsidR="00F128DF" w:rsidRDefault="00F128DF" w:rsidP="00F128DF">
      <w:pPr>
        <w:rPr>
          <w:rFonts w:cstheme="minorHAnsi"/>
          <w:sz w:val="22"/>
          <w:szCs w:val="22"/>
        </w:rPr>
      </w:pPr>
      <w:r w:rsidRPr="003F474A">
        <w:rPr>
          <w:rFonts w:cstheme="minorHAnsi"/>
          <w:sz w:val="22"/>
          <w:szCs w:val="22"/>
        </w:rPr>
        <w:t xml:space="preserve">RE-AIM </w:t>
      </w:r>
      <w:r>
        <w:rPr>
          <w:rFonts w:cstheme="minorHAnsi"/>
          <w:sz w:val="22"/>
          <w:szCs w:val="22"/>
        </w:rPr>
        <w:tab/>
      </w:r>
      <w:r>
        <w:rPr>
          <w:rFonts w:cstheme="minorHAnsi"/>
          <w:sz w:val="22"/>
          <w:szCs w:val="22"/>
        </w:rPr>
        <w:tab/>
      </w:r>
      <w:r w:rsidRPr="003F474A">
        <w:rPr>
          <w:rFonts w:cstheme="minorHAnsi"/>
          <w:sz w:val="22"/>
          <w:szCs w:val="22"/>
        </w:rPr>
        <w:t>Reach, Evaluation, Adoption, Implementation, Maintenance</w:t>
      </w:r>
    </w:p>
    <w:p w14:paraId="24BE7231" w14:textId="77777777" w:rsidR="00F128DF" w:rsidRDefault="00F128DF" w:rsidP="00F128DF">
      <w:pPr>
        <w:rPr>
          <w:rFonts w:cstheme="minorHAnsi"/>
          <w:sz w:val="22"/>
          <w:szCs w:val="22"/>
        </w:rPr>
      </w:pPr>
      <w:r>
        <w:rPr>
          <w:rFonts w:cstheme="minorHAnsi"/>
          <w:sz w:val="22"/>
          <w:szCs w:val="22"/>
        </w:rPr>
        <w:t>REALD</w:t>
      </w:r>
      <w:r>
        <w:rPr>
          <w:rFonts w:cstheme="minorHAnsi"/>
          <w:sz w:val="22"/>
          <w:szCs w:val="22"/>
        </w:rPr>
        <w:tab/>
      </w:r>
      <w:r>
        <w:rPr>
          <w:rFonts w:cstheme="minorHAnsi"/>
          <w:sz w:val="22"/>
          <w:szCs w:val="22"/>
        </w:rPr>
        <w:tab/>
        <w:t>Race, Ethnicity, Language, and Disability</w:t>
      </w:r>
    </w:p>
    <w:p w14:paraId="392F895C" w14:textId="77777777" w:rsidR="00F128DF" w:rsidRDefault="00F128DF" w:rsidP="00F128DF">
      <w:pPr>
        <w:rPr>
          <w:rFonts w:cstheme="minorHAnsi"/>
          <w:sz w:val="22"/>
          <w:szCs w:val="22"/>
        </w:rPr>
      </w:pPr>
      <w:r>
        <w:rPr>
          <w:rFonts w:cstheme="minorHAnsi"/>
          <w:sz w:val="22"/>
          <w:szCs w:val="22"/>
        </w:rPr>
        <w:t xml:space="preserve">RTF </w:t>
      </w:r>
      <w:r>
        <w:rPr>
          <w:rFonts w:cstheme="minorHAnsi"/>
          <w:sz w:val="22"/>
          <w:szCs w:val="22"/>
        </w:rPr>
        <w:tab/>
      </w:r>
      <w:r>
        <w:rPr>
          <w:rFonts w:cstheme="minorHAnsi"/>
          <w:sz w:val="22"/>
          <w:szCs w:val="22"/>
        </w:rPr>
        <w:tab/>
        <w:t>Residential Treatment Facility</w:t>
      </w:r>
    </w:p>
    <w:p w14:paraId="6FB553CE" w14:textId="77777777" w:rsidR="00F128DF" w:rsidRDefault="00F128DF" w:rsidP="00F128DF">
      <w:pPr>
        <w:rPr>
          <w:rFonts w:cstheme="minorHAnsi"/>
          <w:sz w:val="22"/>
          <w:szCs w:val="22"/>
        </w:rPr>
      </w:pPr>
      <w:r>
        <w:rPr>
          <w:rFonts w:ascii="Calibri" w:eastAsia="Calibri" w:hAnsi="Calibri" w:cs="Calibri"/>
          <w:sz w:val="22"/>
          <w:szCs w:val="22"/>
        </w:rPr>
        <w:t xml:space="preserve">QMHA </w:t>
      </w:r>
      <w:r>
        <w:rPr>
          <w:rFonts w:ascii="Calibri" w:eastAsia="Calibri" w:hAnsi="Calibri" w:cs="Calibri"/>
          <w:sz w:val="22"/>
          <w:szCs w:val="22"/>
        </w:rPr>
        <w:tab/>
      </w:r>
      <w:r>
        <w:rPr>
          <w:rFonts w:ascii="Calibri" w:eastAsia="Calibri" w:hAnsi="Calibri" w:cs="Calibri"/>
          <w:sz w:val="22"/>
          <w:szCs w:val="22"/>
        </w:rPr>
        <w:tab/>
        <w:t>Qualified Mental Health Associate</w:t>
      </w:r>
    </w:p>
    <w:p w14:paraId="1A5CE752" w14:textId="77777777" w:rsidR="00F128DF" w:rsidRPr="005665C2" w:rsidRDefault="00F128DF" w:rsidP="00F128DF">
      <w:pPr>
        <w:rPr>
          <w:rFonts w:cstheme="minorHAnsi"/>
          <w:sz w:val="22"/>
          <w:szCs w:val="22"/>
        </w:rPr>
      </w:pPr>
      <w:r>
        <w:rPr>
          <w:rFonts w:ascii="Calibri" w:eastAsia="Calibri" w:hAnsi="Calibri" w:cs="Calibri"/>
          <w:sz w:val="22"/>
          <w:szCs w:val="22"/>
        </w:rPr>
        <w:t xml:space="preserve">QMHP </w:t>
      </w:r>
      <w:r>
        <w:rPr>
          <w:rFonts w:ascii="Calibri" w:eastAsia="Calibri" w:hAnsi="Calibri" w:cs="Calibri"/>
          <w:sz w:val="22"/>
          <w:szCs w:val="22"/>
        </w:rPr>
        <w:tab/>
      </w:r>
      <w:r>
        <w:rPr>
          <w:rFonts w:ascii="Calibri" w:eastAsia="Calibri" w:hAnsi="Calibri" w:cs="Calibri"/>
          <w:sz w:val="22"/>
          <w:szCs w:val="22"/>
        </w:rPr>
        <w:tab/>
        <w:t>Qualified Mental Health Professional</w:t>
      </w:r>
    </w:p>
    <w:p w14:paraId="7922F466" w14:textId="77777777" w:rsidR="00F128DF" w:rsidRPr="005665C2" w:rsidRDefault="00F128DF" w:rsidP="00F128DF">
      <w:pPr>
        <w:rPr>
          <w:rFonts w:cstheme="minorHAnsi"/>
          <w:sz w:val="22"/>
          <w:szCs w:val="22"/>
        </w:rPr>
      </w:pPr>
      <w:r w:rsidRPr="005665C2">
        <w:rPr>
          <w:rFonts w:cstheme="minorHAnsi"/>
          <w:sz w:val="22"/>
          <w:szCs w:val="22"/>
        </w:rPr>
        <w:t>REALD</w:t>
      </w:r>
      <w:r w:rsidRPr="005665C2">
        <w:rPr>
          <w:rFonts w:cstheme="minorHAnsi"/>
          <w:sz w:val="22"/>
          <w:szCs w:val="22"/>
        </w:rPr>
        <w:tab/>
      </w:r>
      <w:r w:rsidRPr="005665C2">
        <w:rPr>
          <w:rFonts w:cstheme="minorHAnsi"/>
          <w:sz w:val="22"/>
          <w:szCs w:val="22"/>
        </w:rPr>
        <w:tab/>
        <w:t>Race, Ethnicity, Language and Disability</w:t>
      </w:r>
    </w:p>
    <w:p w14:paraId="4D06F56C" w14:textId="77777777" w:rsidR="00F128DF" w:rsidRPr="005665C2" w:rsidRDefault="00F128DF" w:rsidP="00F128DF">
      <w:pPr>
        <w:rPr>
          <w:rFonts w:cstheme="minorHAnsi"/>
          <w:sz w:val="22"/>
          <w:szCs w:val="22"/>
        </w:rPr>
      </w:pPr>
      <w:r w:rsidRPr="005665C2">
        <w:rPr>
          <w:rFonts w:cstheme="minorHAnsi"/>
          <w:sz w:val="22"/>
          <w:szCs w:val="22"/>
        </w:rPr>
        <w:t>SAMHSA</w:t>
      </w:r>
      <w:r w:rsidRPr="005665C2">
        <w:rPr>
          <w:rFonts w:cstheme="minorHAnsi"/>
          <w:sz w:val="22"/>
          <w:szCs w:val="22"/>
        </w:rPr>
        <w:tab/>
        <w:t>Substance Abuse and Mental Health Services Administration</w:t>
      </w:r>
    </w:p>
    <w:p w14:paraId="1F02208E" w14:textId="77777777" w:rsidR="00F128DF" w:rsidRPr="005665C2" w:rsidRDefault="00F128DF" w:rsidP="00F128DF">
      <w:pPr>
        <w:rPr>
          <w:rFonts w:eastAsia="Calibri" w:cstheme="minorHAnsi"/>
          <w:sz w:val="22"/>
          <w:szCs w:val="22"/>
        </w:rPr>
      </w:pPr>
      <w:r w:rsidRPr="005665C2">
        <w:rPr>
          <w:rFonts w:eastAsia="Calibri" w:cstheme="minorHAnsi"/>
          <w:sz w:val="22"/>
          <w:szCs w:val="22"/>
        </w:rPr>
        <w:t xml:space="preserve">SDOH </w:t>
      </w:r>
      <w:r w:rsidRPr="005665C2">
        <w:rPr>
          <w:rFonts w:eastAsia="Calibri" w:cstheme="minorHAnsi"/>
          <w:sz w:val="22"/>
          <w:szCs w:val="22"/>
        </w:rPr>
        <w:tab/>
      </w:r>
      <w:r w:rsidRPr="005665C2">
        <w:rPr>
          <w:rFonts w:eastAsia="Calibri" w:cstheme="minorHAnsi"/>
          <w:sz w:val="22"/>
          <w:szCs w:val="22"/>
        </w:rPr>
        <w:tab/>
        <w:t>Social Determinants of Health</w:t>
      </w:r>
    </w:p>
    <w:p w14:paraId="2FA7A5C7" w14:textId="77777777" w:rsidR="00F128DF" w:rsidRPr="005665C2" w:rsidRDefault="00F128DF" w:rsidP="00F128DF">
      <w:pPr>
        <w:rPr>
          <w:rFonts w:eastAsia="Calibri" w:cstheme="minorHAnsi"/>
          <w:sz w:val="22"/>
          <w:szCs w:val="22"/>
        </w:rPr>
      </w:pPr>
      <w:r w:rsidRPr="005665C2">
        <w:rPr>
          <w:rFonts w:eastAsia="Calibri" w:cstheme="minorHAnsi"/>
          <w:sz w:val="22"/>
          <w:szCs w:val="22"/>
        </w:rPr>
        <w:t>SPMI</w:t>
      </w:r>
      <w:r w:rsidRPr="005665C2">
        <w:rPr>
          <w:rFonts w:eastAsia="Calibri" w:cstheme="minorHAnsi"/>
          <w:sz w:val="22"/>
          <w:szCs w:val="22"/>
        </w:rPr>
        <w:tab/>
      </w:r>
      <w:r w:rsidRPr="005665C2">
        <w:rPr>
          <w:rFonts w:eastAsia="Calibri" w:cstheme="minorHAnsi"/>
          <w:sz w:val="22"/>
          <w:szCs w:val="22"/>
        </w:rPr>
        <w:tab/>
        <w:t>Serious Persistent Mental Illness</w:t>
      </w:r>
    </w:p>
    <w:p w14:paraId="4D8F93FE" w14:textId="77777777" w:rsidR="00F128DF" w:rsidRDefault="00F128DF" w:rsidP="00F128DF">
      <w:pPr>
        <w:rPr>
          <w:rFonts w:cstheme="minorHAnsi"/>
          <w:sz w:val="22"/>
          <w:szCs w:val="22"/>
        </w:rPr>
      </w:pPr>
      <w:r w:rsidRPr="005665C2">
        <w:rPr>
          <w:rFonts w:cstheme="minorHAnsi"/>
          <w:sz w:val="22"/>
          <w:szCs w:val="22"/>
        </w:rPr>
        <w:t xml:space="preserve">SUD </w:t>
      </w:r>
      <w:r w:rsidRPr="005665C2">
        <w:rPr>
          <w:rFonts w:cstheme="minorHAnsi"/>
          <w:sz w:val="22"/>
          <w:szCs w:val="22"/>
        </w:rPr>
        <w:tab/>
      </w:r>
      <w:r w:rsidRPr="005665C2">
        <w:rPr>
          <w:rFonts w:cstheme="minorHAnsi"/>
          <w:sz w:val="22"/>
          <w:szCs w:val="22"/>
        </w:rPr>
        <w:tab/>
        <w:t>Substance Use Disorder</w:t>
      </w:r>
    </w:p>
    <w:p w14:paraId="182D42CE" w14:textId="77777777" w:rsidR="00F128DF" w:rsidRPr="005665C2" w:rsidRDefault="00F128DF" w:rsidP="00F128DF">
      <w:pPr>
        <w:rPr>
          <w:rFonts w:cstheme="minorHAnsi"/>
          <w:sz w:val="22"/>
          <w:szCs w:val="22"/>
        </w:rPr>
      </w:pPr>
      <w:r>
        <w:rPr>
          <w:rFonts w:cstheme="minorHAnsi"/>
          <w:sz w:val="22"/>
          <w:szCs w:val="22"/>
        </w:rPr>
        <w:t>VA</w:t>
      </w:r>
      <w:r>
        <w:rPr>
          <w:rFonts w:cstheme="minorHAnsi"/>
          <w:sz w:val="22"/>
          <w:szCs w:val="22"/>
        </w:rPr>
        <w:tab/>
      </w:r>
      <w:r>
        <w:rPr>
          <w:rFonts w:cstheme="minorHAnsi"/>
          <w:sz w:val="22"/>
          <w:szCs w:val="22"/>
        </w:rPr>
        <w:tab/>
        <w:t>Veterans Affairs</w:t>
      </w:r>
    </w:p>
    <w:p w14:paraId="54E23435" w14:textId="77777777" w:rsidR="00A02801" w:rsidRDefault="00A02801"/>
    <w:p w14:paraId="0C430EBA" w14:textId="6F74A4A0" w:rsidR="0027132F" w:rsidRDefault="0027132F"/>
    <w:p w14:paraId="005830C4" w14:textId="56C3287F" w:rsidR="00762EB0" w:rsidRDefault="00762EB0">
      <w:pPr>
        <w:sectPr w:rsidR="00762EB0" w:rsidSect="009A1B05">
          <w:pgSz w:w="12240" w:h="15840"/>
          <w:pgMar w:top="1440" w:right="1440" w:bottom="1440" w:left="1440" w:header="720" w:footer="720" w:gutter="0"/>
          <w:pgNumType w:fmt="lowerRoman" w:start="1"/>
          <w:cols w:space="720"/>
          <w:docGrid w:linePitch="360"/>
        </w:sectPr>
      </w:pPr>
    </w:p>
    <w:p w14:paraId="0B314C07" w14:textId="0184FE66" w:rsidR="00A75F2B" w:rsidRPr="001173FB" w:rsidRDefault="00A75F2B" w:rsidP="00A75F2B">
      <w:pPr>
        <w:pStyle w:val="Heading1"/>
        <w:spacing w:before="0"/>
        <w:jc w:val="center"/>
        <w:rPr>
          <w:rFonts w:asciiTheme="minorHAnsi" w:hAnsiTheme="minorHAnsi" w:cstheme="minorHAnsi"/>
          <w:b/>
          <w:bCs/>
          <w:color w:val="6A7F0F"/>
          <w:sz w:val="40"/>
          <w:szCs w:val="40"/>
        </w:rPr>
      </w:pPr>
      <w:bookmarkStart w:id="2" w:name="_Toc126068167"/>
      <w:r w:rsidRPr="001173FB">
        <w:rPr>
          <w:rFonts w:asciiTheme="minorHAnsi" w:hAnsiTheme="minorHAnsi" w:cstheme="minorHAnsi"/>
          <w:b/>
          <w:bCs/>
          <w:color w:val="6A7F0F"/>
          <w:sz w:val="40"/>
          <w:szCs w:val="40"/>
        </w:rPr>
        <w:t>Executive Summary</w:t>
      </w:r>
      <w:bookmarkEnd w:id="2"/>
    </w:p>
    <w:p w14:paraId="00638378" w14:textId="77777777" w:rsidR="00A75F2B" w:rsidRPr="00A75F2B" w:rsidRDefault="00A75F2B" w:rsidP="00A75F2B">
      <w:pPr>
        <w:rPr>
          <w:sz w:val="10"/>
          <w:szCs w:val="10"/>
        </w:rPr>
      </w:pPr>
    </w:p>
    <w:p w14:paraId="10A77D67" w14:textId="33682111" w:rsidR="00790548" w:rsidRPr="00607A5C" w:rsidRDefault="00790548" w:rsidP="00790548">
      <w:pPr>
        <w:pStyle w:val="ListParagraph"/>
        <w:ind w:left="0"/>
        <w:rPr>
          <w:sz w:val="22"/>
        </w:rPr>
      </w:pPr>
      <w:r w:rsidRPr="001173FB">
        <w:rPr>
          <w:b/>
          <w:color w:val="6A7F0F"/>
        </w:rPr>
        <w:t>Study Aims</w:t>
      </w:r>
      <w:r w:rsidRPr="00A75F2B">
        <w:rPr>
          <w:b/>
          <w:color w:val="6A7F0F"/>
        </w:rPr>
        <w:t>:</w:t>
      </w:r>
      <w:r w:rsidRPr="00790548">
        <w:rPr>
          <w:b/>
          <w:color w:val="6A7F0F"/>
          <w:sz w:val="22"/>
          <w:szCs w:val="22"/>
        </w:rPr>
        <w:t xml:space="preserve"> </w:t>
      </w:r>
      <w:r w:rsidR="00914523" w:rsidRPr="002F6354">
        <w:rPr>
          <w:rFonts w:cstheme="minorHAnsi"/>
          <w:color w:val="000000" w:themeColor="text1"/>
          <w:sz w:val="22"/>
          <w:szCs w:val="22"/>
        </w:rPr>
        <w:t xml:space="preserve">The Oregon Health Authority (OHA) contracted with a team at the OHSU-PSU School of Public Health to conduct an evaluation of the Certified Community Behavioral Health Clinic (CCBHC) Program in 2022, to </w:t>
      </w:r>
      <w:r w:rsidR="00914523">
        <w:rPr>
          <w:rFonts w:cstheme="minorHAnsi"/>
          <w:color w:val="000000" w:themeColor="text1"/>
          <w:sz w:val="22"/>
          <w:szCs w:val="22"/>
        </w:rPr>
        <w:t xml:space="preserve">respond to the legislative mandate to </w:t>
      </w:r>
      <w:r w:rsidR="00914523" w:rsidRPr="002F6354">
        <w:rPr>
          <w:rFonts w:cstheme="minorHAnsi"/>
          <w:color w:val="000000" w:themeColor="text1"/>
          <w:sz w:val="22"/>
          <w:szCs w:val="22"/>
        </w:rPr>
        <w:t xml:space="preserve">evaluate whether CCBHCs: 1) increase access to behavioral health treatment for residents of this state; 2) provide integrated physical and behavioral healthcare; 3) offer services that result in improved health outcomes, lower overall healthcare costs and improved overall community health; and 4) reduce the cost of care for coordinated care organization (CCO) members. The evaluation team </w:t>
      </w:r>
      <w:r w:rsidR="00914523">
        <w:rPr>
          <w:rFonts w:cstheme="minorHAnsi"/>
          <w:color w:val="000000" w:themeColor="text1"/>
          <w:sz w:val="22"/>
          <w:szCs w:val="22"/>
        </w:rPr>
        <w:t>also</w:t>
      </w:r>
      <w:r w:rsidR="00914523" w:rsidRPr="002F6354">
        <w:rPr>
          <w:rFonts w:cstheme="minorHAnsi"/>
          <w:color w:val="000000" w:themeColor="text1"/>
          <w:sz w:val="22"/>
          <w:szCs w:val="22"/>
        </w:rPr>
        <w:t xml:space="preserve"> address</w:t>
      </w:r>
      <w:r w:rsidR="00914523">
        <w:rPr>
          <w:rFonts w:cstheme="minorHAnsi"/>
          <w:color w:val="000000" w:themeColor="text1"/>
          <w:sz w:val="22"/>
          <w:szCs w:val="22"/>
        </w:rPr>
        <w:t>ed</w:t>
      </w:r>
      <w:r w:rsidR="00914523" w:rsidRPr="002F6354">
        <w:rPr>
          <w:rFonts w:cstheme="minorHAnsi"/>
          <w:color w:val="000000" w:themeColor="text1"/>
          <w:sz w:val="22"/>
          <w:szCs w:val="22"/>
        </w:rPr>
        <w:t xml:space="preserve"> the sustainability and potential expansion of the CCBHC mode</w:t>
      </w:r>
      <w:r w:rsidR="00914523">
        <w:rPr>
          <w:rFonts w:cstheme="minorHAnsi"/>
          <w:color w:val="000000" w:themeColor="text1"/>
          <w:sz w:val="22"/>
          <w:szCs w:val="22"/>
        </w:rPr>
        <w:t>l</w:t>
      </w:r>
      <w:r w:rsidR="00914523" w:rsidRPr="002F6354">
        <w:rPr>
          <w:rFonts w:cstheme="minorHAnsi"/>
          <w:color w:val="000000" w:themeColor="text1"/>
          <w:sz w:val="22"/>
          <w:szCs w:val="22"/>
        </w:rPr>
        <w:t xml:space="preserve"> and its role in future Oregon health systems reform and transformation. In keeping with OHA’s strategic goal to eliminate health inequities by 2030, the evaluation </w:t>
      </w:r>
      <w:r w:rsidR="00914523">
        <w:rPr>
          <w:rFonts w:cstheme="minorHAnsi"/>
          <w:color w:val="000000" w:themeColor="text1"/>
          <w:sz w:val="22"/>
          <w:szCs w:val="22"/>
        </w:rPr>
        <w:t>used an equity framework</w:t>
      </w:r>
      <w:r w:rsidR="00914523" w:rsidRPr="002F6354">
        <w:rPr>
          <w:rFonts w:cstheme="minorHAnsi"/>
          <w:color w:val="000000" w:themeColor="text1"/>
          <w:sz w:val="22"/>
          <w:szCs w:val="22"/>
        </w:rPr>
        <w:t xml:space="preserve"> in the </w:t>
      </w:r>
      <w:r w:rsidR="00914523">
        <w:rPr>
          <w:rFonts w:cstheme="minorHAnsi"/>
          <w:color w:val="000000" w:themeColor="text1"/>
          <w:sz w:val="22"/>
          <w:szCs w:val="22"/>
        </w:rPr>
        <w:t>evaluation design</w:t>
      </w:r>
      <w:r w:rsidR="00914523" w:rsidRPr="002F6354">
        <w:rPr>
          <w:rFonts w:cstheme="minorHAnsi"/>
          <w:color w:val="000000" w:themeColor="text1"/>
          <w:sz w:val="22"/>
          <w:szCs w:val="22"/>
        </w:rPr>
        <w:t xml:space="preserve">, seeking to understand </w:t>
      </w:r>
      <w:r w:rsidR="00914523" w:rsidRPr="002F6354">
        <w:rPr>
          <w:rStyle w:val="color11"/>
          <w:rFonts w:cstheme="minorHAnsi"/>
          <w:color w:val="000000" w:themeColor="text1"/>
          <w:sz w:val="22"/>
          <w:szCs w:val="22"/>
        </w:rPr>
        <w:t xml:space="preserve">the effect of the CCBHC program on populations </w:t>
      </w:r>
      <w:r w:rsidR="00914523">
        <w:rPr>
          <w:rFonts w:cstheme="minorHAnsi"/>
          <w:color w:val="000000" w:themeColor="text1"/>
          <w:sz w:val="22"/>
          <w:szCs w:val="22"/>
        </w:rPr>
        <w:t xml:space="preserve">that experience </w:t>
      </w:r>
      <w:r w:rsidR="00914523" w:rsidRPr="002F6354">
        <w:rPr>
          <w:rFonts w:cstheme="minorHAnsi"/>
          <w:color w:val="000000" w:themeColor="text1"/>
          <w:sz w:val="22"/>
          <w:szCs w:val="22"/>
        </w:rPr>
        <w:t xml:space="preserve">marginalization, historic </w:t>
      </w:r>
      <w:r w:rsidR="00914523">
        <w:rPr>
          <w:rFonts w:cstheme="minorHAnsi"/>
          <w:color w:val="000000" w:themeColor="text1"/>
          <w:sz w:val="22"/>
          <w:szCs w:val="22"/>
        </w:rPr>
        <w:t xml:space="preserve">and contemporary </w:t>
      </w:r>
      <w:r w:rsidR="00914523" w:rsidRPr="002F6354">
        <w:rPr>
          <w:rFonts w:cstheme="minorHAnsi"/>
          <w:color w:val="000000" w:themeColor="text1"/>
          <w:sz w:val="22"/>
          <w:szCs w:val="22"/>
        </w:rPr>
        <w:t>injustices, and systemic oppression.</w:t>
      </w:r>
    </w:p>
    <w:p w14:paraId="048281C8" w14:textId="77777777" w:rsidR="00790548" w:rsidRPr="005F06B5" w:rsidRDefault="00790548" w:rsidP="00790548">
      <w:pPr>
        <w:rPr>
          <w:rStyle w:val="color11"/>
          <w:rFonts w:cstheme="minorHAnsi"/>
          <w:color w:val="000000" w:themeColor="text1"/>
          <w:sz w:val="18"/>
          <w:szCs w:val="18"/>
        </w:rPr>
      </w:pPr>
    </w:p>
    <w:p w14:paraId="1DB99353" w14:textId="55702649" w:rsidR="00790548" w:rsidRPr="002F6354" w:rsidRDefault="00790548" w:rsidP="00790548">
      <w:pPr>
        <w:rPr>
          <w:rFonts w:ascii="Calibri" w:eastAsia="Calibri" w:hAnsi="Calibri" w:cs="Calibri"/>
          <w:color w:val="000000" w:themeColor="text1"/>
          <w:sz w:val="22"/>
          <w:szCs w:val="22"/>
        </w:rPr>
      </w:pPr>
      <w:r w:rsidRPr="001173FB">
        <w:rPr>
          <w:rFonts w:eastAsia="Calibri" w:cstheme="minorHAnsi"/>
          <w:b/>
          <w:color w:val="6A7F0F"/>
        </w:rPr>
        <w:t>Findings</w:t>
      </w:r>
      <w:r w:rsidRPr="00A75F2B">
        <w:rPr>
          <w:rFonts w:eastAsia="Calibri" w:cstheme="minorHAnsi"/>
          <w:b/>
          <w:color w:val="6A7F0F"/>
        </w:rPr>
        <w:t>:</w:t>
      </w:r>
      <w:r w:rsidRPr="00790548">
        <w:rPr>
          <w:rFonts w:eastAsia="Calibri" w:cstheme="minorHAnsi"/>
          <w:b/>
          <w:color w:val="6A7F0F"/>
          <w:sz w:val="22"/>
          <w:szCs w:val="22"/>
        </w:rPr>
        <w:t xml:space="preserve"> </w:t>
      </w:r>
      <w:r w:rsidR="00914523" w:rsidRPr="006D2E99">
        <w:rPr>
          <w:rFonts w:eastAsia="Calibri" w:cstheme="minorHAnsi"/>
          <w:bCs/>
          <w:color w:val="000000" w:themeColor="text1"/>
          <w:sz w:val="22"/>
          <w:szCs w:val="22"/>
        </w:rPr>
        <w:t xml:space="preserve">The </w:t>
      </w:r>
      <w:r w:rsidR="00914523" w:rsidRPr="002F6354">
        <w:rPr>
          <w:rFonts w:eastAsia="Calibri" w:cstheme="minorHAnsi"/>
          <w:color w:val="000000" w:themeColor="text1"/>
          <w:sz w:val="22"/>
          <w:szCs w:val="22"/>
        </w:rPr>
        <w:t xml:space="preserve">CCBHC program has </w:t>
      </w:r>
      <w:r w:rsidR="00914523">
        <w:rPr>
          <w:rFonts w:eastAsia="Calibri" w:cstheme="minorHAnsi"/>
          <w:color w:val="000000" w:themeColor="text1"/>
          <w:sz w:val="22"/>
          <w:szCs w:val="22"/>
        </w:rPr>
        <w:t>met</w:t>
      </w:r>
      <w:r w:rsidR="00914523" w:rsidRPr="002F6354">
        <w:rPr>
          <w:rFonts w:eastAsia="Calibri" w:cstheme="minorHAnsi"/>
          <w:color w:val="000000" w:themeColor="text1"/>
          <w:sz w:val="22"/>
          <w:szCs w:val="22"/>
        </w:rPr>
        <w:t xml:space="preserve"> </w:t>
      </w:r>
      <w:r w:rsidR="00914523">
        <w:rPr>
          <w:rFonts w:eastAsia="Calibri" w:cstheme="minorHAnsi"/>
          <w:color w:val="000000" w:themeColor="text1"/>
          <w:sz w:val="22"/>
          <w:szCs w:val="22"/>
        </w:rPr>
        <w:t>most of the legislative goals</w:t>
      </w:r>
      <w:r w:rsidR="00914523" w:rsidRPr="002F6354">
        <w:rPr>
          <w:rFonts w:eastAsia="Calibri" w:cstheme="minorHAnsi"/>
          <w:color w:val="000000" w:themeColor="text1"/>
          <w:sz w:val="22"/>
          <w:szCs w:val="22"/>
        </w:rPr>
        <w:t xml:space="preserve">. The program </w:t>
      </w:r>
      <w:r w:rsidR="00914523" w:rsidRPr="002F6354">
        <w:rPr>
          <w:rFonts w:cstheme="minorHAnsi"/>
          <w:b/>
          <w:bCs/>
          <w:color w:val="000000" w:themeColor="text1"/>
          <w:sz w:val="22"/>
          <w:szCs w:val="22"/>
        </w:rPr>
        <w:t xml:space="preserve">increased access to behavioral health treatment for </w:t>
      </w:r>
      <w:r w:rsidR="00914523">
        <w:rPr>
          <w:rFonts w:cstheme="minorHAnsi"/>
          <w:b/>
          <w:bCs/>
          <w:color w:val="000000" w:themeColor="text1"/>
          <w:sz w:val="22"/>
          <w:szCs w:val="22"/>
        </w:rPr>
        <w:t>residents statewide</w:t>
      </w:r>
      <w:r w:rsidR="00914523" w:rsidRPr="002F6354">
        <w:rPr>
          <w:rFonts w:cstheme="minorHAnsi"/>
          <w:b/>
          <w:bCs/>
          <w:color w:val="000000" w:themeColor="text1"/>
          <w:sz w:val="22"/>
          <w:szCs w:val="22"/>
        </w:rPr>
        <w:t xml:space="preserve"> (4.3%)</w:t>
      </w:r>
      <w:r w:rsidR="00914523" w:rsidRPr="002F6354">
        <w:rPr>
          <w:rFonts w:cstheme="minorHAnsi"/>
          <w:color w:val="000000" w:themeColor="text1"/>
          <w:sz w:val="22"/>
          <w:szCs w:val="22"/>
        </w:rPr>
        <w:t xml:space="preserve">; </w:t>
      </w:r>
      <w:r w:rsidR="00914523" w:rsidRPr="002F6354">
        <w:rPr>
          <w:rFonts w:eastAsia="Calibri" w:cstheme="minorHAnsi"/>
          <w:color w:val="000000" w:themeColor="text1"/>
          <w:sz w:val="22"/>
          <w:szCs w:val="22"/>
        </w:rPr>
        <w:t>this is</w:t>
      </w:r>
      <w:r w:rsidR="00914523" w:rsidRPr="002F6354">
        <w:rPr>
          <w:rFonts w:cstheme="minorHAnsi"/>
          <w:color w:val="000000" w:themeColor="text1"/>
          <w:sz w:val="22"/>
          <w:szCs w:val="22"/>
        </w:rPr>
        <w:t xml:space="preserve"> proportionately higher in rural and </w:t>
      </w:r>
      <w:r w:rsidR="00914523" w:rsidRPr="00502F6A">
        <w:rPr>
          <w:rFonts w:cstheme="minorHAnsi"/>
          <w:color w:val="000000" w:themeColor="text1"/>
          <w:sz w:val="22"/>
          <w:szCs w:val="22"/>
        </w:rPr>
        <w:t>remote areas (23.4% and 18.3%, respectively) where substance use disorder treatment services have substantially increased. Racial and ethnic diversity of service users also increased, primarily by Hispanic/</w:t>
      </w:r>
      <w:r w:rsidR="00914523" w:rsidRPr="00502F6A">
        <w:rPr>
          <w:rFonts w:eastAsia="Calibri" w:cstheme="minorHAnsi"/>
          <w:sz w:val="22"/>
          <w:szCs w:val="22"/>
        </w:rPr>
        <w:t>Latino/a/x</w:t>
      </w:r>
      <w:r w:rsidR="00914523" w:rsidRPr="00502F6A">
        <w:rPr>
          <w:rFonts w:cstheme="minorHAnsi"/>
          <w:color w:val="000000" w:themeColor="text1"/>
          <w:sz w:val="22"/>
          <w:szCs w:val="22"/>
        </w:rPr>
        <w:t xml:space="preserve"> service users. The prospective payment system (PPS) model enhanced service delivery “outside the four walls” of the CCBHC clinics, </w:t>
      </w:r>
      <w:r w:rsidR="00914523">
        <w:rPr>
          <w:rFonts w:cstheme="minorHAnsi"/>
          <w:color w:val="000000" w:themeColor="text1"/>
          <w:sz w:val="22"/>
          <w:szCs w:val="22"/>
        </w:rPr>
        <w:t>enabling</w:t>
      </w:r>
      <w:r w:rsidR="00914523" w:rsidRPr="00502F6A">
        <w:rPr>
          <w:rFonts w:cstheme="minorHAnsi"/>
          <w:color w:val="000000" w:themeColor="text1"/>
          <w:sz w:val="22"/>
          <w:szCs w:val="22"/>
        </w:rPr>
        <w:t xml:space="preserve"> CCBHCs to engage service users in non-clinic settings. While all CCBHCs engage and provide services to underserved populations, there is variation </w:t>
      </w:r>
      <w:r w:rsidR="00914523">
        <w:rPr>
          <w:rFonts w:cstheme="minorHAnsi"/>
          <w:color w:val="000000" w:themeColor="text1"/>
          <w:sz w:val="22"/>
          <w:szCs w:val="22"/>
        </w:rPr>
        <w:t>across the</w:t>
      </w:r>
      <w:r w:rsidR="00914523" w:rsidRPr="00502F6A">
        <w:rPr>
          <w:rFonts w:cstheme="minorHAnsi"/>
          <w:color w:val="000000" w:themeColor="text1"/>
          <w:sz w:val="22"/>
          <w:szCs w:val="22"/>
        </w:rPr>
        <w:t xml:space="preserve"> clinic</w:t>
      </w:r>
      <w:r w:rsidR="00914523">
        <w:rPr>
          <w:rFonts w:cstheme="minorHAnsi"/>
          <w:color w:val="000000" w:themeColor="text1"/>
          <w:sz w:val="22"/>
          <w:szCs w:val="22"/>
        </w:rPr>
        <w:t>s in terms of</w:t>
      </w:r>
      <w:r w:rsidR="00914523" w:rsidRPr="00502F6A">
        <w:rPr>
          <w:rFonts w:cstheme="minorHAnsi"/>
          <w:color w:val="000000" w:themeColor="text1"/>
          <w:sz w:val="22"/>
          <w:szCs w:val="22"/>
        </w:rPr>
        <w:t xml:space="preserve"> implement</w:t>
      </w:r>
      <w:r w:rsidR="00914523">
        <w:rPr>
          <w:rFonts w:cstheme="minorHAnsi"/>
          <w:color w:val="000000" w:themeColor="text1"/>
          <w:sz w:val="22"/>
          <w:szCs w:val="22"/>
        </w:rPr>
        <w:t>ation of</w:t>
      </w:r>
      <w:r w:rsidR="00914523" w:rsidRPr="00502F6A">
        <w:rPr>
          <w:rFonts w:cstheme="minorHAnsi"/>
          <w:color w:val="000000" w:themeColor="text1"/>
          <w:sz w:val="22"/>
          <w:szCs w:val="22"/>
        </w:rPr>
        <w:t xml:space="preserve"> culturally and linguistically responsive outreach and engagement strategies and services</w:t>
      </w:r>
      <w:r w:rsidR="00914523">
        <w:rPr>
          <w:rFonts w:cstheme="minorHAnsi"/>
          <w:color w:val="000000" w:themeColor="text1"/>
          <w:sz w:val="22"/>
          <w:szCs w:val="22"/>
        </w:rPr>
        <w:t>.</w:t>
      </w:r>
      <w:r w:rsidR="00914523" w:rsidRPr="002F6354">
        <w:rPr>
          <w:rFonts w:cstheme="minorHAnsi"/>
          <w:color w:val="000000" w:themeColor="text1"/>
          <w:sz w:val="22"/>
          <w:szCs w:val="22"/>
        </w:rPr>
        <w:t xml:space="preserve"> </w:t>
      </w:r>
    </w:p>
    <w:p w14:paraId="73559D6F" w14:textId="77777777" w:rsidR="00790548" w:rsidRPr="005F06B5" w:rsidRDefault="00790548" w:rsidP="00790548">
      <w:pPr>
        <w:rPr>
          <w:rFonts w:cstheme="minorHAnsi"/>
          <w:color w:val="000000" w:themeColor="text1"/>
          <w:sz w:val="18"/>
          <w:szCs w:val="18"/>
        </w:rPr>
      </w:pPr>
    </w:p>
    <w:p w14:paraId="582139AC" w14:textId="77777777" w:rsidR="00914523" w:rsidRPr="002F6354" w:rsidRDefault="00914523" w:rsidP="00914523">
      <w:pPr>
        <w:pStyle w:val="ListParagraph"/>
        <w:ind w:left="0"/>
        <w:rPr>
          <w:rFonts w:cstheme="minorHAnsi"/>
          <w:color w:val="000000" w:themeColor="text1"/>
          <w:sz w:val="22"/>
          <w:szCs w:val="22"/>
        </w:rPr>
      </w:pPr>
      <w:r w:rsidRPr="002F6354">
        <w:rPr>
          <w:rFonts w:cstheme="minorHAnsi"/>
          <w:color w:val="000000" w:themeColor="text1"/>
          <w:sz w:val="22"/>
          <w:szCs w:val="22"/>
        </w:rPr>
        <w:t>The CCBHC model</w:t>
      </w:r>
      <w:r>
        <w:rPr>
          <w:rFonts w:cstheme="minorHAnsi"/>
          <w:color w:val="000000" w:themeColor="text1"/>
          <w:sz w:val="22"/>
          <w:szCs w:val="22"/>
        </w:rPr>
        <w:t xml:space="preserve"> </w:t>
      </w:r>
      <w:r w:rsidRPr="002F6354">
        <w:rPr>
          <w:rFonts w:cstheme="minorHAnsi"/>
          <w:color w:val="000000" w:themeColor="text1"/>
          <w:sz w:val="22"/>
          <w:szCs w:val="22"/>
        </w:rPr>
        <w:t xml:space="preserve">has enabled clinics to move toward </w:t>
      </w:r>
      <w:r w:rsidRPr="002F6354">
        <w:rPr>
          <w:rFonts w:cstheme="minorHAnsi"/>
          <w:b/>
          <w:bCs/>
          <w:color w:val="000000" w:themeColor="text1"/>
          <w:sz w:val="22"/>
          <w:szCs w:val="22"/>
        </w:rPr>
        <w:t>providing integrated physical and behavioral healthcare</w:t>
      </w:r>
      <w:r w:rsidRPr="002F6354">
        <w:rPr>
          <w:rFonts w:cstheme="minorHAnsi"/>
          <w:color w:val="000000" w:themeColor="text1"/>
          <w:sz w:val="22"/>
          <w:szCs w:val="22"/>
        </w:rPr>
        <w:t xml:space="preserve">, particularly with increased telehealth services during the COVID-19 pandemic. </w:t>
      </w:r>
      <w:r>
        <w:rPr>
          <w:rFonts w:cstheme="minorHAnsi"/>
          <w:color w:val="000000" w:themeColor="text1"/>
          <w:sz w:val="22"/>
          <w:szCs w:val="22"/>
        </w:rPr>
        <w:t>P</w:t>
      </w:r>
      <w:r w:rsidRPr="002F6354">
        <w:rPr>
          <w:rFonts w:cstheme="minorHAnsi"/>
          <w:color w:val="000000" w:themeColor="text1"/>
          <w:sz w:val="22"/>
          <w:szCs w:val="22"/>
        </w:rPr>
        <w:t>rimary care use increased up to 3.2%</w:t>
      </w:r>
      <w:r>
        <w:rPr>
          <w:rFonts w:cstheme="minorHAnsi"/>
          <w:color w:val="000000" w:themeColor="text1"/>
          <w:sz w:val="22"/>
          <w:szCs w:val="22"/>
        </w:rPr>
        <w:t>,</w:t>
      </w:r>
      <w:r w:rsidRPr="00542962">
        <w:rPr>
          <w:rFonts w:cstheme="minorHAnsi"/>
          <w:color w:val="000000" w:themeColor="text1"/>
          <w:sz w:val="22"/>
          <w:szCs w:val="22"/>
        </w:rPr>
        <w:t xml:space="preserve"> </w:t>
      </w:r>
      <w:r>
        <w:rPr>
          <w:rFonts w:cstheme="minorHAnsi"/>
          <w:color w:val="000000" w:themeColor="text1"/>
          <w:sz w:val="22"/>
          <w:szCs w:val="22"/>
        </w:rPr>
        <w:t>with Hispanic/</w:t>
      </w:r>
      <w:r w:rsidRPr="00710A26">
        <w:rPr>
          <w:rFonts w:eastAsia="Calibri" w:cstheme="minorHAnsi"/>
          <w:sz w:val="22"/>
          <w:szCs w:val="22"/>
        </w:rPr>
        <w:t>Latin</w:t>
      </w:r>
      <w:r>
        <w:rPr>
          <w:rFonts w:eastAsia="Calibri" w:cstheme="minorHAnsi"/>
          <w:sz w:val="22"/>
          <w:szCs w:val="22"/>
        </w:rPr>
        <w:t>o/a/x</w:t>
      </w:r>
      <w:r>
        <w:rPr>
          <w:rFonts w:cstheme="minorHAnsi"/>
          <w:color w:val="000000" w:themeColor="text1"/>
          <w:sz w:val="22"/>
          <w:szCs w:val="22"/>
        </w:rPr>
        <w:t xml:space="preserve"> service users having generally higher increases. </w:t>
      </w:r>
      <w:r>
        <w:rPr>
          <w:color w:val="000000" w:themeColor="text1"/>
          <w:sz w:val="22"/>
          <w:szCs w:val="22"/>
        </w:rPr>
        <w:t>T</w:t>
      </w:r>
      <w:r w:rsidRPr="002F6354">
        <w:rPr>
          <w:color w:val="000000" w:themeColor="text1"/>
          <w:sz w:val="22"/>
          <w:szCs w:val="22"/>
        </w:rPr>
        <w:t xml:space="preserve">he integration of primary care increased </w:t>
      </w:r>
      <w:r>
        <w:rPr>
          <w:color w:val="000000" w:themeColor="text1"/>
          <w:sz w:val="22"/>
          <w:szCs w:val="22"/>
        </w:rPr>
        <w:t>service users’</w:t>
      </w:r>
      <w:r w:rsidRPr="002F6354">
        <w:rPr>
          <w:color w:val="000000" w:themeColor="text1"/>
          <w:sz w:val="22"/>
          <w:szCs w:val="22"/>
        </w:rPr>
        <w:t xml:space="preserve"> access to care and facilitated the delivery of holistic, person-centered care. </w:t>
      </w:r>
      <w:r>
        <w:rPr>
          <w:rFonts w:cstheme="minorHAnsi"/>
          <w:color w:val="000000" w:themeColor="text1"/>
          <w:sz w:val="22"/>
          <w:szCs w:val="22"/>
        </w:rPr>
        <w:t>C</w:t>
      </w:r>
      <w:r w:rsidRPr="002F6354">
        <w:rPr>
          <w:rFonts w:cstheme="minorHAnsi"/>
          <w:color w:val="000000" w:themeColor="text1"/>
          <w:sz w:val="22"/>
          <w:szCs w:val="22"/>
        </w:rPr>
        <w:t>are coordination has been critical for</w:t>
      </w:r>
      <w:r w:rsidRPr="002F6354">
        <w:rPr>
          <w:color w:val="000000" w:themeColor="text1"/>
          <w:sz w:val="22"/>
          <w:szCs w:val="22"/>
        </w:rPr>
        <w:t xml:space="preserve"> connecting service users with limited resources to </w:t>
      </w:r>
      <w:r>
        <w:rPr>
          <w:color w:val="000000" w:themeColor="text1"/>
          <w:sz w:val="22"/>
          <w:szCs w:val="22"/>
        </w:rPr>
        <w:t>local</w:t>
      </w:r>
      <w:r w:rsidRPr="002F6354">
        <w:rPr>
          <w:color w:val="000000" w:themeColor="text1"/>
          <w:sz w:val="22"/>
          <w:szCs w:val="22"/>
        </w:rPr>
        <w:t xml:space="preserve"> specialty care and social services</w:t>
      </w:r>
      <w:r w:rsidRPr="002F6354">
        <w:rPr>
          <w:rFonts w:cstheme="minorHAnsi"/>
          <w:color w:val="000000" w:themeColor="text1"/>
          <w:sz w:val="22"/>
          <w:szCs w:val="22"/>
        </w:rPr>
        <w:t xml:space="preserve">, </w:t>
      </w:r>
      <w:r>
        <w:rPr>
          <w:rFonts w:cstheme="minorHAnsi"/>
          <w:color w:val="000000" w:themeColor="text1"/>
          <w:sz w:val="22"/>
          <w:szCs w:val="22"/>
        </w:rPr>
        <w:t xml:space="preserve">but </w:t>
      </w:r>
      <w:r w:rsidRPr="002F6354">
        <w:rPr>
          <w:rFonts w:cstheme="minorHAnsi"/>
          <w:color w:val="000000" w:themeColor="text1"/>
          <w:sz w:val="22"/>
          <w:szCs w:val="22"/>
        </w:rPr>
        <w:t xml:space="preserve">this has not been accomplished uniformly across all 12 CCBHCs. </w:t>
      </w:r>
      <w:r>
        <w:rPr>
          <w:rFonts w:cstheme="minorHAnsi"/>
          <w:color w:val="000000" w:themeColor="text1"/>
          <w:sz w:val="22"/>
          <w:szCs w:val="22"/>
        </w:rPr>
        <w:t>S</w:t>
      </w:r>
      <w:r w:rsidRPr="002F6354">
        <w:rPr>
          <w:rFonts w:cstheme="minorHAnsi"/>
          <w:color w:val="000000" w:themeColor="text1"/>
          <w:sz w:val="22"/>
          <w:szCs w:val="22"/>
        </w:rPr>
        <w:t xml:space="preserve">ome CCBHCs </w:t>
      </w:r>
      <w:r>
        <w:rPr>
          <w:rFonts w:cstheme="minorHAnsi"/>
          <w:color w:val="000000" w:themeColor="text1"/>
          <w:sz w:val="22"/>
          <w:szCs w:val="22"/>
        </w:rPr>
        <w:t xml:space="preserve">struggled to hire primary care </w:t>
      </w:r>
      <w:r w:rsidRPr="002F6354">
        <w:rPr>
          <w:rFonts w:cstheme="minorHAnsi"/>
          <w:color w:val="000000" w:themeColor="text1"/>
          <w:sz w:val="22"/>
          <w:szCs w:val="22"/>
        </w:rPr>
        <w:t xml:space="preserve">providers and/or maintain a patient panel sufficient to support </w:t>
      </w:r>
      <w:r>
        <w:rPr>
          <w:rFonts w:cstheme="minorHAnsi"/>
          <w:color w:val="000000" w:themeColor="text1"/>
          <w:sz w:val="22"/>
          <w:szCs w:val="22"/>
        </w:rPr>
        <w:t>Oregon’s</w:t>
      </w:r>
      <w:r w:rsidRPr="002F6354">
        <w:rPr>
          <w:rFonts w:cstheme="minorHAnsi"/>
          <w:color w:val="000000" w:themeColor="text1"/>
          <w:sz w:val="22"/>
          <w:szCs w:val="22"/>
        </w:rPr>
        <w:t xml:space="preserve"> requirement </w:t>
      </w:r>
      <w:r>
        <w:rPr>
          <w:rFonts w:cstheme="minorHAnsi"/>
          <w:color w:val="000000" w:themeColor="text1"/>
          <w:sz w:val="22"/>
          <w:szCs w:val="22"/>
        </w:rPr>
        <w:t xml:space="preserve">for provision of </w:t>
      </w:r>
      <w:r w:rsidRPr="002F6354">
        <w:rPr>
          <w:rFonts w:cstheme="minorHAnsi"/>
          <w:color w:val="000000" w:themeColor="text1"/>
          <w:sz w:val="22"/>
          <w:szCs w:val="22"/>
        </w:rPr>
        <w:t>20 hour</w:t>
      </w:r>
      <w:r>
        <w:rPr>
          <w:rFonts w:cstheme="minorHAnsi"/>
          <w:color w:val="000000" w:themeColor="text1"/>
          <w:sz w:val="22"/>
          <w:szCs w:val="22"/>
        </w:rPr>
        <w:t>s</w:t>
      </w:r>
      <w:r w:rsidRPr="002F6354">
        <w:rPr>
          <w:rFonts w:cstheme="minorHAnsi"/>
          <w:color w:val="000000" w:themeColor="text1"/>
          <w:sz w:val="22"/>
          <w:szCs w:val="22"/>
        </w:rPr>
        <w:t xml:space="preserve"> per week </w:t>
      </w:r>
      <w:r>
        <w:rPr>
          <w:rFonts w:cstheme="minorHAnsi"/>
          <w:color w:val="000000" w:themeColor="text1"/>
          <w:sz w:val="22"/>
          <w:szCs w:val="22"/>
        </w:rPr>
        <w:t xml:space="preserve">of </w:t>
      </w:r>
      <w:r w:rsidRPr="002F6354">
        <w:rPr>
          <w:rFonts w:cstheme="minorHAnsi"/>
          <w:color w:val="000000" w:themeColor="text1"/>
          <w:sz w:val="22"/>
          <w:szCs w:val="22"/>
        </w:rPr>
        <w:t>primary care</w:t>
      </w:r>
      <w:r>
        <w:rPr>
          <w:rFonts w:cstheme="minorHAnsi"/>
          <w:color w:val="000000" w:themeColor="text1"/>
          <w:sz w:val="22"/>
          <w:szCs w:val="22"/>
        </w:rPr>
        <w:t xml:space="preserve"> services</w:t>
      </w:r>
      <w:r w:rsidRPr="002F6354">
        <w:rPr>
          <w:rFonts w:cstheme="minorHAnsi"/>
          <w:color w:val="000000" w:themeColor="text1"/>
          <w:sz w:val="22"/>
          <w:szCs w:val="22"/>
        </w:rPr>
        <w:t xml:space="preserve">. </w:t>
      </w:r>
    </w:p>
    <w:p w14:paraId="3D8014EA" w14:textId="77777777" w:rsidR="00790548" w:rsidRPr="005F06B5" w:rsidRDefault="00790548" w:rsidP="00790548">
      <w:pPr>
        <w:rPr>
          <w:rFonts w:cstheme="minorHAnsi"/>
          <w:color w:val="000000" w:themeColor="text1"/>
          <w:sz w:val="18"/>
          <w:szCs w:val="18"/>
        </w:rPr>
      </w:pPr>
    </w:p>
    <w:p w14:paraId="315DBFFB" w14:textId="17BCE2B9" w:rsidR="00272BC7" w:rsidRDefault="00914523" w:rsidP="00790548">
      <w:pPr>
        <w:rPr>
          <w:rFonts w:cstheme="minorHAnsi"/>
          <w:color w:val="000000" w:themeColor="text1"/>
          <w:sz w:val="22"/>
          <w:szCs w:val="22"/>
        </w:rPr>
      </w:pPr>
      <w:r w:rsidRPr="002F6354">
        <w:rPr>
          <w:rFonts w:cstheme="minorHAnsi"/>
          <w:color w:val="000000" w:themeColor="text1"/>
          <w:sz w:val="22"/>
          <w:szCs w:val="22"/>
        </w:rPr>
        <w:t xml:space="preserve">The CCBHCs </w:t>
      </w:r>
      <w:r w:rsidRPr="002F6354">
        <w:rPr>
          <w:rFonts w:cstheme="minorHAnsi"/>
          <w:b/>
          <w:bCs/>
          <w:color w:val="000000" w:themeColor="text1"/>
          <w:sz w:val="22"/>
          <w:szCs w:val="22"/>
        </w:rPr>
        <w:t xml:space="preserve">offer services that result in improved individual and community health outcomes. </w:t>
      </w:r>
      <w:r w:rsidRPr="002F6354">
        <w:rPr>
          <w:rFonts w:cstheme="minorHAnsi"/>
          <w:color w:val="000000" w:themeColor="text1"/>
          <w:sz w:val="22"/>
          <w:szCs w:val="22"/>
        </w:rPr>
        <w:t xml:space="preserve">Improvements in treatment experience were found for CCBHC service users, </w:t>
      </w:r>
      <w:r>
        <w:rPr>
          <w:rFonts w:cstheme="minorHAnsi"/>
          <w:color w:val="000000" w:themeColor="text1"/>
          <w:sz w:val="22"/>
          <w:szCs w:val="22"/>
        </w:rPr>
        <w:t>as well as</w:t>
      </w:r>
      <w:r w:rsidRPr="002F6354">
        <w:rPr>
          <w:rFonts w:cstheme="minorHAnsi"/>
          <w:color w:val="000000" w:themeColor="text1"/>
          <w:sz w:val="22"/>
          <w:szCs w:val="22"/>
        </w:rPr>
        <w:t xml:space="preserve"> decreases in mental health emergency department and inpatient utilization (14.1% and 22.4%, respectively); both </w:t>
      </w:r>
      <w:r w:rsidRPr="00502F6A">
        <w:rPr>
          <w:rFonts w:cstheme="minorHAnsi"/>
          <w:color w:val="000000" w:themeColor="text1"/>
          <w:sz w:val="22"/>
          <w:szCs w:val="22"/>
        </w:rPr>
        <w:t>are considered positive treatment outcomes that lead to improved overall community health and also offset overall costs. Improved treatment experience was found for Black/African American adults and children, as well as Hispanic/</w:t>
      </w:r>
      <w:r w:rsidRPr="00502F6A">
        <w:rPr>
          <w:rFonts w:eastAsia="Calibri" w:cstheme="minorHAnsi"/>
          <w:sz w:val="22"/>
          <w:szCs w:val="22"/>
        </w:rPr>
        <w:t>Latino/a/x and American Indian/</w:t>
      </w:r>
      <w:r>
        <w:rPr>
          <w:rFonts w:eastAsia="Calibri" w:cstheme="minorHAnsi"/>
          <w:sz w:val="22"/>
          <w:szCs w:val="22"/>
        </w:rPr>
        <w:t>Alaskan</w:t>
      </w:r>
      <w:r w:rsidRPr="00502F6A">
        <w:rPr>
          <w:rFonts w:eastAsia="Calibri" w:cstheme="minorHAnsi"/>
          <w:sz w:val="22"/>
          <w:szCs w:val="22"/>
        </w:rPr>
        <w:t xml:space="preserve"> </w:t>
      </w:r>
      <w:r>
        <w:rPr>
          <w:rFonts w:eastAsia="Calibri" w:cstheme="minorHAnsi"/>
          <w:sz w:val="22"/>
          <w:szCs w:val="22"/>
        </w:rPr>
        <w:t>Native</w:t>
      </w:r>
      <w:r w:rsidRPr="00502F6A">
        <w:rPr>
          <w:rFonts w:eastAsia="Calibri" w:cstheme="minorHAnsi"/>
          <w:sz w:val="22"/>
          <w:szCs w:val="22"/>
        </w:rPr>
        <w:t xml:space="preserve"> children.</w:t>
      </w:r>
      <w:r w:rsidRPr="00502F6A">
        <w:rPr>
          <w:rFonts w:cstheme="minorHAnsi"/>
          <w:color w:val="000000" w:themeColor="text1"/>
          <w:sz w:val="22"/>
          <w:szCs w:val="22"/>
        </w:rPr>
        <w:t xml:space="preserve"> The PPS model supported positive individual and community health outcomes as it enabled CCBHCs to offer non-</w:t>
      </w:r>
      <w:r>
        <w:rPr>
          <w:rFonts w:cstheme="minorHAnsi"/>
          <w:color w:val="000000" w:themeColor="text1"/>
          <w:sz w:val="22"/>
          <w:szCs w:val="22"/>
        </w:rPr>
        <w:t>traditional service delivery to reach service users who otherwise might not have accessed services.</w:t>
      </w:r>
      <w:r w:rsidRPr="00B90E38">
        <w:rPr>
          <w:rFonts w:cstheme="minorHAnsi"/>
          <w:color w:val="000000" w:themeColor="text1"/>
          <w:sz w:val="22"/>
          <w:szCs w:val="22"/>
        </w:rPr>
        <w:t xml:space="preserve"> </w:t>
      </w:r>
      <w:r>
        <w:rPr>
          <w:rFonts w:cstheme="minorHAnsi"/>
          <w:color w:val="000000" w:themeColor="text1"/>
          <w:sz w:val="22"/>
          <w:szCs w:val="22"/>
        </w:rPr>
        <w:t>S</w:t>
      </w:r>
      <w:r w:rsidRPr="002F6354">
        <w:rPr>
          <w:rFonts w:cstheme="minorHAnsi"/>
          <w:color w:val="000000" w:themeColor="text1"/>
          <w:sz w:val="22"/>
          <w:szCs w:val="22"/>
        </w:rPr>
        <w:t xml:space="preserve">ervice users reported positive </w:t>
      </w:r>
      <w:r>
        <w:rPr>
          <w:rFonts w:cstheme="minorHAnsi"/>
          <w:color w:val="000000" w:themeColor="text1"/>
          <w:sz w:val="22"/>
          <w:szCs w:val="22"/>
        </w:rPr>
        <w:t>experiences with CCBHCs</w:t>
      </w:r>
      <w:r w:rsidRPr="002F6354">
        <w:rPr>
          <w:rFonts w:cstheme="minorHAnsi"/>
          <w:color w:val="000000" w:themeColor="text1"/>
          <w:sz w:val="22"/>
          <w:szCs w:val="22"/>
        </w:rPr>
        <w:t xml:space="preserve"> </w:t>
      </w:r>
      <w:r>
        <w:rPr>
          <w:rFonts w:cstheme="minorHAnsi"/>
          <w:color w:val="000000" w:themeColor="text1"/>
          <w:sz w:val="22"/>
          <w:szCs w:val="22"/>
        </w:rPr>
        <w:t>and</w:t>
      </w:r>
      <w:r w:rsidRPr="002F6354">
        <w:rPr>
          <w:rFonts w:cstheme="minorHAnsi"/>
          <w:color w:val="000000" w:themeColor="text1"/>
          <w:sz w:val="22"/>
          <w:szCs w:val="22"/>
        </w:rPr>
        <w:t xml:space="preserve"> also identified </w:t>
      </w:r>
      <w:r>
        <w:rPr>
          <w:rFonts w:cstheme="minorHAnsi"/>
          <w:color w:val="000000" w:themeColor="text1"/>
          <w:sz w:val="22"/>
          <w:szCs w:val="22"/>
        </w:rPr>
        <w:t xml:space="preserve">community </w:t>
      </w:r>
      <w:r w:rsidRPr="002F6354">
        <w:rPr>
          <w:rFonts w:cstheme="minorHAnsi"/>
          <w:color w:val="000000" w:themeColor="text1"/>
          <w:sz w:val="22"/>
          <w:szCs w:val="22"/>
        </w:rPr>
        <w:t xml:space="preserve">barriers to care, including limited access to </w:t>
      </w:r>
      <w:r>
        <w:rPr>
          <w:rFonts w:cstheme="minorHAnsi"/>
          <w:color w:val="000000" w:themeColor="text1"/>
          <w:sz w:val="22"/>
          <w:szCs w:val="22"/>
        </w:rPr>
        <w:t>behavioral health</w:t>
      </w:r>
      <w:r w:rsidRPr="002F6354">
        <w:rPr>
          <w:rFonts w:cstheme="minorHAnsi"/>
          <w:color w:val="000000" w:themeColor="text1"/>
          <w:sz w:val="22"/>
          <w:szCs w:val="22"/>
        </w:rPr>
        <w:t xml:space="preserve"> services, </w:t>
      </w:r>
      <w:r>
        <w:rPr>
          <w:rFonts w:cstheme="minorHAnsi"/>
          <w:color w:val="000000" w:themeColor="text1"/>
          <w:sz w:val="22"/>
          <w:szCs w:val="22"/>
        </w:rPr>
        <w:t xml:space="preserve">high </w:t>
      </w:r>
      <w:r w:rsidRPr="002F6354">
        <w:rPr>
          <w:rFonts w:cstheme="minorHAnsi"/>
          <w:color w:val="000000" w:themeColor="text1"/>
          <w:sz w:val="22"/>
          <w:szCs w:val="22"/>
        </w:rPr>
        <w:t xml:space="preserve">cost, and </w:t>
      </w:r>
      <w:r>
        <w:rPr>
          <w:rFonts w:cstheme="minorHAnsi"/>
          <w:color w:val="000000" w:themeColor="text1"/>
          <w:sz w:val="22"/>
          <w:szCs w:val="22"/>
        </w:rPr>
        <w:t xml:space="preserve">inadequate </w:t>
      </w:r>
      <w:r w:rsidRPr="002F6354">
        <w:rPr>
          <w:rFonts w:cstheme="minorHAnsi"/>
          <w:color w:val="000000" w:themeColor="text1"/>
          <w:sz w:val="22"/>
          <w:szCs w:val="22"/>
        </w:rPr>
        <w:t xml:space="preserve">transportation. CCBHCs </w:t>
      </w:r>
      <w:r>
        <w:rPr>
          <w:rFonts w:cstheme="minorHAnsi"/>
          <w:color w:val="000000" w:themeColor="text1"/>
          <w:sz w:val="22"/>
          <w:szCs w:val="22"/>
        </w:rPr>
        <w:t xml:space="preserve">strengthened their partnerships in the community </w:t>
      </w:r>
      <w:r w:rsidRPr="002F6354">
        <w:rPr>
          <w:rFonts w:cstheme="minorHAnsi"/>
          <w:color w:val="000000" w:themeColor="text1"/>
          <w:sz w:val="22"/>
          <w:szCs w:val="22"/>
        </w:rPr>
        <w:t xml:space="preserve">by </w:t>
      </w:r>
      <w:r>
        <w:rPr>
          <w:rFonts w:cstheme="minorHAnsi"/>
          <w:color w:val="000000" w:themeColor="text1"/>
          <w:sz w:val="22"/>
          <w:szCs w:val="22"/>
        </w:rPr>
        <w:t>collaborat</w:t>
      </w:r>
      <w:r w:rsidRPr="002F6354">
        <w:rPr>
          <w:rFonts w:cstheme="minorHAnsi"/>
          <w:color w:val="000000" w:themeColor="text1"/>
          <w:sz w:val="22"/>
          <w:szCs w:val="22"/>
        </w:rPr>
        <w:t>ing with</w:t>
      </w:r>
      <w:r>
        <w:rPr>
          <w:rFonts w:cstheme="minorHAnsi"/>
          <w:color w:val="000000" w:themeColor="text1"/>
          <w:sz w:val="22"/>
          <w:szCs w:val="22"/>
        </w:rPr>
        <w:t xml:space="preserve"> community-based organizations</w:t>
      </w:r>
      <w:r w:rsidRPr="002F6354">
        <w:rPr>
          <w:rFonts w:cstheme="minorHAnsi"/>
          <w:color w:val="000000" w:themeColor="text1"/>
          <w:sz w:val="22"/>
          <w:szCs w:val="22"/>
        </w:rPr>
        <w:t xml:space="preserve"> </w:t>
      </w:r>
      <w:r>
        <w:rPr>
          <w:rFonts w:cstheme="minorHAnsi"/>
          <w:color w:val="000000" w:themeColor="text1"/>
          <w:sz w:val="22"/>
          <w:szCs w:val="22"/>
        </w:rPr>
        <w:t>(</w:t>
      </w:r>
      <w:r w:rsidRPr="002F6354">
        <w:rPr>
          <w:rFonts w:cstheme="minorHAnsi"/>
          <w:color w:val="000000" w:themeColor="text1"/>
          <w:sz w:val="22"/>
          <w:szCs w:val="22"/>
        </w:rPr>
        <w:t>CBOs</w:t>
      </w:r>
      <w:r>
        <w:rPr>
          <w:rFonts w:cstheme="minorHAnsi"/>
          <w:color w:val="000000" w:themeColor="text1"/>
          <w:sz w:val="22"/>
          <w:szCs w:val="22"/>
        </w:rPr>
        <w:t>)</w:t>
      </w:r>
      <w:r w:rsidRPr="002F6354">
        <w:rPr>
          <w:rFonts w:cstheme="minorHAnsi"/>
          <w:color w:val="000000" w:themeColor="text1"/>
          <w:sz w:val="22"/>
          <w:szCs w:val="22"/>
        </w:rPr>
        <w:t xml:space="preserve"> and participating in community health events</w:t>
      </w:r>
      <w:r>
        <w:rPr>
          <w:rFonts w:cstheme="minorHAnsi"/>
          <w:color w:val="000000" w:themeColor="text1"/>
          <w:sz w:val="22"/>
          <w:szCs w:val="22"/>
        </w:rPr>
        <w:t xml:space="preserve">. However, </w:t>
      </w:r>
      <w:r w:rsidRPr="002F6354">
        <w:rPr>
          <w:rFonts w:cstheme="minorHAnsi"/>
          <w:color w:val="000000" w:themeColor="text1"/>
          <w:sz w:val="22"/>
          <w:szCs w:val="22"/>
        </w:rPr>
        <w:t xml:space="preserve">many community members </w:t>
      </w:r>
      <w:r>
        <w:rPr>
          <w:rFonts w:cstheme="minorHAnsi"/>
          <w:color w:val="000000" w:themeColor="text1"/>
          <w:sz w:val="22"/>
          <w:szCs w:val="22"/>
        </w:rPr>
        <w:t xml:space="preserve">and </w:t>
      </w:r>
      <w:r w:rsidRPr="002F6354">
        <w:rPr>
          <w:rFonts w:cstheme="minorHAnsi"/>
          <w:color w:val="000000" w:themeColor="text1"/>
          <w:sz w:val="22"/>
          <w:szCs w:val="22"/>
        </w:rPr>
        <w:t>CBO</w:t>
      </w:r>
      <w:r>
        <w:rPr>
          <w:rFonts w:cstheme="minorHAnsi"/>
          <w:color w:val="000000" w:themeColor="text1"/>
          <w:sz w:val="22"/>
          <w:szCs w:val="22"/>
        </w:rPr>
        <w:t>s</w:t>
      </w:r>
      <w:r w:rsidRPr="002F6354">
        <w:rPr>
          <w:rFonts w:cstheme="minorHAnsi"/>
          <w:color w:val="000000" w:themeColor="text1"/>
          <w:sz w:val="22"/>
          <w:szCs w:val="22"/>
        </w:rPr>
        <w:t xml:space="preserve"> </w:t>
      </w:r>
      <w:r>
        <w:rPr>
          <w:rFonts w:cstheme="minorHAnsi"/>
          <w:color w:val="000000" w:themeColor="text1"/>
          <w:sz w:val="22"/>
          <w:szCs w:val="22"/>
        </w:rPr>
        <w:t>we</w:t>
      </w:r>
      <w:r w:rsidRPr="002F6354">
        <w:rPr>
          <w:rFonts w:cstheme="minorHAnsi"/>
          <w:color w:val="000000" w:themeColor="text1"/>
          <w:sz w:val="22"/>
          <w:szCs w:val="22"/>
        </w:rPr>
        <w:t xml:space="preserve">re not aware of </w:t>
      </w:r>
      <w:r>
        <w:rPr>
          <w:rFonts w:cstheme="minorHAnsi"/>
          <w:color w:val="000000" w:themeColor="text1"/>
          <w:sz w:val="22"/>
          <w:szCs w:val="22"/>
        </w:rPr>
        <w:t>the unique attributes of</w:t>
      </w:r>
      <w:r w:rsidRPr="002F6354">
        <w:rPr>
          <w:rFonts w:cstheme="minorHAnsi"/>
          <w:color w:val="000000" w:themeColor="text1"/>
          <w:sz w:val="22"/>
          <w:szCs w:val="22"/>
        </w:rPr>
        <w:t xml:space="preserve"> CCBHC</w:t>
      </w:r>
      <w:r>
        <w:rPr>
          <w:rFonts w:cstheme="minorHAnsi"/>
          <w:color w:val="000000" w:themeColor="text1"/>
          <w:sz w:val="22"/>
          <w:szCs w:val="22"/>
        </w:rPr>
        <w:t>s</w:t>
      </w:r>
      <w:r w:rsidRPr="002F6354">
        <w:rPr>
          <w:rFonts w:cstheme="minorHAnsi"/>
          <w:color w:val="000000" w:themeColor="text1"/>
          <w:sz w:val="22"/>
          <w:szCs w:val="22"/>
        </w:rPr>
        <w:t xml:space="preserve"> </w:t>
      </w:r>
      <w:r>
        <w:rPr>
          <w:rFonts w:cstheme="minorHAnsi"/>
          <w:color w:val="000000" w:themeColor="text1"/>
          <w:sz w:val="22"/>
          <w:szCs w:val="22"/>
        </w:rPr>
        <w:t>as</w:t>
      </w:r>
      <w:r w:rsidRPr="002F6354">
        <w:rPr>
          <w:rFonts w:cstheme="minorHAnsi"/>
          <w:color w:val="000000" w:themeColor="text1"/>
          <w:sz w:val="22"/>
          <w:szCs w:val="22"/>
        </w:rPr>
        <w:t xml:space="preserve"> compared to other behavioral health clinics</w:t>
      </w:r>
      <w:r>
        <w:rPr>
          <w:rFonts w:cstheme="minorHAnsi"/>
          <w:color w:val="000000" w:themeColor="text1"/>
          <w:sz w:val="22"/>
          <w:szCs w:val="22"/>
        </w:rPr>
        <w:t>.</w:t>
      </w:r>
    </w:p>
    <w:p w14:paraId="445299A4" w14:textId="77777777" w:rsidR="00914523" w:rsidRPr="00B83410" w:rsidRDefault="00914523" w:rsidP="00790548">
      <w:pPr>
        <w:rPr>
          <w:rFonts w:cstheme="minorHAnsi"/>
          <w:color w:val="000000" w:themeColor="text1"/>
          <w:sz w:val="15"/>
          <w:szCs w:val="15"/>
        </w:rPr>
      </w:pPr>
    </w:p>
    <w:p w14:paraId="1DAAD852" w14:textId="2896E5A8" w:rsidR="00914523" w:rsidRPr="002F6354" w:rsidRDefault="00914523" w:rsidP="00914523">
      <w:pPr>
        <w:rPr>
          <w:rFonts w:eastAsia="Calibri" w:cstheme="minorHAnsi"/>
          <w:color w:val="000000" w:themeColor="text1"/>
          <w:sz w:val="22"/>
          <w:szCs w:val="22"/>
        </w:rPr>
      </w:pPr>
      <w:r w:rsidRPr="002F6354">
        <w:rPr>
          <w:rFonts w:cstheme="minorHAnsi"/>
          <w:color w:val="000000" w:themeColor="text1"/>
          <w:sz w:val="22"/>
          <w:szCs w:val="22"/>
        </w:rPr>
        <w:t>CCBHCs’ activities result in cost savings in some service areas (up to 16.1% for hospital inpatient</w:t>
      </w:r>
      <w:r>
        <w:rPr>
          <w:rFonts w:cstheme="minorHAnsi"/>
          <w:color w:val="000000" w:themeColor="text1"/>
          <w:sz w:val="22"/>
          <w:szCs w:val="22"/>
        </w:rPr>
        <w:t xml:space="preserve"> services</w:t>
      </w:r>
      <w:r w:rsidRPr="002F6354">
        <w:rPr>
          <w:rFonts w:cstheme="minorHAnsi"/>
          <w:color w:val="000000" w:themeColor="text1"/>
          <w:sz w:val="22"/>
          <w:szCs w:val="22"/>
        </w:rPr>
        <w:t xml:space="preserve">) but </w:t>
      </w:r>
      <w:r w:rsidRPr="002F6354">
        <w:rPr>
          <w:rFonts w:cstheme="minorHAnsi"/>
          <w:b/>
          <w:bCs/>
          <w:color w:val="000000" w:themeColor="text1"/>
          <w:sz w:val="22"/>
          <w:szCs w:val="22"/>
        </w:rPr>
        <w:t>do not</w:t>
      </w:r>
      <w:r w:rsidRPr="002F6354">
        <w:rPr>
          <w:rFonts w:cstheme="minorHAnsi"/>
          <w:color w:val="000000" w:themeColor="text1"/>
          <w:sz w:val="22"/>
          <w:szCs w:val="22"/>
        </w:rPr>
        <w:t xml:space="preserve"> </w:t>
      </w:r>
      <w:r w:rsidRPr="002F6354">
        <w:rPr>
          <w:rFonts w:cstheme="minorHAnsi"/>
          <w:b/>
          <w:bCs/>
          <w:color w:val="000000" w:themeColor="text1"/>
          <w:sz w:val="22"/>
          <w:szCs w:val="22"/>
        </w:rPr>
        <w:t xml:space="preserve">reduce the overall costs of care </w:t>
      </w:r>
      <w:r w:rsidRPr="002F6354">
        <w:rPr>
          <w:rFonts w:cstheme="minorHAnsi"/>
          <w:bCs/>
          <w:color w:val="000000" w:themeColor="text1"/>
          <w:sz w:val="22"/>
          <w:szCs w:val="22"/>
        </w:rPr>
        <w:t>or</w:t>
      </w:r>
      <w:r w:rsidRPr="002F6354">
        <w:rPr>
          <w:rFonts w:cstheme="minorHAnsi"/>
          <w:b/>
          <w:bCs/>
          <w:color w:val="000000" w:themeColor="text1"/>
          <w:sz w:val="22"/>
          <w:szCs w:val="22"/>
        </w:rPr>
        <w:t xml:space="preserve"> the cost of care for CCO members</w:t>
      </w:r>
      <w:r w:rsidRPr="002F6354">
        <w:rPr>
          <w:rFonts w:cstheme="minorHAnsi"/>
          <w:color w:val="000000" w:themeColor="text1"/>
          <w:sz w:val="22"/>
          <w:szCs w:val="22"/>
        </w:rPr>
        <w:t xml:space="preserve">. </w:t>
      </w:r>
      <w:r w:rsidRPr="002F6354">
        <w:rPr>
          <w:rFonts w:eastAsia="Calibri" w:cstheme="minorHAnsi"/>
          <w:color w:val="000000" w:themeColor="text1"/>
          <w:sz w:val="22"/>
          <w:szCs w:val="22"/>
        </w:rPr>
        <w:t xml:space="preserve">In </w:t>
      </w:r>
      <w:r>
        <w:rPr>
          <w:rFonts w:eastAsia="Calibri" w:cstheme="minorHAnsi"/>
          <w:color w:val="000000" w:themeColor="text1"/>
          <w:sz w:val="22"/>
          <w:szCs w:val="22"/>
        </w:rPr>
        <w:t>Oregon’s</w:t>
      </w:r>
      <w:r w:rsidRPr="002F6354">
        <w:rPr>
          <w:rFonts w:eastAsia="Calibri" w:cstheme="minorHAnsi"/>
          <w:color w:val="000000" w:themeColor="text1"/>
          <w:sz w:val="22"/>
          <w:szCs w:val="22"/>
        </w:rPr>
        <w:t xml:space="preserve"> historically underfunded behavioral health system, an increase in cost </w:t>
      </w:r>
      <w:r>
        <w:rPr>
          <w:rFonts w:eastAsia="Calibri" w:cstheme="minorHAnsi"/>
          <w:color w:val="000000" w:themeColor="text1"/>
          <w:sz w:val="22"/>
          <w:szCs w:val="22"/>
        </w:rPr>
        <w:t xml:space="preserve">per person </w:t>
      </w:r>
      <w:r w:rsidRPr="002F6354">
        <w:rPr>
          <w:rFonts w:eastAsia="Calibri" w:cstheme="minorHAnsi"/>
          <w:color w:val="000000" w:themeColor="text1"/>
          <w:sz w:val="22"/>
          <w:szCs w:val="22"/>
        </w:rPr>
        <w:t xml:space="preserve">(up to 14.9%) </w:t>
      </w:r>
      <w:r>
        <w:rPr>
          <w:rFonts w:eastAsia="Calibri" w:cstheme="minorHAnsi"/>
          <w:color w:val="000000" w:themeColor="text1"/>
          <w:sz w:val="22"/>
          <w:szCs w:val="22"/>
        </w:rPr>
        <w:t>likely reflects unmet service needs.</w:t>
      </w:r>
      <w:r w:rsidRPr="002F6354">
        <w:rPr>
          <w:rFonts w:eastAsia="Calibri" w:cstheme="minorHAnsi"/>
          <w:color w:val="000000" w:themeColor="text1"/>
          <w:sz w:val="22"/>
          <w:szCs w:val="22"/>
        </w:rPr>
        <w:t xml:space="preserve"> </w:t>
      </w:r>
      <w:r>
        <w:rPr>
          <w:rFonts w:cstheme="minorHAnsi"/>
          <w:color w:val="000000" w:themeColor="text1"/>
          <w:sz w:val="22"/>
          <w:szCs w:val="22"/>
        </w:rPr>
        <w:t>This</w:t>
      </w:r>
      <w:r w:rsidRPr="002F6354">
        <w:rPr>
          <w:rFonts w:cstheme="minorHAnsi"/>
          <w:color w:val="000000" w:themeColor="text1"/>
          <w:sz w:val="22"/>
          <w:szCs w:val="22"/>
        </w:rPr>
        <w:t xml:space="preserve"> underinvestment in behavioral healthcare</w:t>
      </w:r>
      <w:r>
        <w:rPr>
          <w:rFonts w:cstheme="minorHAnsi"/>
          <w:color w:val="000000" w:themeColor="text1"/>
          <w:sz w:val="22"/>
          <w:szCs w:val="22"/>
        </w:rPr>
        <w:t xml:space="preserve"> in Oregon</w:t>
      </w:r>
      <w:r w:rsidRPr="002F6354">
        <w:rPr>
          <w:rFonts w:cstheme="minorHAnsi"/>
          <w:color w:val="000000" w:themeColor="text1"/>
          <w:sz w:val="22"/>
          <w:szCs w:val="22"/>
        </w:rPr>
        <w:t xml:space="preserve">, including </w:t>
      </w:r>
      <w:r>
        <w:rPr>
          <w:rFonts w:cstheme="minorHAnsi"/>
          <w:color w:val="000000" w:themeColor="text1"/>
          <w:sz w:val="22"/>
          <w:szCs w:val="22"/>
        </w:rPr>
        <w:t xml:space="preserve">insufficient </w:t>
      </w:r>
      <w:r w:rsidRPr="002F6354">
        <w:rPr>
          <w:rFonts w:cstheme="minorHAnsi"/>
          <w:color w:val="000000" w:themeColor="text1"/>
          <w:sz w:val="22"/>
          <w:szCs w:val="22"/>
        </w:rPr>
        <w:t xml:space="preserve">hospital inpatient capacity, limits the ability of CCBHCs to reduce the overall cost of care. </w:t>
      </w:r>
      <w:r w:rsidRPr="002F6354">
        <w:rPr>
          <w:rFonts w:eastAsia="Calibri" w:cstheme="minorHAnsi"/>
          <w:color w:val="000000" w:themeColor="text1"/>
          <w:sz w:val="22"/>
          <w:szCs w:val="22"/>
        </w:rPr>
        <w:t xml:space="preserve">In addition, </w:t>
      </w:r>
      <w:r>
        <w:rPr>
          <w:rFonts w:eastAsia="Calibri" w:cstheme="minorHAnsi"/>
          <w:color w:val="000000" w:themeColor="text1"/>
          <w:sz w:val="22"/>
          <w:szCs w:val="22"/>
        </w:rPr>
        <w:t>cost assessments</w:t>
      </w:r>
      <w:r w:rsidRPr="002F6354">
        <w:rPr>
          <w:rFonts w:eastAsia="Calibri" w:cstheme="minorHAnsi"/>
          <w:color w:val="000000" w:themeColor="text1"/>
          <w:sz w:val="22"/>
          <w:szCs w:val="22"/>
        </w:rPr>
        <w:t xml:space="preserve"> must account for </w:t>
      </w:r>
      <w:r>
        <w:rPr>
          <w:rFonts w:eastAsia="Calibri" w:cstheme="minorHAnsi"/>
          <w:color w:val="000000" w:themeColor="text1"/>
          <w:sz w:val="22"/>
          <w:szCs w:val="22"/>
        </w:rPr>
        <w:t xml:space="preserve">the </w:t>
      </w:r>
      <w:r w:rsidRPr="002F6354">
        <w:rPr>
          <w:rFonts w:eastAsia="Calibri" w:cstheme="minorHAnsi"/>
          <w:color w:val="000000" w:themeColor="text1"/>
          <w:sz w:val="22"/>
          <w:szCs w:val="22"/>
        </w:rPr>
        <w:t xml:space="preserve">value </w:t>
      </w:r>
      <w:r>
        <w:rPr>
          <w:rFonts w:eastAsia="Calibri" w:cstheme="minorHAnsi"/>
          <w:color w:val="000000" w:themeColor="text1"/>
          <w:sz w:val="22"/>
          <w:szCs w:val="22"/>
        </w:rPr>
        <w:t xml:space="preserve">of the </w:t>
      </w:r>
      <w:r w:rsidRPr="002F6354">
        <w:rPr>
          <w:rFonts w:eastAsia="Calibri" w:cstheme="minorHAnsi"/>
          <w:color w:val="000000" w:themeColor="text1"/>
          <w:sz w:val="22"/>
          <w:szCs w:val="22"/>
        </w:rPr>
        <w:t xml:space="preserve">investment; the CCBHC model has </w:t>
      </w:r>
      <w:r>
        <w:rPr>
          <w:rFonts w:eastAsia="Calibri" w:cstheme="minorHAnsi"/>
          <w:color w:val="000000" w:themeColor="text1"/>
          <w:sz w:val="22"/>
          <w:szCs w:val="22"/>
        </w:rPr>
        <w:t xml:space="preserve">increased access to care and facilitated </w:t>
      </w:r>
      <w:r w:rsidRPr="002F6354">
        <w:rPr>
          <w:rFonts w:eastAsia="Calibri" w:cstheme="minorHAnsi"/>
          <w:color w:val="000000" w:themeColor="text1"/>
          <w:sz w:val="22"/>
          <w:szCs w:val="22"/>
        </w:rPr>
        <w:t>c</w:t>
      </w:r>
      <w:r w:rsidRPr="002F6354">
        <w:rPr>
          <w:rFonts w:cstheme="minorHAnsi"/>
          <w:color w:val="000000" w:themeColor="text1"/>
          <w:sz w:val="22"/>
          <w:szCs w:val="22"/>
        </w:rPr>
        <w:t xml:space="preserve">ross-sector collaboration and </w:t>
      </w:r>
      <w:r w:rsidRPr="002F6354">
        <w:rPr>
          <w:rFonts w:eastAsia="Calibri" w:cstheme="minorHAnsi"/>
          <w:color w:val="000000" w:themeColor="text1"/>
          <w:sz w:val="22"/>
          <w:szCs w:val="22"/>
        </w:rPr>
        <w:t xml:space="preserve">greater engagement with </w:t>
      </w:r>
      <w:r>
        <w:rPr>
          <w:rFonts w:eastAsia="Calibri" w:cstheme="minorHAnsi"/>
          <w:color w:val="000000" w:themeColor="text1"/>
          <w:sz w:val="22"/>
          <w:szCs w:val="22"/>
        </w:rPr>
        <w:t>CBOs</w:t>
      </w:r>
      <w:r w:rsidRPr="002F6354">
        <w:rPr>
          <w:rFonts w:eastAsia="Calibri" w:cstheme="minorHAnsi"/>
          <w:color w:val="000000" w:themeColor="text1"/>
          <w:sz w:val="22"/>
          <w:szCs w:val="22"/>
        </w:rPr>
        <w:t xml:space="preserve">, </w:t>
      </w:r>
      <w:r w:rsidRPr="002F6354">
        <w:rPr>
          <w:rFonts w:cstheme="minorHAnsi"/>
          <w:color w:val="000000" w:themeColor="text1"/>
          <w:sz w:val="22"/>
          <w:szCs w:val="22"/>
        </w:rPr>
        <w:t xml:space="preserve">which </w:t>
      </w:r>
      <w:r>
        <w:rPr>
          <w:rFonts w:cstheme="minorHAnsi"/>
          <w:color w:val="000000" w:themeColor="text1"/>
          <w:sz w:val="22"/>
          <w:szCs w:val="22"/>
        </w:rPr>
        <w:t xml:space="preserve">supports individual and </w:t>
      </w:r>
      <w:r w:rsidRPr="002F6354">
        <w:rPr>
          <w:rFonts w:cstheme="minorHAnsi"/>
          <w:color w:val="000000" w:themeColor="text1"/>
          <w:sz w:val="22"/>
          <w:szCs w:val="22"/>
        </w:rPr>
        <w:t>community health</w:t>
      </w:r>
      <w:r>
        <w:rPr>
          <w:rFonts w:cstheme="minorHAnsi"/>
          <w:color w:val="000000" w:themeColor="text1"/>
          <w:sz w:val="22"/>
          <w:szCs w:val="22"/>
        </w:rPr>
        <w:t xml:space="preserve"> in ways that may not be accounted for in cost analyses.</w:t>
      </w:r>
    </w:p>
    <w:p w14:paraId="75717FF9" w14:textId="77777777" w:rsidR="00790548" w:rsidRPr="00BB0DA5" w:rsidRDefault="00790548" w:rsidP="00790548">
      <w:pPr>
        <w:rPr>
          <w:rFonts w:eastAsia="Calibri" w:cstheme="minorHAnsi"/>
          <w:color w:val="000000" w:themeColor="text1"/>
          <w:sz w:val="18"/>
          <w:szCs w:val="18"/>
        </w:rPr>
      </w:pPr>
    </w:p>
    <w:p w14:paraId="363E2B5E" w14:textId="67EF728C" w:rsidR="00790548" w:rsidRDefault="00914523" w:rsidP="00790548">
      <w:pPr>
        <w:rPr>
          <w:rFonts w:cstheme="minorHAnsi"/>
          <w:color w:val="000000" w:themeColor="text1"/>
          <w:sz w:val="22"/>
          <w:szCs w:val="22"/>
        </w:rPr>
      </w:pPr>
      <w:r>
        <w:rPr>
          <w:rFonts w:cstheme="minorHAnsi"/>
          <w:color w:val="000000" w:themeColor="text1"/>
          <w:sz w:val="22"/>
          <w:szCs w:val="22"/>
        </w:rPr>
        <w:t xml:space="preserve">CCBHCs have the potential to </w:t>
      </w:r>
      <w:r w:rsidRPr="007B45F3">
        <w:rPr>
          <w:rFonts w:cstheme="minorHAnsi"/>
          <w:b/>
          <w:bCs/>
          <w:color w:val="000000" w:themeColor="text1"/>
          <w:sz w:val="22"/>
          <w:szCs w:val="22"/>
        </w:rPr>
        <w:t>play a meaningful and central role in Oregon health systems reform and transformation</w:t>
      </w:r>
      <w:r>
        <w:rPr>
          <w:rFonts w:cstheme="minorHAnsi"/>
          <w:color w:val="000000" w:themeColor="text1"/>
          <w:sz w:val="22"/>
          <w:szCs w:val="22"/>
        </w:rPr>
        <w:t>.</w:t>
      </w:r>
      <w:r w:rsidRPr="00DB6135">
        <w:rPr>
          <w:rFonts w:cstheme="minorHAnsi"/>
          <w:color w:val="000000" w:themeColor="text1"/>
          <w:sz w:val="22"/>
          <w:szCs w:val="22"/>
        </w:rPr>
        <w:t xml:space="preserve"> </w:t>
      </w:r>
      <w:r w:rsidRPr="002F6354">
        <w:rPr>
          <w:rFonts w:cstheme="minorHAnsi"/>
          <w:color w:val="000000" w:themeColor="text1"/>
          <w:sz w:val="22"/>
          <w:szCs w:val="22"/>
        </w:rPr>
        <w:t xml:space="preserve">Future </w:t>
      </w:r>
      <w:r w:rsidRPr="00607A5C">
        <w:rPr>
          <w:color w:val="000000" w:themeColor="text1"/>
          <w:sz w:val="22"/>
        </w:rPr>
        <w:t>CCBHC sustainability and expansion</w:t>
      </w:r>
      <w:r w:rsidRPr="002F6354">
        <w:rPr>
          <w:rFonts w:cstheme="minorHAnsi"/>
          <w:color w:val="000000" w:themeColor="text1"/>
          <w:sz w:val="22"/>
          <w:szCs w:val="22"/>
        </w:rPr>
        <w:t xml:space="preserve"> efforts need to build the capacity of CCBHCs to provide greater access, improve coordination of care, and center equity. Several system-level factors were identified by key interested parties, clinic leaders, CBO representatives, and service users as barriers to sustainability and expansion. These include administrative burden, </w:t>
      </w:r>
      <w:r>
        <w:rPr>
          <w:rFonts w:cstheme="minorHAnsi"/>
          <w:color w:val="000000" w:themeColor="text1"/>
          <w:sz w:val="22"/>
          <w:szCs w:val="22"/>
        </w:rPr>
        <w:t xml:space="preserve">workforce shortages, </w:t>
      </w:r>
      <w:r w:rsidRPr="002F6354">
        <w:rPr>
          <w:rFonts w:cstheme="minorHAnsi"/>
          <w:color w:val="000000" w:themeColor="text1"/>
          <w:sz w:val="22"/>
          <w:szCs w:val="22"/>
        </w:rPr>
        <w:t>lack of a robust data infrastructure system to identify health inequities and coordinate care, and challenges in identifying potential partners and building effective, mutually beneficial relationships.</w:t>
      </w:r>
    </w:p>
    <w:p w14:paraId="680A5181" w14:textId="77777777" w:rsidR="00914523" w:rsidRPr="00BB0DA5" w:rsidRDefault="00914523" w:rsidP="00790548">
      <w:pPr>
        <w:rPr>
          <w:rFonts w:cstheme="minorHAnsi"/>
          <w:color w:val="000000" w:themeColor="text1"/>
          <w:sz w:val="18"/>
          <w:szCs w:val="18"/>
        </w:rPr>
      </w:pPr>
    </w:p>
    <w:p w14:paraId="06EB292C" w14:textId="3ABE60C8" w:rsidR="00914523" w:rsidRDefault="00790548" w:rsidP="00914523">
      <w:pPr>
        <w:rPr>
          <w:rFonts w:cstheme="minorHAnsi"/>
          <w:color w:val="000000" w:themeColor="text1"/>
          <w:sz w:val="22"/>
          <w:szCs w:val="22"/>
        </w:rPr>
      </w:pPr>
      <w:r w:rsidRPr="003E3DE4">
        <w:rPr>
          <w:rFonts w:cstheme="minorHAnsi"/>
          <w:b/>
          <w:bCs/>
          <w:color w:val="6A7F0F"/>
          <w:sz w:val="22"/>
          <w:szCs w:val="22"/>
        </w:rPr>
        <w:t xml:space="preserve">Recommendations: </w:t>
      </w:r>
      <w:r w:rsidR="00914523" w:rsidRPr="003E3DE4">
        <w:rPr>
          <w:rFonts w:cstheme="minorHAnsi"/>
          <w:color w:val="000000" w:themeColor="text1"/>
          <w:sz w:val="22"/>
          <w:szCs w:val="22"/>
        </w:rPr>
        <w:t>The</w:t>
      </w:r>
      <w:r w:rsidR="00914523">
        <w:rPr>
          <w:rFonts w:cstheme="minorHAnsi"/>
          <w:color w:val="000000" w:themeColor="text1"/>
          <w:sz w:val="22"/>
          <w:szCs w:val="22"/>
        </w:rPr>
        <w:t xml:space="preserve"> following are recommended to the Oregon Legislature and the Oregon Health Authority to advance the CCBHC program as part of improving Oregon’s behavioral health system: </w:t>
      </w:r>
    </w:p>
    <w:p w14:paraId="0697224D" w14:textId="77777777" w:rsidR="00914523" w:rsidRPr="008F4C50" w:rsidRDefault="00914523" w:rsidP="001271ED">
      <w:pPr>
        <w:pStyle w:val="ListParagraph"/>
        <w:numPr>
          <w:ilvl w:val="0"/>
          <w:numId w:val="1"/>
        </w:numPr>
        <w:ind w:left="360"/>
        <w:rPr>
          <w:rFonts w:cstheme="minorHAnsi"/>
          <w:color w:val="000000" w:themeColor="text1"/>
          <w:sz w:val="22"/>
          <w:szCs w:val="22"/>
        </w:rPr>
      </w:pPr>
      <w:r>
        <w:rPr>
          <w:rFonts w:cstheme="minorHAnsi"/>
          <w:color w:val="000000" w:themeColor="text1"/>
          <w:sz w:val="22"/>
          <w:szCs w:val="22"/>
        </w:rPr>
        <w:t>D</w:t>
      </w:r>
      <w:r w:rsidRPr="00607A5C">
        <w:rPr>
          <w:rFonts w:cstheme="minorHAnsi"/>
          <w:color w:val="000000" w:themeColor="text1"/>
          <w:sz w:val="22"/>
          <w:szCs w:val="22"/>
        </w:rPr>
        <w:t xml:space="preserve">evelop strategies to </w:t>
      </w:r>
      <w:r>
        <w:rPr>
          <w:rFonts w:cstheme="minorHAnsi"/>
          <w:color w:val="000000" w:themeColor="text1"/>
          <w:sz w:val="22"/>
          <w:szCs w:val="22"/>
        </w:rPr>
        <w:t>ensure sustainable CCBHC funding while r</w:t>
      </w:r>
      <w:r w:rsidRPr="008F4C50">
        <w:rPr>
          <w:rFonts w:cstheme="minorHAnsi"/>
          <w:color w:val="000000" w:themeColor="text1"/>
          <w:sz w:val="22"/>
          <w:szCs w:val="22"/>
        </w:rPr>
        <w:t>edirect</w:t>
      </w:r>
      <w:r>
        <w:rPr>
          <w:rFonts w:cstheme="minorHAnsi"/>
          <w:color w:val="000000" w:themeColor="text1"/>
          <w:sz w:val="22"/>
          <w:szCs w:val="22"/>
        </w:rPr>
        <w:t>ing</w:t>
      </w:r>
      <w:r w:rsidRPr="008F4C50">
        <w:rPr>
          <w:rFonts w:cstheme="minorHAnsi"/>
          <w:color w:val="000000" w:themeColor="text1"/>
          <w:sz w:val="22"/>
          <w:szCs w:val="22"/>
        </w:rPr>
        <w:t xml:space="preserve"> the focus </w:t>
      </w:r>
      <w:r>
        <w:rPr>
          <w:rFonts w:cstheme="minorHAnsi"/>
          <w:color w:val="000000" w:themeColor="text1"/>
          <w:sz w:val="22"/>
          <w:szCs w:val="22"/>
        </w:rPr>
        <w:t xml:space="preserve">of </w:t>
      </w:r>
      <w:r w:rsidRPr="008F4C50">
        <w:rPr>
          <w:rFonts w:cstheme="minorHAnsi"/>
          <w:color w:val="000000" w:themeColor="text1"/>
          <w:sz w:val="22"/>
          <w:szCs w:val="22"/>
        </w:rPr>
        <w:t>behavioral health from an emphasis on cost savings to provi</w:t>
      </w:r>
      <w:r>
        <w:rPr>
          <w:rFonts w:cstheme="minorHAnsi"/>
          <w:color w:val="000000" w:themeColor="text1"/>
          <w:sz w:val="22"/>
          <w:szCs w:val="22"/>
        </w:rPr>
        <w:t>sion of</w:t>
      </w:r>
      <w:r w:rsidRPr="008F4C50">
        <w:rPr>
          <w:rFonts w:cstheme="minorHAnsi"/>
          <w:color w:val="000000" w:themeColor="text1"/>
          <w:sz w:val="22"/>
          <w:szCs w:val="22"/>
        </w:rPr>
        <w:t xml:space="preserve"> equitable, quality care to all Oregonians.</w:t>
      </w:r>
    </w:p>
    <w:p w14:paraId="6F0BA8FB" w14:textId="77777777" w:rsidR="00914523" w:rsidRPr="00607A5C" w:rsidRDefault="00914523" w:rsidP="001271ED">
      <w:pPr>
        <w:pStyle w:val="ListParagraph"/>
        <w:numPr>
          <w:ilvl w:val="0"/>
          <w:numId w:val="1"/>
        </w:numPr>
        <w:ind w:left="360"/>
        <w:rPr>
          <w:sz w:val="22"/>
        </w:rPr>
      </w:pPr>
      <w:r>
        <w:rPr>
          <w:rFonts w:cstheme="minorHAnsi"/>
          <w:color w:val="000000" w:themeColor="text1"/>
          <w:sz w:val="22"/>
          <w:szCs w:val="22"/>
        </w:rPr>
        <w:t>E</w:t>
      </w:r>
      <w:r w:rsidRPr="00607A5C">
        <w:rPr>
          <w:rFonts w:cstheme="minorHAnsi"/>
          <w:color w:val="000000" w:themeColor="text1"/>
          <w:sz w:val="22"/>
          <w:szCs w:val="22"/>
        </w:rPr>
        <w:t>xpand</w:t>
      </w:r>
      <w:r>
        <w:rPr>
          <w:rFonts w:cstheme="minorHAnsi"/>
          <w:color w:val="000000" w:themeColor="text1"/>
          <w:sz w:val="22"/>
          <w:szCs w:val="22"/>
        </w:rPr>
        <w:t xml:space="preserve"> </w:t>
      </w:r>
      <w:r w:rsidRPr="00607A5C">
        <w:rPr>
          <w:rFonts w:cstheme="minorHAnsi"/>
          <w:color w:val="000000" w:themeColor="text1"/>
          <w:sz w:val="22"/>
          <w:szCs w:val="22"/>
        </w:rPr>
        <w:t xml:space="preserve">the CCBHC program so that a CCBHC </w:t>
      </w:r>
      <w:r>
        <w:rPr>
          <w:rFonts w:cstheme="minorHAnsi"/>
          <w:color w:val="000000" w:themeColor="text1"/>
          <w:sz w:val="22"/>
          <w:szCs w:val="22"/>
        </w:rPr>
        <w:t xml:space="preserve">is </w:t>
      </w:r>
      <w:r w:rsidRPr="00607A5C">
        <w:rPr>
          <w:rFonts w:cstheme="minorHAnsi"/>
          <w:color w:val="000000" w:themeColor="text1"/>
          <w:sz w:val="22"/>
          <w:szCs w:val="22"/>
        </w:rPr>
        <w:t xml:space="preserve">located and supported in every Oregon county, to </w:t>
      </w:r>
      <w:r>
        <w:rPr>
          <w:rFonts w:cstheme="minorHAnsi"/>
          <w:color w:val="000000" w:themeColor="text1"/>
          <w:sz w:val="22"/>
          <w:szCs w:val="22"/>
        </w:rPr>
        <w:t xml:space="preserve">help </w:t>
      </w:r>
      <w:r w:rsidRPr="00607A5C">
        <w:rPr>
          <w:rFonts w:cstheme="minorHAnsi"/>
          <w:color w:val="000000" w:themeColor="text1"/>
          <w:sz w:val="22"/>
          <w:szCs w:val="22"/>
        </w:rPr>
        <w:t>ensure all Oregonians have access to essential behavioral health services.</w:t>
      </w:r>
    </w:p>
    <w:p w14:paraId="2D5E8A30" w14:textId="77777777" w:rsidR="00914523" w:rsidRPr="00B5064D" w:rsidRDefault="00914523" w:rsidP="001271ED">
      <w:pPr>
        <w:pStyle w:val="ListParagraph"/>
        <w:numPr>
          <w:ilvl w:val="0"/>
          <w:numId w:val="1"/>
        </w:numPr>
        <w:tabs>
          <w:tab w:val="left" w:pos="1170"/>
        </w:tabs>
        <w:ind w:left="360"/>
        <w:rPr>
          <w:rFonts w:cstheme="minorHAnsi"/>
          <w:color w:val="000000" w:themeColor="text1"/>
          <w:sz w:val="22"/>
          <w:szCs w:val="22"/>
        </w:rPr>
      </w:pPr>
      <w:r>
        <w:rPr>
          <w:rFonts w:cstheme="minorHAnsi"/>
          <w:color w:val="000000" w:themeColor="text1"/>
          <w:sz w:val="22"/>
          <w:szCs w:val="22"/>
        </w:rPr>
        <w:t>Establish clearer</w:t>
      </w:r>
      <w:r w:rsidRPr="002F6354">
        <w:rPr>
          <w:rFonts w:cstheme="minorHAnsi"/>
          <w:color w:val="000000" w:themeColor="text1"/>
          <w:sz w:val="22"/>
          <w:szCs w:val="22"/>
        </w:rPr>
        <w:t xml:space="preserve"> standards for </w:t>
      </w:r>
      <w:r>
        <w:rPr>
          <w:rFonts w:cstheme="minorHAnsi"/>
          <w:color w:val="000000" w:themeColor="text1"/>
          <w:sz w:val="22"/>
          <w:szCs w:val="22"/>
        </w:rPr>
        <w:t>primary and behavioral</w:t>
      </w:r>
      <w:r w:rsidRPr="002F6354">
        <w:rPr>
          <w:rFonts w:cstheme="minorHAnsi"/>
          <w:color w:val="000000" w:themeColor="text1"/>
          <w:sz w:val="22"/>
          <w:szCs w:val="22"/>
        </w:rPr>
        <w:t xml:space="preserve"> care coordination and integration that </w:t>
      </w:r>
      <w:r>
        <w:rPr>
          <w:color w:val="000000" w:themeColor="text1"/>
          <w:sz w:val="22"/>
          <w:szCs w:val="22"/>
        </w:rPr>
        <w:t>enable CCBHCs to better provide</w:t>
      </w:r>
      <w:r w:rsidRPr="002F6354">
        <w:rPr>
          <w:color w:val="000000" w:themeColor="text1"/>
          <w:sz w:val="22"/>
          <w:szCs w:val="22"/>
        </w:rPr>
        <w:t xml:space="preserve"> </w:t>
      </w:r>
      <w:r>
        <w:rPr>
          <w:color w:val="000000" w:themeColor="text1"/>
          <w:sz w:val="22"/>
          <w:szCs w:val="22"/>
        </w:rPr>
        <w:t xml:space="preserve">whole-person </w:t>
      </w:r>
      <w:r w:rsidRPr="002F6354">
        <w:rPr>
          <w:color w:val="000000" w:themeColor="text1"/>
          <w:sz w:val="22"/>
          <w:szCs w:val="22"/>
        </w:rPr>
        <w:t>care</w:t>
      </w:r>
      <w:r>
        <w:rPr>
          <w:color w:val="000000" w:themeColor="text1"/>
          <w:sz w:val="22"/>
          <w:szCs w:val="22"/>
        </w:rPr>
        <w:t xml:space="preserve"> and services </w:t>
      </w:r>
      <w:r>
        <w:rPr>
          <w:rFonts w:cstheme="minorHAnsi"/>
          <w:color w:val="000000" w:themeColor="text1"/>
          <w:sz w:val="22"/>
          <w:szCs w:val="22"/>
        </w:rPr>
        <w:t>that meet the complex and multiple needs of diverse service users.</w:t>
      </w:r>
    </w:p>
    <w:p w14:paraId="1EE82796" w14:textId="77777777" w:rsidR="00914523" w:rsidRPr="009A1B05" w:rsidRDefault="00914523" w:rsidP="001271ED">
      <w:pPr>
        <w:pStyle w:val="ListParagraph"/>
        <w:numPr>
          <w:ilvl w:val="0"/>
          <w:numId w:val="1"/>
        </w:numPr>
        <w:ind w:left="360"/>
        <w:rPr>
          <w:rFonts w:cstheme="minorHAnsi"/>
          <w:color w:val="000000" w:themeColor="text1"/>
          <w:sz w:val="22"/>
          <w:szCs w:val="22"/>
        </w:rPr>
      </w:pPr>
      <w:r w:rsidRPr="009A1B05">
        <w:rPr>
          <w:rFonts w:ascii="Calibri" w:eastAsia="Calibri" w:hAnsi="Calibri" w:cs="Calibri"/>
          <w:color w:val="000000" w:themeColor="text1"/>
          <w:sz w:val="22"/>
          <w:szCs w:val="22"/>
        </w:rPr>
        <w:t xml:space="preserve">Engage advocates and community leaders to recommend actions for the development and implementation of culturally and linguistically responsive outreach and services. </w:t>
      </w:r>
    </w:p>
    <w:p w14:paraId="4B43584B" w14:textId="77777777" w:rsidR="00914523" w:rsidRPr="009A1B05" w:rsidRDefault="00914523" w:rsidP="001271ED">
      <w:pPr>
        <w:pStyle w:val="ListParagraph"/>
        <w:numPr>
          <w:ilvl w:val="0"/>
          <w:numId w:val="1"/>
        </w:numPr>
        <w:ind w:left="360"/>
        <w:rPr>
          <w:rFonts w:cstheme="minorHAnsi"/>
          <w:color w:val="000000" w:themeColor="text1"/>
          <w:sz w:val="22"/>
          <w:szCs w:val="22"/>
        </w:rPr>
      </w:pPr>
      <w:r w:rsidRPr="009A1B05">
        <w:rPr>
          <w:rFonts w:ascii="Calibri" w:hAnsi="Calibri" w:cs="Calibri"/>
          <w:color w:val="000000" w:themeColor="text1"/>
          <w:sz w:val="22"/>
          <w:szCs w:val="22"/>
          <w:shd w:val="clear" w:color="auto" w:fill="FFFFFF"/>
        </w:rPr>
        <w:t>Make investments in new or enhanced behavioral health workforce incentives (such as salaries, loan repayment, educational support, etc.) to augment the workforce in Oregon’s CCBHCs.</w:t>
      </w:r>
    </w:p>
    <w:p w14:paraId="719F14ED" w14:textId="77777777" w:rsidR="00914523" w:rsidRPr="007B45F3" w:rsidRDefault="00914523" w:rsidP="001271ED">
      <w:pPr>
        <w:pStyle w:val="ListParagraph"/>
        <w:numPr>
          <w:ilvl w:val="0"/>
          <w:numId w:val="1"/>
        </w:numPr>
        <w:tabs>
          <w:tab w:val="left" w:pos="900"/>
        </w:tabs>
        <w:autoSpaceDE w:val="0"/>
        <w:autoSpaceDN w:val="0"/>
        <w:adjustRightInd w:val="0"/>
        <w:ind w:left="360"/>
        <w:rPr>
          <w:rFonts w:cstheme="minorHAnsi"/>
          <w:color w:val="000000" w:themeColor="text1"/>
          <w:sz w:val="22"/>
          <w:szCs w:val="22"/>
        </w:rPr>
      </w:pPr>
      <w:r w:rsidRPr="009A1B05">
        <w:rPr>
          <w:rFonts w:cstheme="minorHAnsi"/>
          <w:color w:val="000000" w:themeColor="text1"/>
          <w:sz w:val="22"/>
          <w:szCs w:val="22"/>
        </w:rPr>
        <w:t xml:space="preserve">Invest in the development and implementation of a health information exchange (HIE) to support </w:t>
      </w:r>
      <w:r>
        <w:rPr>
          <w:rFonts w:cstheme="minorHAnsi"/>
          <w:color w:val="000000" w:themeColor="text1"/>
          <w:sz w:val="22"/>
          <w:szCs w:val="22"/>
        </w:rPr>
        <w:t>coordination of care and identification of health inequities,</w:t>
      </w:r>
      <w:r w:rsidRPr="00607A5C">
        <w:rPr>
          <w:rFonts w:cstheme="minorHAnsi"/>
          <w:color w:val="000000" w:themeColor="text1"/>
          <w:sz w:val="22"/>
          <w:szCs w:val="22"/>
        </w:rPr>
        <w:t xml:space="preserve"> building upon current initiatives such as the HIT Commons.</w:t>
      </w:r>
      <w:r w:rsidRPr="00607A5C">
        <w:rPr>
          <w:rFonts w:cstheme="minorHAnsi"/>
          <w:b/>
          <w:color w:val="000000" w:themeColor="text1"/>
          <w:sz w:val="22"/>
          <w:szCs w:val="22"/>
        </w:rPr>
        <w:t xml:space="preserve"> </w:t>
      </w:r>
    </w:p>
    <w:p w14:paraId="7EF2C693" w14:textId="77777777" w:rsidR="00914523" w:rsidRPr="005C5CD5" w:rsidRDefault="00914523" w:rsidP="001271ED">
      <w:pPr>
        <w:pStyle w:val="ListParagraph"/>
        <w:numPr>
          <w:ilvl w:val="0"/>
          <w:numId w:val="1"/>
        </w:numPr>
        <w:tabs>
          <w:tab w:val="left" w:pos="1080"/>
        </w:tabs>
        <w:autoSpaceDE w:val="0"/>
        <w:autoSpaceDN w:val="0"/>
        <w:adjustRightInd w:val="0"/>
        <w:ind w:left="360"/>
        <w:rPr>
          <w:rFonts w:cstheme="minorHAnsi"/>
          <w:color w:val="000000" w:themeColor="text1"/>
          <w:sz w:val="22"/>
          <w:szCs w:val="22"/>
        </w:rPr>
      </w:pPr>
      <w:r>
        <w:rPr>
          <w:rFonts w:eastAsia="Calibri" w:cstheme="minorHAnsi"/>
          <w:sz w:val="22"/>
          <w:szCs w:val="22"/>
        </w:rPr>
        <w:t>S</w:t>
      </w:r>
      <w:r w:rsidRPr="009A423B">
        <w:rPr>
          <w:rFonts w:eastAsia="Calibri" w:cstheme="minorHAnsi"/>
          <w:sz w:val="22"/>
          <w:szCs w:val="22"/>
        </w:rPr>
        <w:t>treamline CCBHC reporting requirements to reduce administrative burden</w:t>
      </w:r>
      <w:r>
        <w:rPr>
          <w:rFonts w:eastAsia="Calibri" w:cstheme="minorHAnsi"/>
          <w:sz w:val="22"/>
          <w:szCs w:val="22"/>
        </w:rPr>
        <w:t xml:space="preserve"> </w:t>
      </w:r>
      <w:r>
        <w:rPr>
          <w:rFonts w:cstheme="minorHAnsi"/>
          <w:color w:val="000000" w:themeColor="text1"/>
          <w:sz w:val="22"/>
          <w:szCs w:val="22"/>
        </w:rPr>
        <w:t>wherever possible and enhance the utility and relevance to clinics of metrics and data collected</w:t>
      </w:r>
      <w:r>
        <w:rPr>
          <w:rFonts w:eastAsia="Calibri" w:cstheme="minorHAnsi"/>
          <w:sz w:val="22"/>
          <w:szCs w:val="22"/>
        </w:rPr>
        <w:t>.</w:t>
      </w:r>
    </w:p>
    <w:p w14:paraId="42B8E69F" w14:textId="1B6E6299" w:rsidR="00914523" w:rsidRDefault="00914523" w:rsidP="001271ED">
      <w:pPr>
        <w:pStyle w:val="ListParagraph"/>
        <w:numPr>
          <w:ilvl w:val="0"/>
          <w:numId w:val="1"/>
        </w:numPr>
        <w:ind w:left="360"/>
        <w:rPr>
          <w:rFonts w:cstheme="minorHAnsi"/>
          <w:color w:val="000000" w:themeColor="text1"/>
          <w:sz w:val="22"/>
          <w:szCs w:val="22"/>
        </w:rPr>
      </w:pPr>
      <w:r>
        <w:rPr>
          <w:rFonts w:cstheme="minorHAnsi"/>
          <w:color w:val="000000" w:themeColor="text1"/>
          <w:sz w:val="22"/>
          <w:szCs w:val="22"/>
        </w:rPr>
        <w:t>I</w:t>
      </w:r>
      <w:r w:rsidRPr="002F6354">
        <w:rPr>
          <w:rFonts w:cstheme="minorHAnsi"/>
          <w:color w:val="000000" w:themeColor="text1"/>
          <w:sz w:val="22"/>
          <w:szCs w:val="22"/>
        </w:rPr>
        <w:t>dentify opportunities to intentionally build upon or partner with other community-based initiatives, such as OHA’s Regional Health Equity Coalitions and the Behavioral Health Re</w:t>
      </w:r>
      <w:r w:rsidR="00894B52">
        <w:rPr>
          <w:rFonts w:cstheme="minorHAnsi"/>
          <w:color w:val="000000" w:themeColor="text1"/>
          <w:sz w:val="22"/>
          <w:szCs w:val="22"/>
        </w:rPr>
        <w:t>source</w:t>
      </w:r>
      <w:r w:rsidRPr="002F6354">
        <w:rPr>
          <w:rFonts w:cstheme="minorHAnsi"/>
          <w:color w:val="000000" w:themeColor="text1"/>
          <w:sz w:val="22"/>
          <w:szCs w:val="22"/>
        </w:rPr>
        <w:t xml:space="preserve"> Network</w:t>
      </w:r>
      <w:r w:rsidR="00894B52">
        <w:rPr>
          <w:rFonts w:cstheme="minorHAnsi"/>
          <w:color w:val="000000" w:themeColor="text1"/>
          <w:sz w:val="22"/>
          <w:szCs w:val="22"/>
        </w:rPr>
        <w:t>s</w:t>
      </w:r>
      <w:r>
        <w:rPr>
          <w:rFonts w:cstheme="minorHAnsi"/>
          <w:color w:val="000000" w:themeColor="text1"/>
          <w:sz w:val="22"/>
          <w:szCs w:val="22"/>
        </w:rPr>
        <w:t>,</w:t>
      </w:r>
      <w:r w:rsidRPr="002F6354">
        <w:rPr>
          <w:rFonts w:cstheme="minorHAnsi"/>
          <w:color w:val="000000" w:themeColor="text1"/>
          <w:sz w:val="22"/>
          <w:szCs w:val="22"/>
        </w:rPr>
        <w:t xml:space="preserve"> to support CCBHCs </w:t>
      </w:r>
      <w:r>
        <w:rPr>
          <w:rFonts w:cstheme="minorHAnsi"/>
          <w:color w:val="000000" w:themeColor="text1"/>
          <w:sz w:val="22"/>
          <w:szCs w:val="22"/>
        </w:rPr>
        <w:t>in identifying</w:t>
      </w:r>
      <w:r w:rsidRPr="002F6354">
        <w:rPr>
          <w:rFonts w:cstheme="minorHAnsi"/>
          <w:color w:val="000000" w:themeColor="text1"/>
          <w:sz w:val="22"/>
          <w:szCs w:val="22"/>
        </w:rPr>
        <w:t xml:space="preserve"> potential partners and build</w:t>
      </w:r>
      <w:r>
        <w:rPr>
          <w:rFonts w:cstheme="minorHAnsi"/>
          <w:color w:val="000000" w:themeColor="text1"/>
          <w:sz w:val="22"/>
          <w:szCs w:val="22"/>
        </w:rPr>
        <w:t>ing</w:t>
      </w:r>
      <w:r w:rsidRPr="002F6354">
        <w:rPr>
          <w:rFonts w:cstheme="minorHAnsi"/>
          <w:color w:val="000000" w:themeColor="text1"/>
          <w:sz w:val="22"/>
          <w:szCs w:val="22"/>
        </w:rPr>
        <w:t xml:space="preserve"> effective, mutually beneficial </w:t>
      </w:r>
      <w:r>
        <w:rPr>
          <w:rFonts w:cstheme="minorHAnsi"/>
          <w:color w:val="000000" w:themeColor="text1"/>
          <w:sz w:val="22"/>
          <w:szCs w:val="22"/>
        </w:rPr>
        <w:t xml:space="preserve">local </w:t>
      </w:r>
      <w:r w:rsidRPr="002F6354">
        <w:rPr>
          <w:rFonts w:cstheme="minorHAnsi"/>
          <w:color w:val="000000" w:themeColor="text1"/>
          <w:sz w:val="22"/>
          <w:szCs w:val="22"/>
        </w:rPr>
        <w:t xml:space="preserve">relationships, including with CCOs. </w:t>
      </w:r>
    </w:p>
    <w:p w14:paraId="4A7426EC" w14:textId="77777777" w:rsidR="00914523" w:rsidRPr="00607A5C" w:rsidRDefault="00914523" w:rsidP="001271ED">
      <w:pPr>
        <w:pStyle w:val="ListParagraph"/>
        <w:numPr>
          <w:ilvl w:val="0"/>
          <w:numId w:val="1"/>
        </w:numPr>
        <w:ind w:left="360"/>
        <w:rPr>
          <w:rFonts w:cstheme="minorHAnsi"/>
          <w:color w:val="000000" w:themeColor="text1"/>
          <w:sz w:val="22"/>
          <w:szCs w:val="22"/>
        </w:rPr>
      </w:pPr>
      <w:r>
        <w:rPr>
          <w:rFonts w:cstheme="minorHAnsi"/>
          <w:color w:val="000000" w:themeColor="text1"/>
          <w:sz w:val="22"/>
          <w:szCs w:val="22"/>
        </w:rPr>
        <w:t>Continue and expand current technical assistance efforts to support CCBHCs to achieve statewide CCBHC goals and meet local needs identified by CCBHC clinic leaders and service users.</w:t>
      </w:r>
    </w:p>
    <w:p w14:paraId="6505F84F" w14:textId="77777777" w:rsidR="00914523" w:rsidRPr="00881C85" w:rsidRDefault="00914523" w:rsidP="001271ED">
      <w:pPr>
        <w:pStyle w:val="ListParagraph"/>
        <w:numPr>
          <w:ilvl w:val="0"/>
          <w:numId w:val="1"/>
        </w:numPr>
        <w:tabs>
          <w:tab w:val="left" w:pos="1080"/>
        </w:tabs>
        <w:autoSpaceDE w:val="0"/>
        <w:autoSpaceDN w:val="0"/>
        <w:adjustRightInd w:val="0"/>
        <w:ind w:left="360"/>
        <w:rPr>
          <w:rFonts w:cstheme="minorHAnsi"/>
          <w:color w:val="000000" w:themeColor="text1"/>
          <w:sz w:val="22"/>
          <w:szCs w:val="22"/>
        </w:rPr>
      </w:pPr>
      <w:r>
        <w:rPr>
          <w:rFonts w:eastAsia="Calibri" w:cstheme="minorHAnsi"/>
          <w:sz w:val="22"/>
          <w:szCs w:val="22"/>
        </w:rPr>
        <w:t>E</w:t>
      </w:r>
      <w:r w:rsidRPr="0037337A">
        <w:rPr>
          <w:rFonts w:eastAsia="Calibri" w:cstheme="minorHAnsi"/>
          <w:sz w:val="22"/>
          <w:szCs w:val="22"/>
        </w:rPr>
        <w:t xml:space="preserve">levate awareness of the CCBHC </w:t>
      </w:r>
      <w:r>
        <w:rPr>
          <w:rFonts w:eastAsia="Calibri" w:cstheme="minorHAnsi"/>
          <w:sz w:val="22"/>
          <w:szCs w:val="22"/>
        </w:rPr>
        <w:t xml:space="preserve">program in local communities </w:t>
      </w:r>
      <w:r w:rsidRPr="0037337A">
        <w:rPr>
          <w:rFonts w:eastAsia="Calibri" w:cstheme="minorHAnsi"/>
          <w:sz w:val="22"/>
          <w:szCs w:val="22"/>
        </w:rPr>
        <w:t xml:space="preserve">and </w:t>
      </w:r>
      <w:r>
        <w:rPr>
          <w:rFonts w:eastAsia="Calibri" w:cstheme="minorHAnsi"/>
          <w:sz w:val="22"/>
          <w:szCs w:val="22"/>
        </w:rPr>
        <w:t xml:space="preserve">provide practical tools for communities to leverage the work of </w:t>
      </w:r>
      <w:r w:rsidRPr="0037337A">
        <w:rPr>
          <w:rFonts w:eastAsia="Calibri" w:cstheme="minorHAnsi"/>
          <w:sz w:val="22"/>
          <w:szCs w:val="22"/>
        </w:rPr>
        <w:t>CCBHC</w:t>
      </w:r>
      <w:r>
        <w:rPr>
          <w:rFonts w:eastAsia="Calibri" w:cstheme="minorHAnsi"/>
          <w:sz w:val="22"/>
          <w:szCs w:val="22"/>
        </w:rPr>
        <w:t>s</w:t>
      </w:r>
      <w:r w:rsidRPr="0037337A">
        <w:rPr>
          <w:rFonts w:eastAsia="Calibri" w:cstheme="minorHAnsi"/>
          <w:sz w:val="22"/>
          <w:szCs w:val="22"/>
        </w:rPr>
        <w:t xml:space="preserve"> to address priority community health concerns</w:t>
      </w:r>
      <w:r>
        <w:rPr>
          <w:rFonts w:eastAsia="Calibri" w:cstheme="minorHAnsi"/>
          <w:sz w:val="22"/>
          <w:szCs w:val="22"/>
        </w:rPr>
        <w:t>.</w:t>
      </w:r>
    </w:p>
    <w:p w14:paraId="3113E0F7" w14:textId="77777777" w:rsidR="00914523" w:rsidRPr="00881C85" w:rsidRDefault="00914523" w:rsidP="001271ED">
      <w:pPr>
        <w:pStyle w:val="ListParagraph"/>
        <w:numPr>
          <w:ilvl w:val="0"/>
          <w:numId w:val="1"/>
        </w:numPr>
        <w:tabs>
          <w:tab w:val="left" w:pos="1080"/>
        </w:tabs>
        <w:autoSpaceDE w:val="0"/>
        <w:autoSpaceDN w:val="0"/>
        <w:adjustRightInd w:val="0"/>
        <w:ind w:left="360"/>
        <w:rPr>
          <w:rFonts w:cstheme="minorHAnsi"/>
          <w:color w:val="000000" w:themeColor="text1"/>
          <w:sz w:val="22"/>
          <w:szCs w:val="22"/>
        </w:rPr>
      </w:pPr>
      <w:r w:rsidRPr="00881C85">
        <w:rPr>
          <w:rFonts w:cstheme="minorHAnsi"/>
          <w:color w:val="000000" w:themeColor="text1"/>
          <w:sz w:val="22"/>
          <w:szCs w:val="22"/>
        </w:rPr>
        <w:t>Continue to evaluate the CCBHC program operations and performance, using community-centered participatory approaches to engage community members, service users, and advocates.</w:t>
      </w:r>
    </w:p>
    <w:p w14:paraId="572ED56B" w14:textId="241457BB" w:rsidR="00790548" w:rsidRPr="00EF758A" w:rsidRDefault="00914523" w:rsidP="001271ED">
      <w:pPr>
        <w:pStyle w:val="ListParagraph"/>
        <w:numPr>
          <w:ilvl w:val="0"/>
          <w:numId w:val="1"/>
        </w:numPr>
        <w:ind w:left="360"/>
        <w:rPr>
          <w:rFonts w:cstheme="minorHAnsi"/>
          <w:color w:val="000000" w:themeColor="text1"/>
          <w:sz w:val="22"/>
          <w:szCs w:val="22"/>
        </w:rPr>
      </w:pPr>
      <w:r w:rsidRPr="00EF758A">
        <w:rPr>
          <w:rFonts w:cstheme="minorHAnsi"/>
          <w:color w:val="000000" w:themeColor="text1"/>
          <w:sz w:val="22"/>
          <w:szCs w:val="22"/>
        </w:rPr>
        <w:t>Commission ongoing research to understand how investments in the CCBHCs and behavioral health more broadly can have an impact on improving health outcomes and community health.</w:t>
      </w:r>
    </w:p>
    <w:p w14:paraId="31F626B7" w14:textId="40354898" w:rsidR="00914523" w:rsidRDefault="00914523" w:rsidP="001271ED">
      <w:pPr>
        <w:rPr>
          <w:rFonts w:cstheme="minorHAnsi"/>
          <w:color w:val="000000" w:themeColor="text1"/>
          <w:sz w:val="22"/>
          <w:szCs w:val="22"/>
        </w:rPr>
        <w:sectPr w:rsidR="00914523" w:rsidSect="009A1B05">
          <w:pgSz w:w="12240" w:h="15840"/>
          <w:pgMar w:top="1440" w:right="1440" w:bottom="1152" w:left="1440" w:header="346" w:footer="720" w:gutter="0"/>
          <w:pgNumType w:fmt="lowerRoman"/>
          <w:cols w:space="720"/>
          <w:docGrid w:linePitch="360"/>
        </w:sectPr>
      </w:pPr>
    </w:p>
    <w:p w14:paraId="2EC23E2C" w14:textId="336F6B4C" w:rsidR="00790548" w:rsidRPr="001173FB" w:rsidRDefault="00957CC0" w:rsidP="00580A99">
      <w:pPr>
        <w:pStyle w:val="Heading1"/>
        <w:spacing w:before="0" w:after="120"/>
        <w:rPr>
          <w:rFonts w:asciiTheme="minorHAnsi" w:hAnsiTheme="minorHAnsi" w:cstheme="minorHAnsi"/>
          <w:b/>
          <w:bCs/>
          <w:color w:val="6A7F0F"/>
          <w:sz w:val="40"/>
          <w:szCs w:val="40"/>
        </w:rPr>
      </w:pPr>
      <w:bookmarkStart w:id="3" w:name="_Toc126068168"/>
      <w:r w:rsidRPr="001173FB">
        <w:rPr>
          <w:rFonts w:asciiTheme="minorHAnsi" w:hAnsiTheme="minorHAnsi" w:cstheme="minorHAnsi"/>
          <w:b/>
          <w:bCs/>
          <w:color w:val="6A7F0F"/>
          <w:sz w:val="40"/>
          <w:szCs w:val="40"/>
        </w:rPr>
        <w:t>B</w:t>
      </w:r>
      <w:r w:rsidR="0020050F" w:rsidRPr="001173FB">
        <w:rPr>
          <w:rFonts w:asciiTheme="minorHAnsi" w:hAnsiTheme="minorHAnsi" w:cstheme="minorHAnsi"/>
          <w:b/>
          <w:bCs/>
          <w:color w:val="6A7F0F"/>
          <w:sz w:val="40"/>
          <w:szCs w:val="40"/>
        </w:rPr>
        <w:t>ackground</w:t>
      </w:r>
      <w:bookmarkEnd w:id="3"/>
    </w:p>
    <w:p w14:paraId="7A0D25D2" w14:textId="59A7B0A8" w:rsidR="005E44B0" w:rsidRPr="00B233AA" w:rsidRDefault="005E44B0" w:rsidP="005E44B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U.S. </w:t>
      </w:r>
      <w:r w:rsidRPr="00B233AA">
        <w:rPr>
          <w:rFonts w:asciiTheme="minorHAnsi" w:hAnsiTheme="minorHAnsi" w:cstheme="minorHAnsi"/>
          <w:sz w:val="22"/>
          <w:szCs w:val="22"/>
        </w:rPr>
        <w:t>Congress passed the Excellence in Mental Health Act in 2014</w:t>
      </w:r>
      <w:r>
        <w:rPr>
          <w:rFonts w:asciiTheme="minorHAnsi" w:hAnsiTheme="minorHAnsi" w:cstheme="minorHAnsi"/>
          <w:sz w:val="22"/>
          <w:szCs w:val="22"/>
        </w:rPr>
        <w:t xml:space="preserve">, </w:t>
      </w:r>
      <w:r w:rsidRPr="00B233AA">
        <w:rPr>
          <w:rFonts w:asciiTheme="minorHAnsi" w:hAnsiTheme="minorHAnsi" w:cstheme="minorHAnsi"/>
          <w:sz w:val="22"/>
          <w:szCs w:val="22"/>
        </w:rPr>
        <w:t>which amended the Public Health Service Act to set forth criteria for the certification of federally</w:t>
      </w:r>
      <w:r>
        <w:rPr>
          <w:rFonts w:asciiTheme="minorHAnsi" w:hAnsiTheme="minorHAnsi" w:cstheme="minorHAnsi"/>
          <w:sz w:val="22"/>
          <w:szCs w:val="22"/>
        </w:rPr>
        <w:t xml:space="preserve"> </w:t>
      </w:r>
      <w:r w:rsidRPr="00B233AA">
        <w:rPr>
          <w:rFonts w:asciiTheme="minorHAnsi" w:hAnsiTheme="minorHAnsi" w:cstheme="minorHAnsi"/>
          <w:sz w:val="22"/>
          <w:szCs w:val="22"/>
        </w:rPr>
        <w:t xml:space="preserve">qualified community behavioral health centers. It also amended Title XIX (Medicaid) of the Social Security Act to make such centers eligible for payments for services under Medicaid. Finally, it amended the Public Health Service Act to authorize the Secretary of Health and Human Services to award matching grants to states or </w:t>
      </w:r>
      <w:r>
        <w:rPr>
          <w:rFonts w:asciiTheme="minorHAnsi" w:hAnsiTheme="minorHAnsi" w:cstheme="minorHAnsi"/>
          <w:sz w:val="22"/>
          <w:szCs w:val="22"/>
        </w:rPr>
        <w:t xml:space="preserve">American </w:t>
      </w:r>
      <w:r w:rsidRPr="00B233AA">
        <w:rPr>
          <w:rFonts w:asciiTheme="minorHAnsi" w:hAnsiTheme="minorHAnsi" w:cstheme="minorHAnsi"/>
          <w:sz w:val="22"/>
          <w:szCs w:val="22"/>
        </w:rPr>
        <w:t>Indian tribes to expend funds for the construction or modernization of facilities used to provide community-based mental health and substance abuse services to individuals (</w:t>
      </w:r>
      <w:r>
        <w:rPr>
          <w:rFonts w:asciiTheme="minorHAnsi" w:hAnsiTheme="minorHAnsi" w:cstheme="minorHAnsi"/>
          <w:sz w:val="22"/>
          <w:szCs w:val="22"/>
        </w:rPr>
        <w:t xml:space="preserve">U.S. </w:t>
      </w:r>
      <w:r w:rsidRPr="00B233AA">
        <w:rPr>
          <w:rFonts w:asciiTheme="minorHAnsi" w:hAnsiTheme="minorHAnsi" w:cstheme="minorHAnsi"/>
          <w:sz w:val="22"/>
          <w:szCs w:val="22"/>
        </w:rPr>
        <w:t xml:space="preserve">Congress, </w:t>
      </w:r>
      <w:r>
        <w:rPr>
          <w:rFonts w:asciiTheme="minorHAnsi" w:hAnsiTheme="minorHAnsi" w:cstheme="minorHAnsi"/>
          <w:sz w:val="22"/>
          <w:szCs w:val="22"/>
        </w:rPr>
        <w:t>2014).</w:t>
      </w:r>
    </w:p>
    <w:p w14:paraId="6570DE2D" w14:textId="77777777" w:rsidR="005E44B0" w:rsidRPr="00B233AA" w:rsidRDefault="005E44B0" w:rsidP="005E44B0">
      <w:pPr>
        <w:pStyle w:val="NormalWeb"/>
        <w:spacing w:before="0" w:beforeAutospacing="0" w:after="0" w:afterAutospacing="0"/>
        <w:rPr>
          <w:rFonts w:asciiTheme="minorHAnsi" w:hAnsiTheme="minorHAnsi" w:cstheme="minorHAnsi"/>
          <w:sz w:val="22"/>
          <w:szCs w:val="22"/>
        </w:rPr>
      </w:pPr>
    </w:p>
    <w:p w14:paraId="36084BF9" w14:textId="452F90F5" w:rsidR="005E44B0" w:rsidRPr="004110DB" w:rsidRDefault="005E44B0" w:rsidP="005E44B0">
      <w:pPr>
        <w:pStyle w:val="NormalWeb"/>
        <w:spacing w:before="0" w:beforeAutospacing="0" w:after="0" w:afterAutospacing="0"/>
        <w:rPr>
          <w:rFonts w:asciiTheme="minorHAnsi" w:hAnsiTheme="minorHAnsi" w:cstheme="minorHAnsi"/>
          <w:sz w:val="22"/>
          <w:szCs w:val="22"/>
        </w:rPr>
      </w:pPr>
      <w:r w:rsidRPr="001A641C">
        <w:rPr>
          <w:rFonts w:asciiTheme="minorHAnsi" w:hAnsiTheme="minorHAnsi" w:cstheme="minorHAnsi"/>
          <w:sz w:val="22"/>
          <w:szCs w:val="22"/>
        </w:rPr>
        <w:t>This legislation aimed to improve quality and access to behavioral health services through the creation of federal criteria for Certified Community Behavioral Health Clinics (CCBHCs). </w:t>
      </w:r>
      <w:r>
        <w:rPr>
          <w:rFonts w:asciiTheme="minorHAnsi" w:hAnsiTheme="minorHAnsi" w:cstheme="minorHAnsi"/>
          <w:sz w:val="22"/>
          <w:szCs w:val="22"/>
        </w:rPr>
        <w:t xml:space="preserve">It authorized </w:t>
      </w:r>
      <w:r w:rsidRPr="001A641C">
        <w:rPr>
          <w:rFonts w:asciiTheme="minorHAnsi" w:hAnsiTheme="minorHAnsi" w:cstheme="minorHAnsi"/>
          <w:sz w:val="22"/>
          <w:szCs w:val="22"/>
        </w:rPr>
        <w:t>an eight-state demonstration program</w:t>
      </w:r>
      <w:r>
        <w:rPr>
          <w:rFonts w:asciiTheme="minorHAnsi" w:hAnsiTheme="minorHAnsi" w:cstheme="minorHAnsi"/>
          <w:sz w:val="22"/>
          <w:szCs w:val="22"/>
        </w:rPr>
        <w:t>,</w:t>
      </w:r>
      <w:r w:rsidRPr="001A641C">
        <w:rPr>
          <w:rFonts w:asciiTheme="minorHAnsi" w:hAnsiTheme="minorHAnsi" w:cstheme="minorHAnsi"/>
          <w:sz w:val="22"/>
          <w:szCs w:val="22"/>
        </w:rPr>
        <w:t xml:space="preserve"> </w:t>
      </w:r>
      <w:r>
        <w:rPr>
          <w:rFonts w:asciiTheme="minorHAnsi" w:hAnsiTheme="minorHAnsi" w:cstheme="minorHAnsi"/>
          <w:sz w:val="22"/>
          <w:szCs w:val="22"/>
        </w:rPr>
        <w:t>funded by</w:t>
      </w:r>
      <w:r w:rsidRPr="001A641C">
        <w:rPr>
          <w:rFonts w:asciiTheme="minorHAnsi" w:hAnsiTheme="minorHAnsi" w:cstheme="minorHAnsi"/>
          <w:sz w:val="22"/>
          <w:szCs w:val="22"/>
        </w:rPr>
        <w:t xml:space="preserve"> the single largest federal investment in community behavioral health in more than 50 years.</w:t>
      </w:r>
      <w:r>
        <w:rPr>
          <w:rFonts w:asciiTheme="minorHAnsi" w:hAnsiTheme="minorHAnsi" w:cstheme="minorHAnsi"/>
          <w:sz w:val="22"/>
          <w:szCs w:val="22"/>
        </w:rPr>
        <w:t xml:space="preserve"> </w:t>
      </w:r>
      <w:r w:rsidRPr="001A641C">
        <w:rPr>
          <w:rFonts w:asciiTheme="minorHAnsi" w:hAnsiTheme="minorHAnsi" w:cstheme="minorHAnsi"/>
          <w:sz w:val="22"/>
          <w:szCs w:val="22"/>
        </w:rPr>
        <w:t xml:space="preserve">Twenty-five million dollars in planning grants </w:t>
      </w:r>
      <w:r>
        <w:rPr>
          <w:rFonts w:asciiTheme="minorHAnsi" w:hAnsiTheme="minorHAnsi" w:cstheme="minorHAnsi"/>
          <w:sz w:val="22"/>
          <w:szCs w:val="22"/>
        </w:rPr>
        <w:t>were</w:t>
      </w:r>
      <w:r w:rsidRPr="001A641C">
        <w:rPr>
          <w:rFonts w:asciiTheme="minorHAnsi" w:hAnsiTheme="minorHAnsi" w:cstheme="minorHAnsi"/>
          <w:sz w:val="22"/>
          <w:szCs w:val="22"/>
        </w:rPr>
        <w:t xml:space="preserve"> </w:t>
      </w:r>
      <w:r>
        <w:rPr>
          <w:rFonts w:asciiTheme="minorHAnsi" w:hAnsiTheme="minorHAnsi" w:cstheme="minorHAnsi"/>
          <w:sz w:val="22"/>
          <w:szCs w:val="22"/>
        </w:rPr>
        <w:t>awarded</w:t>
      </w:r>
      <w:r w:rsidRPr="001A641C">
        <w:rPr>
          <w:rFonts w:asciiTheme="minorHAnsi" w:hAnsiTheme="minorHAnsi" w:cstheme="minorHAnsi"/>
          <w:sz w:val="22"/>
          <w:szCs w:val="22"/>
        </w:rPr>
        <w:t xml:space="preserve"> to states to assist with planning grant activities focus</w:t>
      </w:r>
      <w:r>
        <w:rPr>
          <w:rFonts w:asciiTheme="minorHAnsi" w:hAnsiTheme="minorHAnsi" w:cstheme="minorHAnsi"/>
          <w:sz w:val="22"/>
          <w:szCs w:val="22"/>
        </w:rPr>
        <w:t>ed</w:t>
      </w:r>
      <w:r w:rsidRPr="001A641C">
        <w:rPr>
          <w:rFonts w:asciiTheme="minorHAnsi" w:hAnsiTheme="minorHAnsi" w:cstheme="minorHAnsi"/>
          <w:sz w:val="22"/>
          <w:szCs w:val="22"/>
        </w:rPr>
        <w:t xml:space="preserve"> on the development of a CCBHC demonstration </w:t>
      </w:r>
      <w:r w:rsidRPr="004110DB">
        <w:rPr>
          <w:rFonts w:asciiTheme="minorHAnsi" w:hAnsiTheme="minorHAnsi" w:cstheme="minorHAnsi"/>
          <w:sz w:val="22"/>
          <w:szCs w:val="22"/>
        </w:rPr>
        <w:t>application (</w:t>
      </w:r>
      <w:r w:rsidR="006F1F0D">
        <w:rPr>
          <w:rFonts w:asciiTheme="minorHAnsi" w:hAnsiTheme="minorHAnsi" w:cstheme="minorHAnsi"/>
          <w:sz w:val="22"/>
          <w:szCs w:val="22"/>
        </w:rPr>
        <w:t>OHA</w:t>
      </w:r>
      <w:r w:rsidRPr="004110DB">
        <w:rPr>
          <w:rFonts w:asciiTheme="minorHAnsi" w:hAnsiTheme="minorHAnsi" w:cstheme="minorHAnsi"/>
          <w:sz w:val="22"/>
          <w:szCs w:val="22"/>
        </w:rPr>
        <w:t>, n</w:t>
      </w:r>
      <w:r>
        <w:rPr>
          <w:rFonts w:asciiTheme="minorHAnsi" w:hAnsiTheme="minorHAnsi" w:cstheme="minorHAnsi"/>
          <w:sz w:val="22"/>
          <w:szCs w:val="22"/>
        </w:rPr>
        <w:t>.</w:t>
      </w:r>
      <w:r w:rsidRPr="004110DB">
        <w:rPr>
          <w:rFonts w:asciiTheme="minorHAnsi" w:hAnsiTheme="minorHAnsi" w:cstheme="minorHAnsi"/>
          <w:sz w:val="22"/>
          <w:szCs w:val="22"/>
        </w:rPr>
        <w:t>d</w:t>
      </w:r>
      <w:r>
        <w:rPr>
          <w:rFonts w:asciiTheme="minorHAnsi" w:hAnsiTheme="minorHAnsi" w:cstheme="minorHAnsi"/>
          <w:sz w:val="22"/>
          <w:szCs w:val="22"/>
        </w:rPr>
        <w:t>.(a)</w:t>
      </w:r>
      <w:r w:rsidRPr="004110DB">
        <w:rPr>
          <w:rFonts w:asciiTheme="minorHAnsi" w:hAnsiTheme="minorHAnsi" w:cstheme="minorHAnsi"/>
          <w:sz w:val="22"/>
          <w:szCs w:val="22"/>
        </w:rPr>
        <w:t xml:space="preserve">). Oregon applied for a </w:t>
      </w:r>
      <w:r>
        <w:rPr>
          <w:rFonts w:asciiTheme="minorHAnsi" w:hAnsiTheme="minorHAnsi" w:cstheme="minorHAnsi"/>
          <w:sz w:val="22"/>
          <w:szCs w:val="22"/>
        </w:rPr>
        <w:t xml:space="preserve">CCBHC </w:t>
      </w:r>
      <w:r w:rsidRPr="004110DB">
        <w:rPr>
          <w:rFonts w:asciiTheme="minorHAnsi" w:hAnsiTheme="minorHAnsi" w:cstheme="minorHAnsi"/>
          <w:sz w:val="22"/>
          <w:szCs w:val="22"/>
        </w:rPr>
        <w:t>planning grant, as the program align</w:t>
      </w:r>
      <w:r>
        <w:rPr>
          <w:rFonts w:asciiTheme="minorHAnsi" w:hAnsiTheme="minorHAnsi" w:cstheme="minorHAnsi"/>
          <w:sz w:val="22"/>
          <w:szCs w:val="22"/>
        </w:rPr>
        <w:t>ed</w:t>
      </w:r>
      <w:r w:rsidRPr="004110DB">
        <w:rPr>
          <w:rFonts w:asciiTheme="minorHAnsi" w:hAnsiTheme="minorHAnsi" w:cstheme="minorHAnsi"/>
          <w:sz w:val="22"/>
          <w:szCs w:val="22"/>
        </w:rPr>
        <w:t xml:space="preserve"> with the state</w:t>
      </w:r>
      <w:r w:rsidR="00B0333A">
        <w:rPr>
          <w:rFonts w:asciiTheme="minorHAnsi" w:hAnsiTheme="minorHAnsi" w:cstheme="minorHAnsi"/>
          <w:sz w:val="22"/>
          <w:szCs w:val="22"/>
        </w:rPr>
        <w:t>’</w:t>
      </w:r>
      <w:r w:rsidRPr="004110DB">
        <w:rPr>
          <w:rFonts w:asciiTheme="minorHAnsi" w:hAnsiTheme="minorHAnsi" w:cstheme="minorHAnsi"/>
          <w:sz w:val="22"/>
          <w:szCs w:val="22"/>
        </w:rPr>
        <w:t xml:space="preserve">s broader </w:t>
      </w:r>
      <w:r>
        <w:rPr>
          <w:rFonts w:asciiTheme="minorHAnsi" w:hAnsiTheme="minorHAnsi" w:cstheme="minorHAnsi"/>
          <w:sz w:val="22"/>
          <w:szCs w:val="22"/>
        </w:rPr>
        <w:t>healthcare</w:t>
      </w:r>
      <w:r w:rsidRPr="004110DB">
        <w:rPr>
          <w:rFonts w:asciiTheme="minorHAnsi" w:hAnsiTheme="minorHAnsi" w:cstheme="minorHAnsi"/>
          <w:sz w:val="22"/>
          <w:szCs w:val="22"/>
        </w:rPr>
        <w:t xml:space="preserve">​ transformation efforts, enabling Oregon to further advance behavioral </w:t>
      </w:r>
      <w:r>
        <w:rPr>
          <w:rFonts w:asciiTheme="minorHAnsi" w:hAnsiTheme="minorHAnsi" w:cstheme="minorHAnsi"/>
          <w:sz w:val="22"/>
          <w:szCs w:val="22"/>
        </w:rPr>
        <w:t>healthcare</w:t>
      </w:r>
      <w:r w:rsidRPr="004110DB">
        <w:rPr>
          <w:rFonts w:asciiTheme="minorHAnsi" w:hAnsiTheme="minorHAnsi" w:cstheme="minorHAnsi"/>
          <w:sz w:val="22"/>
          <w:szCs w:val="22"/>
        </w:rPr>
        <w:t xml:space="preserve"> for Oregonians.</w:t>
      </w:r>
    </w:p>
    <w:p w14:paraId="7757714F" w14:textId="77777777" w:rsidR="005E44B0" w:rsidRPr="004110DB" w:rsidRDefault="005E44B0" w:rsidP="005E44B0">
      <w:pPr>
        <w:rPr>
          <w:rFonts w:cstheme="minorHAnsi"/>
          <w:sz w:val="22"/>
          <w:szCs w:val="22"/>
        </w:rPr>
      </w:pPr>
    </w:p>
    <w:p w14:paraId="18F91F5C" w14:textId="74B87348" w:rsidR="00BB1E16" w:rsidRDefault="005E44B0" w:rsidP="005E44B0">
      <w:pPr>
        <w:rPr>
          <w:rFonts w:cstheme="minorHAnsi"/>
          <w:sz w:val="22"/>
          <w:szCs w:val="22"/>
        </w:rPr>
      </w:pPr>
      <w:r w:rsidRPr="00124BCC">
        <w:rPr>
          <w:rFonts w:cstheme="minorHAnsi"/>
          <w:sz w:val="22"/>
          <w:szCs w:val="22"/>
        </w:rPr>
        <w:t>In 2015, Oregon was selected by the U</w:t>
      </w:r>
      <w:r>
        <w:rPr>
          <w:rFonts w:cstheme="minorHAnsi"/>
          <w:sz w:val="22"/>
          <w:szCs w:val="22"/>
        </w:rPr>
        <w:t>.</w:t>
      </w:r>
      <w:r w:rsidRPr="00124BCC">
        <w:rPr>
          <w:rFonts w:cstheme="minorHAnsi"/>
          <w:sz w:val="22"/>
          <w:szCs w:val="22"/>
        </w:rPr>
        <w:t>S</w:t>
      </w:r>
      <w:r>
        <w:rPr>
          <w:rFonts w:cstheme="minorHAnsi"/>
          <w:sz w:val="22"/>
          <w:szCs w:val="22"/>
        </w:rPr>
        <w:t>.</w:t>
      </w:r>
      <w:r w:rsidRPr="00124BCC">
        <w:rPr>
          <w:rFonts w:cstheme="minorHAnsi"/>
          <w:sz w:val="22"/>
          <w:szCs w:val="22"/>
        </w:rPr>
        <w:t xml:space="preserve"> Department of Health and Human Services (HHS) as one of eight </w:t>
      </w:r>
      <w:r w:rsidRPr="004110DB">
        <w:rPr>
          <w:rFonts w:cstheme="minorHAnsi"/>
          <w:sz w:val="22"/>
          <w:szCs w:val="22"/>
        </w:rPr>
        <w:t xml:space="preserve">states to receive a planning grant to test new strategies to improve accessibility, quality, and outcomes of services provided in community mental health centers certified as CCBHCs. The Oregon Health Authority </w:t>
      </w:r>
      <w:r>
        <w:rPr>
          <w:rFonts w:cstheme="minorHAnsi"/>
          <w:sz w:val="22"/>
          <w:szCs w:val="22"/>
        </w:rPr>
        <w:t xml:space="preserve">(OHA) </w:t>
      </w:r>
      <w:r w:rsidRPr="004110DB">
        <w:rPr>
          <w:rFonts w:cstheme="minorHAnsi"/>
          <w:sz w:val="22"/>
          <w:szCs w:val="22"/>
        </w:rPr>
        <w:t xml:space="preserve">subsequently submitted an application to </w:t>
      </w:r>
      <w:r w:rsidR="00F128DF">
        <w:rPr>
          <w:rFonts w:cstheme="minorHAnsi"/>
          <w:sz w:val="22"/>
          <w:szCs w:val="22"/>
        </w:rPr>
        <w:t xml:space="preserve">the </w:t>
      </w:r>
      <w:r w:rsidR="00F128DF" w:rsidRPr="005665C2">
        <w:rPr>
          <w:rFonts w:cstheme="minorHAnsi"/>
          <w:sz w:val="22"/>
          <w:szCs w:val="22"/>
        </w:rPr>
        <w:t>Substance Abuse and Mental Health Services Administration</w:t>
      </w:r>
      <w:r w:rsidR="00F128DF" w:rsidRPr="004110DB">
        <w:rPr>
          <w:rFonts w:cstheme="minorHAnsi"/>
          <w:sz w:val="22"/>
          <w:szCs w:val="22"/>
        </w:rPr>
        <w:t xml:space="preserve"> </w:t>
      </w:r>
      <w:r w:rsidR="00F128DF">
        <w:rPr>
          <w:rFonts w:cstheme="minorHAnsi"/>
          <w:sz w:val="22"/>
          <w:szCs w:val="22"/>
        </w:rPr>
        <w:t>(</w:t>
      </w:r>
      <w:r w:rsidRPr="004110DB">
        <w:rPr>
          <w:rFonts w:cstheme="minorHAnsi"/>
          <w:sz w:val="22"/>
          <w:szCs w:val="22"/>
        </w:rPr>
        <w:t>SAMHSA</w:t>
      </w:r>
      <w:r w:rsidR="00F128DF">
        <w:rPr>
          <w:rFonts w:cstheme="minorHAnsi"/>
          <w:sz w:val="22"/>
          <w:szCs w:val="22"/>
        </w:rPr>
        <w:t>)</w:t>
      </w:r>
      <w:r w:rsidRPr="004110DB">
        <w:rPr>
          <w:rFonts w:cstheme="minorHAnsi"/>
          <w:sz w:val="22"/>
          <w:szCs w:val="22"/>
        </w:rPr>
        <w:t xml:space="preserve"> to be considered for participation in the 2017-2019 CCBHC Demonstration Program. In December 2016, Oregon was selected as one of eight demonstration states. The CCBHC demonstration was designed</w:t>
      </w:r>
      <w:r w:rsidRPr="004110DB">
        <w:rPr>
          <w:rFonts w:cstheme="minorHAnsi"/>
          <w:sz w:val="22"/>
          <w:szCs w:val="22"/>
          <w:shd w:val="clear" w:color="auto" w:fill="FFFFFF"/>
        </w:rPr>
        <w:t xml:space="preserve"> to provide whole-person care to individuals with behavioral health needs</w:t>
      </w:r>
      <w:r>
        <w:rPr>
          <w:rFonts w:cstheme="minorHAnsi"/>
          <w:sz w:val="22"/>
          <w:szCs w:val="22"/>
          <w:shd w:val="clear" w:color="auto" w:fill="FFFFFF"/>
        </w:rPr>
        <w:t xml:space="preserve">, including those with substance use disorder (SUD), </w:t>
      </w:r>
      <w:r w:rsidRPr="004110DB">
        <w:rPr>
          <w:rFonts w:cstheme="minorHAnsi"/>
          <w:sz w:val="22"/>
          <w:szCs w:val="22"/>
          <w:shd w:val="clear" w:color="auto" w:fill="FFFFFF"/>
        </w:rPr>
        <w:t>serious behavioral health needs</w:t>
      </w:r>
      <w:r>
        <w:rPr>
          <w:rFonts w:cstheme="minorHAnsi"/>
          <w:sz w:val="22"/>
          <w:szCs w:val="22"/>
          <w:shd w:val="clear" w:color="auto" w:fill="FFFFFF"/>
        </w:rPr>
        <w:t>, and those with a dual diagnosis (i.e., behavioral health needs with comorbid SUD)</w:t>
      </w:r>
      <w:r w:rsidRPr="004110DB">
        <w:rPr>
          <w:rFonts w:cstheme="minorHAnsi"/>
          <w:sz w:val="22"/>
          <w:szCs w:val="22"/>
          <w:shd w:val="clear" w:color="auto" w:fill="FFFFFF"/>
        </w:rPr>
        <w:t xml:space="preserve">. CCBHCs integrate </w:t>
      </w:r>
      <w:r>
        <w:rPr>
          <w:rFonts w:cstheme="minorHAnsi"/>
          <w:color w:val="000000"/>
          <w:sz w:val="22"/>
          <w:szCs w:val="22"/>
        </w:rPr>
        <w:t>behavioral health</w:t>
      </w:r>
      <w:r w:rsidRPr="004110DB">
        <w:rPr>
          <w:rFonts w:cstheme="minorHAnsi"/>
          <w:color w:val="000000"/>
          <w:sz w:val="22"/>
          <w:szCs w:val="22"/>
        </w:rPr>
        <w:t xml:space="preserve"> and substance</w:t>
      </w:r>
      <w:r w:rsidRPr="00124BCC">
        <w:rPr>
          <w:rFonts w:cstheme="minorHAnsi"/>
          <w:color w:val="000000"/>
          <w:sz w:val="22"/>
          <w:szCs w:val="22"/>
        </w:rPr>
        <w:t xml:space="preserve"> use disorder treatment with primary care services </w:t>
      </w:r>
      <w:r w:rsidRPr="00124BCC">
        <w:rPr>
          <w:rFonts w:cstheme="minorHAnsi"/>
          <w:sz w:val="22"/>
          <w:szCs w:val="22"/>
          <w:shd w:val="clear" w:color="auto" w:fill="FFFFFF"/>
        </w:rPr>
        <w:t xml:space="preserve">and address social determinants of health that can influence health outcomes. </w:t>
      </w:r>
      <w:r>
        <w:rPr>
          <w:rFonts w:cstheme="minorHAnsi"/>
          <w:sz w:val="22"/>
          <w:szCs w:val="22"/>
        </w:rPr>
        <w:t>CCBHCs are required to serve anyone regardless of insurance status or ability to pay.</w:t>
      </w:r>
      <w:r w:rsidRPr="0064067F">
        <w:rPr>
          <w:rFonts w:cstheme="minorHAnsi"/>
          <w:sz w:val="22"/>
          <w:szCs w:val="22"/>
        </w:rPr>
        <w:t xml:space="preserve"> </w:t>
      </w:r>
      <w:r w:rsidRPr="00124BCC">
        <w:rPr>
          <w:rFonts w:cstheme="minorHAnsi"/>
          <w:sz w:val="22"/>
          <w:szCs w:val="22"/>
        </w:rPr>
        <w:t xml:space="preserve">The CCBHCs in Oregon are overseen by OHA. Twelve clinics </w:t>
      </w:r>
      <w:r>
        <w:rPr>
          <w:rFonts w:cstheme="minorHAnsi"/>
          <w:sz w:val="22"/>
          <w:szCs w:val="22"/>
        </w:rPr>
        <w:t>were certified</w:t>
      </w:r>
      <w:r w:rsidRPr="00124BCC">
        <w:rPr>
          <w:rFonts w:cstheme="minorHAnsi"/>
          <w:sz w:val="22"/>
          <w:szCs w:val="22"/>
        </w:rPr>
        <w:t xml:space="preserve"> as CCBHCs when Oregon’s demonstration </w:t>
      </w:r>
      <w:r>
        <w:rPr>
          <w:rFonts w:cstheme="minorHAnsi"/>
          <w:sz w:val="22"/>
          <w:szCs w:val="22"/>
        </w:rPr>
        <w:t>program began</w:t>
      </w:r>
      <w:r w:rsidRPr="00124BCC">
        <w:rPr>
          <w:rFonts w:cstheme="minorHAnsi"/>
          <w:sz w:val="22"/>
          <w:szCs w:val="22"/>
        </w:rPr>
        <w:t xml:space="preserve"> on April 1, 2017</w:t>
      </w:r>
      <w:r>
        <w:rPr>
          <w:rFonts w:cstheme="minorHAnsi"/>
          <w:sz w:val="22"/>
          <w:szCs w:val="22"/>
        </w:rPr>
        <w:t xml:space="preserve"> (</w:t>
      </w:r>
      <w:r w:rsidR="006F1F0D">
        <w:rPr>
          <w:rFonts w:cstheme="minorHAnsi"/>
          <w:sz w:val="22"/>
          <w:szCs w:val="22"/>
        </w:rPr>
        <w:t>OHA</w:t>
      </w:r>
      <w:r>
        <w:rPr>
          <w:rFonts w:cstheme="minorHAnsi"/>
          <w:sz w:val="22"/>
          <w:szCs w:val="22"/>
        </w:rPr>
        <w:t>, n.d.(b))</w:t>
      </w:r>
      <w:r w:rsidRPr="00124BCC">
        <w:rPr>
          <w:rFonts w:cstheme="minorHAnsi"/>
          <w:sz w:val="22"/>
          <w:szCs w:val="22"/>
        </w:rPr>
        <w:t>.</w:t>
      </w:r>
    </w:p>
    <w:p w14:paraId="1DAF230B" w14:textId="77777777" w:rsidR="005E44B0" w:rsidRPr="00124BCC" w:rsidRDefault="005E44B0" w:rsidP="005E44B0">
      <w:pPr>
        <w:rPr>
          <w:rFonts w:cstheme="minorHAnsi"/>
          <w:sz w:val="22"/>
          <w:szCs w:val="22"/>
        </w:rPr>
      </w:pPr>
    </w:p>
    <w:p w14:paraId="2834CDB0" w14:textId="339B5E4E" w:rsidR="00BB1E16" w:rsidRDefault="00BB1E16" w:rsidP="00BB1E16">
      <w:pPr>
        <w:rPr>
          <w:rFonts w:cstheme="minorHAnsi"/>
          <w:sz w:val="22"/>
          <w:szCs w:val="22"/>
        </w:rPr>
      </w:pPr>
      <w:r w:rsidRPr="00124BCC">
        <w:rPr>
          <w:rFonts w:cstheme="minorHAnsi"/>
          <w:sz w:val="22"/>
          <w:szCs w:val="22"/>
        </w:rPr>
        <w:t>In 2021, the Oregon legislature directed OHA to evaluate whether CCBHCs:</w:t>
      </w:r>
    </w:p>
    <w:p w14:paraId="0CC3946F" w14:textId="300BB783" w:rsidR="00BB1E16" w:rsidRPr="00124BCC" w:rsidRDefault="00BB1E16">
      <w:pPr>
        <w:pStyle w:val="ListParagraph"/>
        <w:numPr>
          <w:ilvl w:val="0"/>
          <w:numId w:val="2"/>
        </w:numPr>
        <w:rPr>
          <w:rFonts w:cstheme="minorHAnsi"/>
          <w:sz w:val="22"/>
          <w:szCs w:val="22"/>
        </w:rPr>
      </w:pPr>
      <w:r>
        <w:rPr>
          <w:rFonts w:cstheme="minorHAnsi"/>
          <w:sz w:val="22"/>
          <w:szCs w:val="22"/>
        </w:rPr>
        <w:t>I</w:t>
      </w:r>
      <w:r w:rsidRPr="00124BCC">
        <w:rPr>
          <w:rFonts w:cstheme="minorHAnsi"/>
          <w:sz w:val="22"/>
          <w:szCs w:val="22"/>
        </w:rPr>
        <w:t xml:space="preserve">ncrease access to behavioral health treatment for residents of this state; </w:t>
      </w:r>
    </w:p>
    <w:p w14:paraId="46222257" w14:textId="2ECA7F08" w:rsidR="00BB1E16" w:rsidRPr="00124BCC" w:rsidRDefault="00BB1E16">
      <w:pPr>
        <w:pStyle w:val="ListParagraph"/>
        <w:numPr>
          <w:ilvl w:val="0"/>
          <w:numId w:val="2"/>
        </w:numPr>
        <w:rPr>
          <w:rFonts w:cstheme="minorHAnsi"/>
          <w:sz w:val="22"/>
          <w:szCs w:val="22"/>
        </w:rPr>
      </w:pPr>
      <w:r>
        <w:rPr>
          <w:rFonts w:cstheme="minorHAnsi"/>
          <w:sz w:val="22"/>
          <w:szCs w:val="22"/>
        </w:rPr>
        <w:t>P</w:t>
      </w:r>
      <w:r w:rsidRPr="00124BCC">
        <w:rPr>
          <w:rFonts w:cstheme="minorHAnsi"/>
          <w:sz w:val="22"/>
          <w:szCs w:val="22"/>
        </w:rPr>
        <w:t xml:space="preserve">rovide integrated physical and behavioral </w:t>
      </w:r>
      <w:r>
        <w:rPr>
          <w:rFonts w:cstheme="minorHAnsi"/>
          <w:sz w:val="22"/>
          <w:szCs w:val="22"/>
        </w:rPr>
        <w:t>healthcare</w:t>
      </w:r>
      <w:r w:rsidRPr="00124BCC">
        <w:rPr>
          <w:rFonts w:cstheme="minorHAnsi"/>
          <w:sz w:val="22"/>
          <w:szCs w:val="22"/>
        </w:rPr>
        <w:t xml:space="preserve">; </w:t>
      </w:r>
    </w:p>
    <w:p w14:paraId="268C5067" w14:textId="0361FD56" w:rsidR="00BB1E16" w:rsidRPr="00124BCC" w:rsidRDefault="00BB1E16">
      <w:pPr>
        <w:pStyle w:val="ListParagraph"/>
        <w:numPr>
          <w:ilvl w:val="0"/>
          <w:numId w:val="2"/>
        </w:numPr>
        <w:rPr>
          <w:rFonts w:cstheme="minorHAnsi"/>
          <w:sz w:val="22"/>
          <w:szCs w:val="22"/>
        </w:rPr>
      </w:pPr>
      <w:r>
        <w:rPr>
          <w:rFonts w:cstheme="minorHAnsi"/>
          <w:sz w:val="22"/>
          <w:szCs w:val="22"/>
        </w:rPr>
        <w:t>O</w:t>
      </w:r>
      <w:r w:rsidRPr="00124BCC">
        <w:rPr>
          <w:rFonts w:cstheme="minorHAnsi"/>
          <w:sz w:val="22"/>
          <w:szCs w:val="22"/>
        </w:rPr>
        <w:t xml:space="preserve">ffer services that result in improved health outcomes, lower overall </w:t>
      </w:r>
      <w:r>
        <w:rPr>
          <w:rFonts w:cstheme="minorHAnsi"/>
          <w:sz w:val="22"/>
          <w:szCs w:val="22"/>
        </w:rPr>
        <w:t>healthcare</w:t>
      </w:r>
      <w:r w:rsidRPr="00124BCC">
        <w:rPr>
          <w:rFonts w:cstheme="minorHAnsi"/>
          <w:sz w:val="22"/>
          <w:szCs w:val="22"/>
        </w:rPr>
        <w:t xml:space="preserve"> costs and improved overall community health; and </w:t>
      </w:r>
    </w:p>
    <w:p w14:paraId="6FF54F5D" w14:textId="04C0ACE1" w:rsidR="00BB1E16" w:rsidRPr="00124BCC" w:rsidRDefault="00BB1E16">
      <w:pPr>
        <w:pStyle w:val="ListParagraph"/>
        <w:numPr>
          <w:ilvl w:val="0"/>
          <w:numId w:val="2"/>
        </w:numPr>
        <w:rPr>
          <w:rFonts w:cstheme="minorHAnsi"/>
          <w:sz w:val="22"/>
          <w:szCs w:val="22"/>
        </w:rPr>
      </w:pPr>
      <w:r>
        <w:rPr>
          <w:rFonts w:cstheme="minorHAnsi"/>
          <w:sz w:val="22"/>
          <w:szCs w:val="22"/>
        </w:rPr>
        <w:t>R</w:t>
      </w:r>
      <w:r w:rsidRPr="00124BCC">
        <w:rPr>
          <w:rFonts w:cstheme="minorHAnsi"/>
          <w:sz w:val="22"/>
          <w:szCs w:val="22"/>
        </w:rPr>
        <w:t xml:space="preserve">educe the cost of care for coordinated care organization members. </w:t>
      </w:r>
    </w:p>
    <w:p w14:paraId="30F29BB8" w14:textId="0C81B149" w:rsidR="00BB1E16" w:rsidRPr="00124BCC" w:rsidRDefault="00BB1E16" w:rsidP="00BB1E16">
      <w:pPr>
        <w:ind w:firstLine="720"/>
        <w:rPr>
          <w:rFonts w:cstheme="minorHAnsi"/>
          <w:i/>
          <w:iCs/>
          <w:sz w:val="22"/>
          <w:szCs w:val="22"/>
        </w:rPr>
      </w:pPr>
      <w:r w:rsidRPr="00124BCC">
        <w:rPr>
          <w:rFonts w:cstheme="minorHAnsi"/>
          <w:i/>
          <w:iCs/>
          <w:sz w:val="22"/>
          <w:szCs w:val="22"/>
        </w:rPr>
        <w:t>From Legislative Fiscal Office</w:t>
      </w:r>
      <w:r>
        <w:rPr>
          <w:rFonts w:cstheme="minorHAnsi"/>
          <w:i/>
          <w:iCs/>
          <w:sz w:val="22"/>
          <w:szCs w:val="22"/>
        </w:rPr>
        <w:t xml:space="preserve"> Report on HB 5024</w:t>
      </w:r>
      <w:r w:rsidRPr="00124BCC">
        <w:rPr>
          <w:rFonts w:cstheme="minorHAnsi"/>
          <w:i/>
          <w:iCs/>
          <w:sz w:val="22"/>
          <w:szCs w:val="22"/>
        </w:rPr>
        <w:t xml:space="preserve"> (2021).</w:t>
      </w:r>
    </w:p>
    <w:p w14:paraId="3B24DDA6" w14:textId="1709193A" w:rsidR="00BB1E16" w:rsidRDefault="00BB1E16" w:rsidP="00BB1E16"/>
    <w:p w14:paraId="128CAAB7" w14:textId="5EB1BFF8" w:rsidR="00BB1E16" w:rsidRPr="007A4F2F" w:rsidRDefault="004E7CF5" w:rsidP="00BB1E16">
      <w:pPr>
        <w:rPr>
          <w:rFonts w:cstheme="minorHAnsi"/>
          <w:sz w:val="22"/>
          <w:szCs w:val="22"/>
        </w:rPr>
      </w:pPr>
      <w:r w:rsidRPr="002F6354">
        <w:rPr>
          <w:rFonts w:cstheme="minorHAnsi"/>
          <w:color w:val="000000" w:themeColor="text1"/>
          <w:sz w:val="22"/>
          <w:szCs w:val="22"/>
        </w:rPr>
        <w:t xml:space="preserve">OHA contracted with a team at the </w:t>
      </w:r>
      <w:r>
        <w:rPr>
          <w:rFonts w:cstheme="minorHAnsi"/>
          <w:color w:val="000000" w:themeColor="text1"/>
          <w:sz w:val="22"/>
          <w:szCs w:val="22"/>
        </w:rPr>
        <w:t>Oregon Health &amp; Science University – Portland State University (</w:t>
      </w:r>
      <w:r w:rsidRPr="002F6354">
        <w:rPr>
          <w:rFonts w:cstheme="minorHAnsi"/>
          <w:color w:val="000000" w:themeColor="text1"/>
          <w:sz w:val="22"/>
          <w:szCs w:val="22"/>
        </w:rPr>
        <w:t>OHSU-PSU</w:t>
      </w:r>
      <w:r>
        <w:rPr>
          <w:rFonts w:cstheme="minorHAnsi"/>
          <w:color w:val="000000" w:themeColor="text1"/>
          <w:sz w:val="22"/>
          <w:szCs w:val="22"/>
        </w:rPr>
        <w:t>)</w:t>
      </w:r>
      <w:r w:rsidRPr="002F6354">
        <w:rPr>
          <w:rFonts w:cstheme="minorHAnsi"/>
          <w:color w:val="000000" w:themeColor="text1"/>
          <w:sz w:val="22"/>
          <w:szCs w:val="22"/>
        </w:rPr>
        <w:t xml:space="preserve"> School of Public Health to conduct </w:t>
      </w:r>
      <w:r>
        <w:rPr>
          <w:rFonts w:cstheme="minorHAnsi"/>
          <w:color w:val="000000" w:themeColor="text1"/>
          <w:sz w:val="22"/>
          <w:szCs w:val="22"/>
        </w:rPr>
        <w:t>the</w:t>
      </w:r>
      <w:r w:rsidRPr="002F6354">
        <w:rPr>
          <w:rFonts w:cstheme="minorHAnsi"/>
          <w:color w:val="000000" w:themeColor="text1"/>
          <w:sz w:val="22"/>
          <w:szCs w:val="22"/>
        </w:rPr>
        <w:t xml:space="preserve"> evaluation </w:t>
      </w:r>
      <w:r>
        <w:rPr>
          <w:rFonts w:cstheme="minorHAnsi"/>
          <w:color w:val="000000" w:themeColor="text1"/>
          <w:sz w:val="22"/>
          <w:szCs w:val="22"/>
        </w:rPr>
        <w:t xml:space="preserve">to respond to the legislative directive. </w:t>
      </w:r>
      <w:r w:rsidR="00BB1E16" w:rsidRPr="00124BCC">
        <w:rPr>
          <w:rFonts w:cstheme="minorHAnsi"/>
          <w:sz w:val="22"/>
          <w:szCs w:val="22"/>
        </w:rPr>
        <w:t xml:space="preserve">This evaluation was designed to address these </w:t>
      </w:r>
      <w:r w:rsidR="00BB1E16">
        <w:rPr>
          <w:rFonts w:cstheme="minorHAnsi"/>
          <w:sz w:val="22"/>
          <w:szCs w:val="22"/>
        </w:rPr>
        <w:t>four points</w:t>
      </w:r>
      <w:r w:rsidR="00BB1E16" w:rsidRPr="00124BCC">
        <w:rPr>
          <w:rFonts w:cstheme="minorHAnsi"/>
          <w:sz w:val="22"/>
          <w:szCs w:val="22"/>
        </w:rPr>
        <w:t xml:space="preserve"> retrospectively (</w:t>
      </w:r>
      <w:r w:rsidR="0058670B">
        <w:rPr>
          <w:rFonts w:cstheme="minorHAnsi"/>
          <w:sz w:val="22"/>
          <w:szCs w:val="22"/>
        </w:rPr>
        <w:t>e.g.</w:t>
      </w:r>
      <w:r w:rsidR="00BB1E16">
        <w:rPr>
          <w:rFonts w:cstheme="minorHAnsi"/>
          <w:sz w:val="22"/>
          <w:szCs w:val="22"/>
        </w:rPr>
        <w:t>,</w:t>
      </w:r>
      <w:r w:rsidR="00BB1E16" w:rsidRPr="00124BCC">
        <w:rPr>
          <w:rFonts w:cstheme="minorHAnsi"/>
          <w:sz w:val="22"/>
          <w:szCs w:val="22"/>
        </w:rPr>
        <w:t xml:space="preserve"> did the CCBHC demonstration sites meet outcome expectations</w:t>
      </w:r>
      <w:r w:rsidR="00BB1E16">
        <w:rPr>
          <w:rFonts w:cstheme="minorHAnsi"/>
          <w:sz w:val="22"/>
          <w:szCs w:val="22"/>
        </w:rPr>
        <w:t>?</w:t>
      </w:r>
      <w:r w:rsidR="00BB1E16" w:rsidRPr="00124BCC">
        <w:rPr>
          <w:rFonts w:cstheme="minorHAnsi"/>
          <w:sz w:val="22"/>
          <w:szCs w:val="22"/>
        </w:rPr>
        <w:t>) and prospectively (</w:t>
      </w:r>
      <w:r w:rsidR="0058670B">
        <w:rPr>
          <w:rFonts w:cstheme="minorHAnsi"/>
          <w:sz w:val="22"/>
          <w:szCs w:val="22"/>
        </w:rPr>
        <w:t>e.g.</w:t>
      </w:r>
      <w:r w:rsidR="00BB1E16">
        <w:rPr>
          <w:rFonts w:cstheme="minorHAnsi"/>
          <w:sz w:val="22"/>
          <w:szCs w:val="22"/>
        </w:rPr>
        <w:t>,</w:t>
      </w:r>
      <w:r w:rsidR="00BB1E16" w:rsidRPr="00124BCC">
        <w:rPr>
          <w:rFonts w:cstheme="minorHAnsi"/>
          <w:sz w:val="22"/>
          <w:szCs w:val="22"/>
        </w:rPr>
        <w:t xml:space="preserve"> is the CCBHC model sustainable </w:t>
      </w:r>
      <w:r w:rsidR="00BB1E16" w:rsidRPr="007A4F2F">
        <w:rPr>
          <w:rFonts w:cstheme="minorHAnsi"/>
          <w:sz w:val="22"/>
          <w:szCs w:val="22"/>
        </w:rPr>
        <w:t>in Oregon</w:t>
      </w:r>
      <w:r w:rsidR="00BB1E16">
        <w:rPr>
          <w:rFonts w:cstheme="minorHAnsi"/>
          <w:sz w:val="22"/>
          <w:szCs w:val="22"/>
        </w:rPr>
        <w:t>?</w:t>
      </w:r>
      <w:r w:rsidR="00BB1E16" w:rsidRPr="007A4F2F">
        <w:rPr>
          <w:rFonts w:cstheme="minorHAnsi"/>
          <w:sz w:val="22"/>
          <w:szCs w:val="22"/>
        </w:rPr>
        <w:t xml:space="preserve">) using </w:t>
      </w:r>
      <w:r w:rsidR="00BB1E16">
        <w:rPr>
          <w:rFonts w:cstheme="minorHAnsi"/>
          <w:sz w:val="22"/>
          <w:szCs w:val="22"/>
        </w:rPr>
        <w:t xml:space="preserve">a </w:t>
      </w:r>
      <w:r w:rsidR="00BB1E16" w:rsidRPr="007A4F2F">
        <w:rPr>
          <w:rFonts w:cstheme="minorHAnsi"/>
          <w:sz w:val="22"/>
          <w:szCs w:val="22"/>
        </w:rPr>
        <w:t>mixed methods approach</w:t>
      </w:r>
      <w:r w:rsidR="00BB1E16">
        <w:rPr>
          <w:rFonts w:cstheme="minorHAnsi"/>
          <w:sz w:val="22"/>
          <w:szCs w:val="22"/>
        </w:rPr>
        <w:t xml:space="preserve"> informed by </w:t>
      </w:r>
      <w:r w:rsidR="00BB1E16" w:rsidRPr="007A4F2F">
        <w:rPr>
          <w:rFonts w:cstheme="minorHAnsi"/>
          <w:sz w:val="22"/>
          <w:szCs w:val="22"/>
        </w:rPr>
        <w:t>a</w:t>
      </w:r>
      <w:r w:rsidR="00BB1E16">
        <w:rPr>
          <w:rFonts w:cstheme="minorHAnsi"/>
          <w:sz w:val="22"/>
          <w:szCs w:val="22"/>
        </w:rPr>
        <w:t>n equity framework</w:t>
      </w:r>
      <w:r w:rsidR="00BB1E16" w:rsidRPr="007A4F2F">
        <w:rPr>
          <w:rFonts w:cstheme="minorHAnsi"/>
          <w:sz w:val="22"/>
          <w:szCs w:val="22"/>
        </w:rPr>
        <w:t xml:space="preserve">. </w:t>
      </w:r>
      <w:r w:rsidR="0058670B">
        <w:rPr>
          <w:rFonts w:cstheme="minorHAnsi"/>
          <w:sz w:val="22"/>
          <w:szCs w:val="22"/>
        </w:rPr>
        <w:t>T</w:t>
      </w:r>
      <w:r w:rsidR="00BB1E16" w:rsidRPr="007A4F2F">
        <w:rPr>
          <w:rFonts w:cstheme="minorHAnsi"/>
          <w:sz w:val="22"/>
          <w:szCs w:val="22"/>
        </w:rPr>
        <w:t xml:space="preserve">he evaluation team was </w:t>
      </w:r>
      <w:r w:rsidR="0058670B">
        <w:rPr>
          <w:rFonts w:cstheme="minorHAnsi"/>
          <w:sz w:val="22"/>
          <w:szCs w:val="22"/>
        </w:rPr>
        <w:t xml:space="preserve">also </w:t>
      </w:r>
      <w:r w:rsidR="00BB1E16" w:rsidRPr="007A4F2F">
        <w:rPr>
          <w:rFonts w:cstheme="minorHAnsi"/>
          <w:sz w:val="22"/>
          <w:szCs w:val="22"/>
        </w:rPr>
        <w:t xml:space="preserve">directed by OHA to address the sustainability of the CCBHC model, </w:t>
      </w:r>
      <w:r w:rsidR="0058670B">
        <w:rPr>
          <w:rFonts w:cstheme="minorHAnsi"/>
          <w:sz w:val="22"/>
          <w:szCs w:val="22"/>
        </w:rPr>
        <w:t>and</w:t>
      </w:r>
      <w:r w:rsidR="00BB1E16" w:rsidRPr="007A4F2F">
        <w:rPr>
          <w:rFonts w:cstheme="minorHAnsi"/>
          <w:sz w:val="22"/>
          <w:szCs w:val="22"/>
        </w:rPr>
        <w:t xml:space="preserve"> the potential role </w:t>
      </w:r>
      <w:r w:rsidR="00501B06">
        <w:rPr>
          <w:rFonts w:cstheme="minorHAnsi"/>
          <w:sz w:val="22"/>
          <w:szCs w:val="22"/>
        </w:rPr>
        <w:t xml:space="preserve">of CCBHCs </w:t>
      </w:r>
      <w:r w:rsidR="00BB1E16" w:rsidRPr="007A4F2F">
        <w:rPr>
          <w:rFonts w:cstheme="minorHAnsi"/>
          <w:sz w:val="22"/>
          <w:szCs w:val="22"/>
        </w:rPr>
        <w:t>in future Oregon health systems reform</w:t>
      </w:r>
      <w:r w:rsidR="00BB1E16">
        <w:rPr>
          <w:rFonts w:cstheme="minorHAnsi"/>
          <w:sz w:val="22"/>
          <w:szCs w:val="22"/>
        </w:rPr>
        <w:t xml:space="preserve"> and transformation</w:t>
      </w:r>
      <w:r w:rsidR="00BB1E16" w:rsidRPr="007A4F2F">
        <w:rPr>
          <w:rFonts w:cstheme="minorHAnsi"/>
          <w:sz w:val="22"/>
          <w:szCs w:val="22"/>
        </w:rPr>
        <w:t>.</w:t>
      </w:r>
    </w:p>
    <w:p w14:paraId="397DF98F" w14:textId="77777777" w:rsidR="00BB1E16" w:rsidRPr="007A4F2F" w:rsidRDefault="00BB1E16" w:rsidP="00BB1E16">
      <w:pPr>
        <w:rPr>
          <w:rFonts w:cstheme="minorHAnsi"/>
          <w:sz w:val="22"/>
          <w:szCs w:val="22"/>
        </w:rPr>
      </w:pPr>
    </w:p>
    <w:p w14:paraId="30DBBCF0" w14:textId="4A6F7E0E" w:rsidR="00BB1E16" w:rsidRPr="0058670B" w:rsidRDefault="005E44B0" w:rsidP="00BB1E16">
      <w:pPr>
        <w:rPr>
          <w:rFonts w:cstheme="minorHAnsi"/>
          <w:sz w:val="22"/>
          <w:szCs w:val="22"/>
        </w:rPr>
      </w:pPr>
      <w:r w:rsidRPr="007A4F2F">
        <w:rPr>
          <w:rFonts w:cstheme="minorHAnsi"/>
          <w:sz w:val="22"/>
          <w:szCs w:val="22"/>
        </w:rPr>
        <w:t>Oregon’s behavioral health system faces many well-documented challenges including inadequate data infrastructure and a lack of performance measures; lack of intensive residential treatment beds, particularly for children; workforce shortages; lack of coordination among state agencies and within the behavioral health system; and lack of consistent leadership and strategic vision for behavioral health (</w:t>
      </w:r>
      <w:sdt>
        <w:sdtPr>
          <w:rPr>
            <w:rFonts w:cstheme="minorHAnsi"/>
            <w:sz w:val="22"/>
            <w:szCs w:val="22"/>
          </w:rPr>
          <w:tag w:val="goog_rdk_2"/>
          <w:id w:val="-922261040"/>
        </w:sdtPr>
        <w:sdtEndPr/>
        <w:sdtContent/>
      </w:sdt>
      <w:r>
        <w:rPr>
          <w:rFonts w:cstheme="minorHAnsi"/>
          <w:sz w:val="22"/>
          <w:szCs w:val="22"/>
        </w:rPr>
        <w:t>Secretary of State</w:t>
      </w:r>
      <w:r w:rsidRPr="004623EC">
        <w:rPr>
          <w:rFonts w:cstheme="minorHAnsi"/>
          <w:sz w:val="22"/>
          <w:szCs w:val="22"/>
        </w:rPr>
        <w:t>, 2020).</w:t>
      </w:r>
      <w:r w:rsidRPr="007A4F2F">
        <w:rPr>
          <w:rFonts w:cstheme="minorHAnsi"/>
          <w:sz w:val="22"/>
          <w:szCs w:val="22"/>
        </w:rPr>
        <w:t xml:space="preserve"> </w:t>
      </w:r>
      <w:r>
        <w:rPr>
          <w:rFonts w:cstheme="minorHAnsi"/>
          <w:sz w:val="22"/>
          <w:szCs w:val="22"/>
        </w:rPr>
        <w:t>Oregon currently does not have the capacity to adequately meet the needs of Oregonians with substance use disorders and substance misuse; there is a 49% gap in p</w:t>
      </w:r>
      <w:r w:rsidRPr="00D870EB">
        <w:rPr>
          <w:rFonts w:cstheme="minorHAnsi"/>
          <w:sz w:val="22"/>
          <w:szCs w:val="22"/>
        </w:rPr>
        <w:t>revention, harm reduction, treatment</w:t>
      </w:r>
      <w:r>
        <w:rPr>
          <w:rFonts w:cstheme="minorHAnsi"/>
          <w:sz w:val="22"/>
          <w:szCs w:val="22"/>
        </w:rPr>
        <w:t>,</w:t>
      </w:r>
      <w:r w:rsidRPr="00D870EB">
        <w:rPr>
          <w:rFonts w:cstheme="minorHAnsi"/>
          <w:sz w:val="22"/>
          <w:szCs w:val="22"/>
        </w:rPr>
        <w:t xml:space="preserve"> and recovery services</w:t>
      </w:r>
      <w:r>
        <w:rPr>
          <w:rFonts w:cstheme="minorHAnsi"/>
          <w:sz w:val="22"/>
          <w:szCs w:val="22"/>
        </w:rPr>
        <w:t>, as well as insufficient</w:t>
      </w:r>
      <w:r>
        <w:rPr>
          <w:rFonts w:cstheme="minorHAnsi"/>
          <w:sz w:val="22"/>
          <w:szCs w:val="22"/>
          <w:shd w:val="clear" w:color="auto" w:fill="FFFFFF"/>
        </w:rPr>
        <w:t xml:space="preserve"> </w:t>
      </w:r>
      <w:r w:rsidRPr="00834A3A">
        <w:rPr>
          <w:rFonts w:cstheme="minorHAnsi"/>
          <w:sz w:val="22"/>
          <w:szCs w:val="22"/>
          <w:shd w:val="clear" w:color="auto" w:fill="FFFFFF"/>
        </w:rPr>
        <w:t xml:space="preserve">culturally </w:t>
      </w:r>
      <w:r>
        <w:rPr>
          <w:rFonts w:cstheme="minorHAnsi"/>
          <w:sz w:val="22"/>
          <w:szCs w:val="22"/>
          <w:shd w:val="clear" w:color="auto" w:fill="FFFFFF"/>
        </w:rPr>
        <w:t xml:space="preserve">and linguistically responsive services and a lack of a diverse workforce that reflects the communities served (Lenahan et al., 2022). </w:t>
      </w:r>
      <w:r w:rsidRPr="00D870EB">
        <w:rPr>
          <w:rFonts w:cstheme="minorHAnsi"/>
          <w:sz w:val="22"/>
          <w:szCs w:val="22"/>
        </w:rPr>
        <w:t xml:space="preserve">The </w:t>
      </w:r>
      <w:r w:rsidRPr="007A4F2F">
        <w:rPr>
          <w:rFonts w:cstheme="minorHAnsi"/>
          <w:sz w:val="22"/>
          <w:szCs w:val="22"/>
        </w:rPr>
        <w:t>consequences of these challenges are felt disproportionately among children, youth, and families with complex needs</w:t>
      </w:r>
      <w:r>
        <w:rPr>
          <w:rFonts w:cstheme="minorHAnsi"/>
          <w:sz w:val="22"/>
          <w:szCs w:val="22"/>
        </w:rPr>
        <w:t>,</w:t>
      </w:r>
      <w:r w:rsidRPr="007A4F2F">
        <w:rPr>
          <w:rFonts w:cstheme="minorHAnsi"/>
          <w:sz w:val="22"/>
          <w:szCs w:val="22"/>
        </w:rPr>
        <w:t xml:space="preserve"> as well as </w:t>
      </w:r>
      <w:r w:rsidRPr="009F01EF">
        <w:rPr>
          <w:rFonts w:cstheme="minorHAnsi"/>
          <w:sz w:val="22"/>
          <w:szCs w:val="22"/>
        </w:rPr>
        <w:t>Black</w:t>
      </w:r>
      <w:r>
        <w:rPr>
          <w:rFonts w:cstheme="minorHAnsi"/>
          <w:sz w:val="22"/>
          <w:szCs w:val="22"/>
        </w:rPr>
        <w:t>/African American</w:t>
      </w:r>
      <w:r w:rsidRPr="009F01EF">
        <w:rPr>
          <w:rFonts w:cstheme="minorHAnsi"/>
          <w:sz w:val="22"/>
          <w:szCs w:val="22"/>
        </w:rPr>
        <w:t xml:space="preserve">, Indigenous, and People of Color </w:t>
      </w:r>
      <w:r>
        <w:rPr>
          <w:rFonts w:cstheme="minorHAnsi"/>
          <w:sz w:val="22"/>
          <w:szCs w:val="22"/>
        </w:rPr>
        <w:t>(</w:t>
      </w:r>
      <w:r w:rsidRPr="007A4F2F">
        <w:rPr>
          <w:rFonts w:cstheme="minorHAnsi"/>
          <w:sz w:val="22"/>
          <w:szCs w:val="22"/>
        </w:rPr>
        <w:t>BIPOC</w:t>
      </w:r>
      <w:r>
        <w:rPr>
          <w:rFonts w:cstheme="minorHAnsi"/>
          <w:sz w:val="22"/>
          <w:szCs w:val="22"/>
        </w:rPr>
        <w:t>)</w:t>
      </w:r>
      <w:r w:rsidRPr="007A4F2F">
        <w:rPr>
          <w:rFonts w:cstheme="minorHAnsi"/>
          <w:sz w:val="22"/>
          <w:szCs w:val="22"/>
        </w:rPr>
        <w:t xml:space="preserve"> communities, Tribal communities, LGBTQ+ individuals, and other </w:t>
      </w:r>
      <w:r>
        <w:rPr>
          <w:rFonts w:cstheme="minorHAnsi"/>
          <w:sz w:val="22"/>
          <w:szCs w:val="22"/>
        </w:rPr>
        <w:t>historically and currently underserved</w:t>
      </w:r>
      <w:r w:rsidRPr="007A4F2F">
        <w:rPr>
          <w:rFonts w:cstheme="minorHAnsi"/>
          <w:sz w:val="22"/>
          <w:szCs w:val="22"/>
        </w:rPr>
        <w:t xml:space="preserve"> </w:t>
      </w:r>
      <w:r w:rsidRPr="0058670B">
        <w:rPr>
          <w:rFonts w:cstheme="minorHAnsi"/>
          <w:sz w:val="22"/>
          <w:szCs w:val="22"/>
        </w:rPr>
        <w:t>communities</w:t>
      </w:r>
      <w:r w:rsidR="0058670B" w:rsidRPr="0058670B">
        <w:rPr>
          <w:rFonts w:cstheme="minorHAnsi"/>
          <w:sz w:val="22"/>
          <w:szCs w:val="22"/>
        </w:rPr>
        <w:t xml:space="preserve">. These descriptors of communities reflect the language used in OHA’s </w:t>
      </w:r>
      <w:r w:rsidR="0058670B" w:rsidRPr="001271ED">
        <w:rPr>
          <w:rFonts w:cstheme="minorHAnsi"/>
          <w:i/>
          <w:iCs/>
          <w:sz w:val="22"/>
          <w:szCs w:val="22"/>
        </w:rPr>
        <w:t>Scope of Work</w:t>
      </w:r>
      <w:r w:rsidR="0058670B" w:rsidRPr="0058670B">
        <w:rPr>
          <w:rFonts w:cstheme="minorHAnsi"/>
          <w:sz w:val="22"/>
          <w:szCs w:val="22"/>
        </w:rPr>
        <w:t xml:space="preserve"> for this evaluation; thus, these terms are used throughout this report to reflect OHA usage</w:t>
      </w:r>
      <w:r w:rsidR="0058670B">
        <w:rPr>
          <w:rFonts w:cstheme="minorHAnsi"/>
          <w:sz w:val="22"/>
          <w:szCs w:val="22"/>
        </w:rPr>
        <w:t>.</w:t>
      </w:r>
    </w:p>
    <w:p w14:paraId="78EC22CB" w14:textId="77777777" w:rsidR="00BB1E16" w:rsidRPr="00332476" w:rsidRDefault="00BB1E16" w:rsidP="00BB1E16">
      <w:pPr>
        <w:rPr>
          <w:rFonts w:cstheme="minorHAnsi"/>
          <w:sz w:val="22"/>
          <w:szCs w:val="22"/>
        </w:rPr>
      </w:pPr>
    </w:p>
    <w:p w14:paraId="0C572F88" w14:textId="324AE083" w:rsidR="005E44B0" w:rsidRPr="004D6447" w:rsidRDefault="005E44B0" w:rsidP="005E44B0">
      <w:pPr>
        <w:pStyle w:val="NormalWeb"/>
        <w:spacing w:before="0" w:beforeAutospacing="0" w:after="0" w:afterAutospacing="0"/>
        <w:rPr>
          <w:rFonts w:asciiTheme="minorHAnsi" w:hAnsiTheme="minorHAnsi" w:cstheme="minorHAnsi"/>
          <w:sz w:val="22"/>
          <w:szCs w:val="22"/>
        </w:rPr>
      </w:pPr>
      <w:r w:rsidRPr="004D6447">
        <w:rPr>
          <w:rFonts w:asciiTheme="minorHAnsi" w:hAnsiTheme="minorHAnsi" w:cstheme="minorHAnsi"/>
          <w:sz w:val="22"/>
          <w:szCs w:val="22"/>
        </w:rPr>
        <w:t xml:space="preserve">The Behavioral Health </w:t>
      </w:r>
      <w:r w:rsidR="00B0333A">
        <w:rPr>
          <w:rFonts w:asciiTheme="minorHAnsi" w:hAnsiTheme="minorHAnsi" w:cstheme="minorHAnsi"/>
          <w:sz w:val="22"/>
          <w:szCs w:val="22"/>
        </w:rPr>
        <w:t>Committee</w:t>
      </w:r>
      <w:r w:rsidRPr="004D6447">
        <w:rPr>
          <w:rFonts w:asciiTheme="minorHAnsi" w:hAnsiTheme="minorHAnsi" w:cstheme="minorHAnsi"/>
          <w:sz w:val="22"/>
          <w:szCs w:val="22"/>
        </w:rPr>
        <w:t xml:space="preserve"> </w:t>
      </w:r>
      <w:r>
        <w:rPr>
          <w:rFonts w:asciiTheme="minorHAnsi" w:hAnsiTheme="minorHAnsi" w:cstheme="minorHAnsi"/>
          <w:sz w:val="22"/>
          <w:szCs w:val="22"/>
        </w:rPr>
        <w:t xml:space="preserve">(BHC) </w:t>
      </w:r>
      <w:r w:rsidRPr="004D6447">
        <w:rPr>
          <w:rFonts w:asciiTheme="minorHAnsi" w:hAnsiTheme="minorHAnsi" w:cstheme="minorHAnsi"/>
          <w:sz w:val="22"/>
          <w:szCs w:val="22"/>
        </w:rPr>
        <w:t>of the Oregon Health Policy Board was established by</w:t>
      </w:r>
      <w:r>
        <w:rPr>
          <w:rFonts w:asciiTheme="minorHAnsi" w:hAnsiTheme="minorHAnsi" w:cstheme="minorHAnsi"/>
          <w:sz w:val="22"/>
          <w:szCs w:val="22"/>
        </w:rPr>
        <w:t xml:space="preserve"> House Bill 2086 </w:t>
      </w:r>
      <w:r w:rsidRPr="004D6447">
        <w:rPr>
          <w:rFonts w:asciiTheme="minorHAnsi" w:hAnsiTheme="minorHAnsi" w:cstheme="minorHAnsi"/>
          <w:sz w:val="22"/>
          <w:szCs w:val="22"/>
        </w:rPr>
        <w:t>in 2021</w:t>
      </w:r>
      <w:r>
        <w:rPr>
          <w:rFonts w:asciiTheme="minorHAnsi" w:hAnsiTheme="minorHAnsi" w:cstheme="minorHAnsi"/>
          <w:sz w:val="22"/>
          <w:szCs w:val="22"/>
        </w:rPr>
        <w:t xml:space="preserve"> and </w:t>
      </w:r>
      <w:r w:rsidRPr="005D5939">
        <w:rPr>
          <w:rFonts w:asciiTheme="minorHAnsi" w:hAnsiTheme="minorHAnsi" w:cstheme="minorHAnsi"/>
          <w:sz w:val="22"/>
          <w:szCs w:val="22"/>
        </w:rPr>
        <w:t>began meeting in November 2021</w:t>
      </w:r>
      <w:r w:rsidRPr="004D6447">
        <w:rPr>
          <w:rFonts w:asciiTheme="minorHAnsi" w:hAnsiTheme="minorHAnsi" w:cstheme="minorHAnsi"/>
          <w:sz w:val="22"/>
          <w:szCs w:val="22"/>
        </w:rPr>
        <w:t>. The committee’s purpose is to increase the quality of behavioral health services and transform Oregon’s behavioral health system through improved outcomes, metrics, and incentives. The committee is supported by OHA’s Office of Behavioral Health Services</w:t>
      </w:r>
      <w:r>
        <w:rPr>
          <w:rFonts w:asciiTheme="minorHAnsi" w:hAnsiTheme="minorHAnsi" w:cstheme="minorHAnsi"/>
          <w:sz w:val="22"/>
          <w:szCs w:val="22"/>
        </w:rPr>
        <w:t xml:space="preserve">. </w:t>
      </w:r>
      <w:r w:rsidRPr="004D6447">
        <w:rPr>
          <w:rFonts w:asciiTheme="minorHAnsi" w:hAnsiTheme="minorHAnsi" w:cstheme="minorHAnsi"/>
          <w:sz w:val="22"/>
          <w:szCs w:val="22"/>
        </w:rPr>
        <w:t xml:space="preserve">The </w:t>
      </w:r>
      <w:r>
        <w:rPr>
          <w:rFonts w:asciiTheme="minorHAnsi" w:hAnsiTheme="minorHAnsi" w:cstheme="minorHAnsi"/>
          <w:sz w:val="22"/>
          <w:szCs w:val="22"/>
        </w:rPr>
        <w:t xml:space="preserve">BHC </w:t>
      </w:r>
      <w:r w:rsidRPr="004D6447">
        <w:rPr>
          <w:rFonts w:asciiTheme="minorHAnsi" w:hAnsiTheme="minorHAnsi" w:cstheme="minorHAnsi"/>
          <w:sz w:val="22"/>
          <w:szCs w:val="22"/>
        </w:rPr>
        <w:t xml:space="preserve">is led by community members with lived experience </w:t>
      </w:r>
      <w:r>
        <w:rPr>
          <w:rFonts w:asciiTheme="minorHAnsi" w:hAnsiTheme="minorHAnsi" w:cstheme="minorHAnsi"/>
          <w:sz w:val="22"/>
          <w:szCs w:val="22"/>
        </w:rPr>
        <w:t xml:space="preserve">whose </w:t>
      </w:r>
      <w:r w:rsidRPr="005D5939">
        <w:rPr>
          <w:rFonts w:asciiTheme="minorHAnsi" w:hAnsiTheme="minorHAnsi" w:cstheme="minorHAnsi"/>
          <w:sz w:val="22"/>
          <w:szCs w:val="22"/>
        </w:rPr>
        <w:t>perspectives provide input</w:t>
      </w:r>
      <w:r>
        <w:rPr>
          <w:rFonts w:asciiTheme="minorHAnsi" w:hAnsiTheme="minorHAnsi" w:cstheme="minorHAnsi"/>
          <w:sz w:val="22"/>
          <w:szCs w:val="22"/>
        </w:rPr>
        <w:t xml:space="preserve"> </w:t>
      </w:r>
      <w:r w:rsidRPr="004D6447">
        <w:rPr>
          <w:rFonts w:asciiTheme="minorHAnsi" w:hAnsiTheme="minorHAnsi" w:cstheme="minorHAnsi"/>
          <w:sz w:val="22"/>
          <w:szCs w:val="22"/>
        </w:rPr>
        <w:t>to advance the transformation of Oregon’s behavioral health care system</w:t>
      </w:r>
      <w:r>
        <w:rPr>
          <w:rFonts w:asciiTheme="minorHAnsi" w:hAnsiTheme="minorHAnsi" w:cstheme="minorHAnsi"/>
          <w:sz w:val="22"/>
          <w:szCs w:val="22"/>
        </w:rPr>
        <w:t xml:space="preserve"> </w:t>
      </w:r>
      <w:r w:rsidRPr="004D6447">
        <w:rPr>
          <w:rFonts w:asciiTheme="minorHAnsi" w:hAnsiTheme="minorHAnsi" w:cstheme="minorHAnsi"/>
          <w:sz w:val="22"/>
          <w:szCs w:val="22"/>
        </w:rPr>
        <w:t xml:space="preserve">and help identify system improvements. The committee met regularly during 2022. Recent agenda items included defining </w:t>
      </w:r>
      <w:r>
        <w:rPr>
          <w:rFonts w:asciiTheme="minorHAnsi" w:hAnsiTheme="minorHAnsi" w:cstheme="minorHAnsi"/>
          <w:sz w:val="22"/>
          <w:szCs w:val="22"/>
        </w:rPr>
        <w:t>“</w:t>
      </w:r>
      <w:r w:rsidRPr="004D6447">
        <w:rPr>
          <w:rFonts w:asciiTheme="minorHAnsi" w:hAnsiTheme="minorHAnsi" w:cstheme="minorHAnsi"/>
          <w:sz w:val="22"/>
          <w:szCs w:val="22"/>
        </w:rPr>
        <w:t>access themes</w:t>
      </w:r>
      <w:r>
        <w:rPr>
          <w:rFonts w:asciiTheme="minorHAnsi" w:hAnsiTheme="minorHAnsi" w:cstheme="minorHAnsi"/>
          <w:sz w:val="22"/>
          <w:szCs w:val="22"/>
        </w:rPr>
        <w:t>”</w:t>
      </w:r>
      <w:r w:rsidRPr="004D6447">
        <w:rPr>
          <w:rFonts w:asciiTheme="minorHAnsi" w:hAnsiTheme="minorHAnsi" w:cstheme="minorHAnsi"/>
          <w:sz w:val="22"/>
          <w:szCs w:val="22"/>
        </w:rPr>
        <w:t xml:space="preserve"> related to reducing need, reducing barriers, and increasing capacity for the behavioral health care system; physical and behavioral health integration; development of new/revised metrics; and a review of the </w:t>
      </w:r>
      <w:r w:rsidRPr="004D6447">
        <w:rPr>
          <w:rStyle w:val="markedcontent"/>
          <w:rFonts w:asciiTheme="minorHAnsi" w:hAnsiTheme="minorHAnsi" w:cstheme="minorHAnsi"/>
          <w:sz w:val="22"/>
          <w:szCs w:val="22"/>
        </w:rPr>
        <w:t>Mental Health Statistics Improvement Program</w:t>
      </w:r>
      <w:r w:rsidRPr="004D6447">
        <w:rPr>
          <w:rFonts w:asciiTheme="minorHAnsi" w:hAnsiTheme="minorHAnsi" w:cstheme="minorHAnsi"/>
          <w:sz w:val="22"/>
          <w:szCs w:val="22"/>
        </w:rPr>
        <w:t xml:space="preserve"> </w:t>
      </w:r>
      <w:r w:rsidRPr="004D6447">
        <w:rPr>
          <w:rStyle w:val="markedcontent"/>
          <w:rFonts w:asciiTheme="minorHAnsi" w:hAnsiTheme="minorHAnsi" w:cstheme="minorHAnsi"/>
          <w:sz w:val="22"/>
          <w:szCs w:val="22"/>
        </w:rPr>
        <w:t>(MHSIP). Given the focus of this committee, it is relevant to this report as discussion of the future role of CCBHCs may be within the purview of this committee</w:t>
      </w:r>
      <w:r>
        <w:rPr>
          <w:rStyle w:val="markedcontent"/>
          <w:rFonts w:asciiTheme="minorHAnsi" w:hAnsiTheme="minorHAnsi" w:cstheme="minorHAnsi"/>
          <w:sz w:val="22"/>
          <w:szCs w:val="22"/>
        </w:rPr>
        <w:t>, and many of the themes in this report are reflected in BHC meeting agendas and summaries</w:t>
      </w:r>
      <w:r w:rsidRPr="004D6447">
        <w:rPr>
          <w:rStyle w:val="markedcontent"/>
          <w:rFonts w:asciiTheme="minorHAnsi" w:hAnsiTheme="minorHAnsi" w:cstheme="minorHAnsi"/>
          <w:sz w:val="22"/>
          <w:szCs w:val="22"/>
        </w:rPr>
        <w:t>. CCBHC program staff presented to the committee in August</w:t>
      </w:r>
      <w:r>
        <w:rPr>
          <w:rStyle w:val="markedcontent"/>
          <w:rFonts w:asciiTheme="minorHAnsi" w:hAnsiTheme="minorHAnsi" w:cstheme="minorHAnsi"/>
          <w:sz w:val="22"/>
          <w:szCs w:val="22"/>
        </w:rPr>
        <w:t xml:space="preserve"> 2022</w:t>
      </w:r>
      <w:r w:rsidRPr="004D6447">
        <w:rPr>
          <w:rStyle w:val="markedcontent"/>
          <w:rFonts w:asciiTheme="minorHAnsi" w:hAnsiTheme="minorHAnsi" w:cstheme="minorHAnsi"/>
          <w:sz w:val="22"/>
          <w:szCs w:val="22"/>
        </w:rPr>
        <w:t>.</w:t>
      </w:r>
    </w:p>
    <w:p w14:paraId="07C71E72" w14:textId="77777777" w:rsidR="005E44B0" w:rsidRDefault="005E44B0" w:rsidP="005E44B0">
      <w:pPr>
        <w:rPr>
          <w:rFonts w:cstheme="minorHAnsi"/>
          <w:sz w:val="22"/>
          <w:szCs w:val="22"/>
        </w:rPr>
      </w:pPr>
    </w:p>
    <w:p w14:paraId="7CE7AB11" w14:textId="27E94F97" w:rsidR="005E44B0" w:rsidRDefault="005E44B0" w:rsidP="005E44B0">
      <w:pPr>
        <w:rPr>
          <w:rFonts w:cstheme="minorHAnsi"/>
          <w:sz w:val="22"/>
          <w:szCs w:val="22"/>
        </w:rPr>
      </w:pPr>
      <w:r>
        <w:rPr>
          <w:rFonts w:cstheme="minorHAnsi"/>
          <w:sz w:val="22"/>
          <w:szCs w:val="22"/>
        </w:rPr>
        <w:t xml:space="preserve">The majority of the CCBHC sites in </w:t>
      </w:r>
      <w:r w:rsidR="00B0333A">
        <w:rPr>
          <w:rFonts w:cstheme="minorHAnsi"/>
          <w:sz w:val="22"/>
          <w:szCs w:val="22"/>
        </w:rPr>
        <w:t>O</w:t>
      </w:r>
      <w:r w:rsidRPr="00C64720">
        <w:rPr>
          <w:rFonts w:cstheme="minorHAnsi"/>
          <w:sz w:val="22"/>
          <w:szCs w:val="22"/>
        </w:rPr>
        <w:t>regon</w:t>
      </w:r>
      <w:r>
        <w:rPr>
          <w:rFonts w:cstheme="minorHAnsi"/>
          <w:sz w:val="22"/>
          <w:szCs w:val="22"/>
        </w:rPr>
        <w:t xml:space="preserve"> are also</w:t>
      </w:r>
      <w:r w:rsidRPr="00C64720">
        <w:rPr>
          <w:rFonts w:cstheme="minorHAnsi"/>
          <w:sz w:val="22"/>
          <w:szCs w:val="22"/>
        </w:rPr>
        <w:t xml:space="preserve"> community mental health programs (CMHP</w:t>
      </w:r>
      <w:r>
        <w:rPr>
          <w:rFonts w:cstheme="minorHAnsi"/>
          <w:sz w:val="22"/>
          <w:szCs w:val="22"/>
        </w:rPr>
        <w:t>s</w:t>
      </w:r>
      <w:r w:rsidRPr="00C64720">
        <w:rPr>
          <w:rFonts w:cstheme="minorHAnsi"/>
          <w:sz w:val="22"/>
          <w:szCs w:val="22"/>
        </w:rPr>
        <w:t>)</w:t>
      </w:r>
      <w:r>
        <w:rPr>
          <w:rFonts w:cstheme="minorHAnsi"/>
          <w:sz w:val="22"/>
          <w:szCs w:val="22"/>
        </w:rPr>
        <w:t xml:space="preserve">. </w:t>
      </w:r>
      <w:r w:rsidRPr="00C64720">
        <w:rPr>
          <w:rFonts w:cstheme="minorHAnsi"/>
          <w:sz w:val="22"/>
          <w:szCs w:val="22"/>
        </w:rPr>
        <w:t>CMHP</w:t>
      </w:r>
      <w:r>
        <w:rPr>
          <w:rFonts w:cstheme="minorHAnsi"/>
          <w:sz w:val="22"/>
          <w:szCs w:val="22"/>
        </w:rPr>
        <w:t>s</w:t>
      </w:r>
      <w:r w:rsidRPr="00C64720">
        <w:rPr>
          <w:rFonts w:cstheme="minorHAnsi"/>
          <w:sz w:val="22"/>
          <w:szCs w:val="22"/>
        </w:rPr>
        <w:t xml:space="preserve"> are intended to </w:t>
      </w:r>
      <w:r w:rsidR="00B0333A">
        <w:rPr>
          <w:rFonts w:cstheme="minorHAnsi"/>
          <w:sz w:val="22"/>
          <w:szCs w:val="22"/>
        </w:rPr>
        <w:t>“</w:t>
      </w:r>
      <w:r w:rsidRPr="00C64720">
        <w:rPr>
          <w:rFonts w:cstheme="minorHAnsi"/>
          <w:sz w:val="22"/>
          <w:szCs w:val="22"/>
        </w:rPr>
        <w:t>provide a system of appropriate, accessible, coordinated, effective, efficient safety net services to meet the mental health needs of the citizens of the community</w:t>
      </w:r>
      <w:r w:rsidR="00B0333A">
        <w:rPr>
          <w:rFonts w:cstheme="minorHAnsi"/>
          <w:sz w:val="22"/>
          <w:szCs w:val="22"/>
        </w:rPr>
        <w:t>”</w:t>
      </w:r>
      <w:r w:rsidRPr="00C64720">
        <w:rPr>
          <w:rFonts w:cstheme="minorHAnsi"/>
          <w:sz w:val="22"/>
          <w:szCs w:val="22"/>
        </w:rPr>
        <w:t xml:space="preserve"> (</w:t>
      </w:r>
      <w:r>
        <w:rPr>
          <w:rFonts w:cstheme="minorHAnsi"/>
          <w:sz w:val="22"/>
          <w:szCs w:val="22"/>
        </w:rPr>
        <w:t>Oregon Secretary of State, n.d.</w:t>
      </w:r>
      <w:r w:rsidRPr="00C64720">
        <w:rPr>
          <w:rFonts w:cstheme="minorHAnsi"/>
          <w:sz w:val="22"/>
          <w:szCs w:val="22"/>
        </w:rPr>
        <w:t xml:space="preserve">). CMHPs are responsible for the planning and delivery of safety net behavioral health services under contract </w:t>
      </w:r>
      <w:r>
        <w:rPr>
          <w:rFonts w:cstheme="minorHAnsi"/>
          <w:sz w:val="22"/>
          <w:szCs w:val="22"/>
        </w:rPr>
        <w:t>with</w:t>
      </w:r>
      <w:r w:rsidRPr="00C64720">
        <w:rPr>
          <w:rFonts w:cstheme="minorHAnsi"/>
          <w:sz w:val="22"/>
          <w:szCs w:val="22"/>
        </w:rPr>
        <w:t xml:space="preserve"> a local mental health authority, operating within a specified geographic area (</w:t>
      </w:r>
      <w:r>
        <w:rPr>
          <w:rFonts w:cstheme="minorHAnsi"/>
          <w:sz w:val="22"/>
          <w:szCs w:val="22"/>
        </w:rPr>
        <w:t>Oregon Secretary of State, n.d.</w:t>
      </w:r>
      <w:r w:rsidRPr="00C64720">
        <w:rPr>
          <w:rFonts w:cstheme="minorHAnsi"/>
          <w:sz w:val="22"/>
          <w:szCs w:val="22"/>
        </w:rPr>
        <w:t xml:space="preserve">). </w:t>
      </w:r>
      <w:r w:rsidRPr="007C190D">
        <w:rPr>
          <w:rFonts w:cstheme="minorHAnsi"/>
          <w:sz w:val="22"/>
          <w:szCs w:val="22"/>
        </w:rPr>
        <w:t>In addition to affordable therapy, CMHPs provide specialized and intensive services that are</w:t>
      </w:r>
      <w:r>
        <w:rPr>
          <w:rFonts w:cstheme="minorHAnsi"/>
          <w:sz w:val="22"/>
          <w:szCs w:val="22"/>
        </w:rPr>
        <w:t xml:space="preserve"> </w:t>
      </w:r>
      <w:r w:rsidRPr="007C190D">
        <w:rPr>
          <w:rFonts w:cstheme="minorHAnsi"/>
          <w:sz w:val="22"/>
          <w:szCs w:val="22"/>
        </w:rPr>
        <w:t>n</w:t>
      </w:r>
      <w:r>
        <w:rPr>
          <w:rFonts w:cstheme="minorHAnsi"/>
          <w:sz w:val="22"/>
          <w:szCs w:val="22"/>
        </w:rPr>
        <w:t>o</w:t>
      </w:r>
      <w:r w:rsidRPr="007C190D">
        <w:rPr>
          <w:rFonts w:cstheme="minorHAnsi"/>
          <w:sz w:val="22"/>
          <w:szCs w:val="22"/>
        </w:rPr>
        <w:t>t available anywhere else or that are hard to find in private clinics.</w:t>
      </w:r>
      <w:r>
        <w:rPr>
          <w:rFonts w:cstheme="minorHAnsi"/>
          <w:sz w:val="22"/>
          <w:szCs w:val="22"/>
        </w:rPr>
        <w:t xml:space="preserve"> </w:t>
      </w:r>
      <w:r w:rsidRPr="007C190D">
        <w:rPr>
          <w:rFonts w:cstheme="minorHAnsi"/>
          <w:sz w:val="22"/>
          <w:szCs w:val="22"/>
        </w:rPr>
        <w:t xml:space="preserve">Oregon CMHPs </w:t>
      </w:r>
      <w:r w:rsidRPr="00C004DE">
        <w:rPr>
          <w:rFonts w:cstheme="minorHAnsi"/>
          <w:sz w:val="22"/>
          <w:szCs w:val="22"/>
        </w:rPr>
        <w:t>primarily serve people with substantial behavioral health needs</w:t>
      </w:r>
      <w:r w:rsidRPr="00C004DE" w:rsidDel="00C004DE">
        <w:rPr>
          <w:rFonts w:cstheme="minorHAnsi"/>
          <w:sz w:val="22"/>
          <w:szCs w:val="22"/>
        </w:rPr>
        <w:t xml:space="preserve"> </w:t>
      </w:r>
      <w:r w:rsidRPr="00C004DE">
        <w:rPr>
          <w:rFonts w:cstheme="minorHAnsi"/>
          <w:sz w:val="22"/>
          <w:szCs w:val="22"/>
        </w:rPr>
        <w:t>and people who are covered by the</w:t>
      </w:r>
      <w:r w:rsidRPr="007C190D">
        <w:rPr>
          <w:rFonts w:cstheme="minorHAnsi"/>
          <w:sz w:val="22"/>
          <w:szCs w:val="22"/>
        </w:rPr>
        <w:t xml:space="preserve"> Oregon Health Plan (Oregon Medicaid). Some </w:t>
      </w:r>
      <w:r>
        <w:rPr>
          <w:rFonts w:cstheme="minorHAnsi"/>
          <w:sz w:val="22"/>
          <w:szCs w:val="22"/>
        </w:rPr>
        <w:t>support is</w:t>
      </w:r>
      <w:r w:rsidRPr="007C190D">
        <w:rPr>
          <w:rFonts w:cstheme="minorHAnsi"/>
          <w:sz w:val="22"/>
          <w:szCs w:val="22"/>
        </w:rPr>
        <w:t xml:space="preserve"> available for clients who are uninsured or underinsured; the number of uninsured clients a program can accept varies </w:t>
      </w:r>
      <w:r>
        <w:rPr>
          <w:rFonts w:cstheme="minorHAnsi"/>
          <w:sz w:val="22"/>
          <w:szCs w:val="22"/>
        </w:rPr>
        <w:t>by</w:t>
      </w:r>
      <w:r w:rsidRPr="007C190D">
        <w:rPr>
          <w:rFonts w:cstheme="minorHAnsi"/>
          <w:sz w:val="22"/>
          <w:szCs w:val="22"/>
        </w:rPr>
        <w:t xml:space="preserve"> county. In some counties, CMHPs accept private insurance plans and offer sliding-scale fees to people who meet clinical eligibility criteria but do</w:t>
      </w:r>
      <w:r>
        <w:rPr>
          <w:rFonts w:cstheme="minorHAnsi"/>
          <w:sz w:val="22"/>
          <w:szCs w:val="22"/>
        </w:rPr>
        <w:t xml:space="preserve"> no</w:t>
      </w:r>
      <w:r w:rsidRPr="007C190D">
        <w:rPr>
          <w:rFonts w:cstheme="minorHAnsi"/>
          <w:sz w:val="22"/>
          <w:szCs w:val="22"/>
        </w:rPr>
        <w:t>t have Medicaid</w:t>
      </w:r>
      <w:r>
        <w:rPr>
          <w:rFonts w:cstheme="minorHAnsi"/>
          <w:sz w:val="22"/>
          <w:szCs w:val="22"/>
        </w:rPr>
        <w:t xml:space="preserve"> coverage</w:t>
      </w:r>
      <w:r w:rsidRPr="007C190D">
        <w:rPr>
          <w:rFonts w:cstheme="minorHAnsi"/>
          <w:sz w:val="22"/>
          <w:szCs w:val="22"/>
        </w:rPr>
        <w:t>.</w:t>
      </w:r>
    </w:p>
    <w:p w14:paraId="5E9A9918" w14:textId="77777777" w:rsidR="005E44B0" w:rsidRPr="007C190D" w:rsidRDefault="005E44B0" w:rsidP="005E44B0">
      <w:pPr>
        <w:rPr>
          <w:rFonts w:cstheme="minorHAnsi"/>
          <w:sz w:val="22"/>
          <w:szCs w:val="22"/>
        </w:rPr>
      </w:pPr>
    </w:p>
    <w:p w14:paraId="0114687D" w14:textId="18FE3D5B" w:rsidR="00BB1E16" w:rsidRPr="007A4F2F" w:rsidRDefault="005E44B0" w:rsidP="005E44B0">
      <w:pPr>
        <w:rPr>
          <w:rFonts w:cstheme="minorHAnsi"/>
          <w:sz w:val="22"/>
          <w:szCs w:val="22"/>
        </w:rPr>
      </w:pPr>
      <w:r>
        <w:rPr>
          <w:rFonts w:cstheme="minorHAnsi"/>
          <w:sz w:val="22"/>
          <w:szCs w:val="22"/>
        </w:rPr>
        <w:t>The</w:t>
      </w:r>
      <w:r w:rsidR="00B0333A">
        <w:rPr>
          <w:rFonts w:cstheme="minorHAnsi"/>
          <w:sz w:val="22"/>
          <w:szCs w:val="22"/>
        </w:rPr>
        <w:t xml:space="preserve"> evaluati</w:t>
      </w:r>
      <w:r>
        <w:rPr>
          <w:rFonts w:cstheme="minorHAnsi"/>
          <w:sz w:val="22"/>
          <w:szCs w:val="22"/>
        </w:rPr>
        <w:t>on team completed a</w:t>
      </w:r>
      <w:r w:rsidRPr="007A4F2F">
        <w:rPr>
          <w:rFonts w:cstheme="minorHAnsi"/>
          <w:sz w:val="22"/>
          <w:szCs w:val="22"/>
        </w:rPr>
        <w:t xml:space="preserve"> review of 4</w:t>
      </w:r>
      <w:r>
        <w:rPr>
          <w:rFonts w:cstheme="minorHAnsi"/>
          <w:sz w:val="22"/>
          <w:szCs w:val="22"/>
        </w:rPr>
        <w:t>4</w:t>
      </w:r>
      <w:r w:rsidRPr="007A4F2F">
        <w:rPr>
          <w:rFonts w:cstheme="minorHAnsi"/>
          <w:sz w:val="22"/>
          <w:szCs w:val="22"/>
        </w:rPr>
        <w:t xml:space="preserve"> community health reports published between 2016 and 2022</w:t>
      </w:r>
      <w:r>
        <w:rPr>
          <w:rFonts w:cstheme="minorHAnsi"/>
          <w:sz w:val="22"/>
          <w:szCs w:val="22"/>
        </w:rPr>
        <w:t xml:space="preserve"> </w:t>
      </w:r>
      <w:r w:rsidRPr="007A4F2F">
        <w:rPr>
          <w:rFonts w:cstheme="minorHAnsi"/>
          <w:sz w:val="22"/>
          <w:szCs w:val="22"/>
        </w:rPr>
        <w:t>for communities with a local CCBHC</w:t>
      </w:r>
      <w:r>
        <w:rPr>
          <w:rFonts w:cstheme="minorHAnsi"/>
          <w:sz w:val="22"/>
          <w:szCs w:val="22"/>
        </w:rPr>
        <w:t>; the review revealed</w:t>
      </w:r>
      <w:r w:rsidRPr="007A4F2F">
        <w:rPr>
          <w:rFonts w:cstheme="minorHAnsi"/>
          <w:sz w:val="22"/>
          <w:szCs w:val="22"/>
        </w:rPr>
        <w:t xml:space="preserve"> that behavioral health is a priority concern for these communities</w:t>
      </w:r>
      <w:r>
        <w:rPr>
          <w:rFonts w:cstheme="minorHAnsi"/>
          <w:sz w:val="22"/>
          <w:szCs w:val="22"/>
        </w:rPr>
        <w:t>. C</w:t>
      </w:r>
      <w:r w:rsidRPr="007A4F2F">
        <w:rPr>
          <w:rFonts w:cstheme="minorHAnsi"/>
          <w:sz w:val="22"/>
          <w:szCs w:val="22"/>
        </w:rPr>
        <w:t>ommon barriers to access to behavioral health services include</w:t>
      </w:r>
      <w:r>
        <w:rPr>
          <w:rFonts w:cstheme="minorHAnsi"/>
          <w:sz w:val="22"/>
          <w:szCs w:val="22"/>
        </w:rPr>
        <w:t>d a</w:t>
      </w:r>
      <w:r w:rsidRPr="007A4F2F">
        <w:rPr>
          <w:rFonts w:cstheme="minorHAnsi"/>
          <w:sz w:val="22"/>
          <w:szCs w:val="22"/>
        </w:rPr>
        <w:t xml:space="preserve"> lack of culturally and linguistically responsive services</w:t>
      </w:r>
      <w:r>
        <w:rPr>
          <w:rFonts w:cstheme="minorHAnsi"/>
          <w:sz w:val="22"/>
          <w:szCs w:val="22"/>
        </w:rPr>
        <w:t xml:space="preserve"> and</w:t>
      </w:r>
      <w:r w:rsidRPr="007A4F2F">
        <w:rPr>
          <w:rFonts w:cstheme="minorHAnsi"/>
          <w:sz w:val="22"/>
          <w:szCs w:val="22"/>
        </w:rPr>
        <w:t xml:space="preserve"> </w:t>
      </w:r>
      <w:r>
        <w:rPr>
          <w:rFonts w:cstheme="minorHAnsi"/>
          <w:sz w:val="22"/>
          <w:szCs w:val="22"/>
        </w:rPr>
        <w:t xml:space="preserve">a </w:t>
      </w:r>
      <w:r w:rsidRPr="007A4F2F">
        <w:rPr>
          <w:rFonts w:cstheme="minorHAnsi"/>
          <w:sz w:val="22"/>
          <w:szCs w:val="22"/>
        </w:rPr>
        <w:t>lack of insurance</w:t>
      </w:r>
      <w:r>
        <w:rPr>
          <w:rFonts w:cstheme="minorHAnsi"/>
          <w:sz w:val="22"/>
          <w:szCs w:val="22"/>
        </w:rPr>
        <w:t xml:space="preserve">/concern about cost of services. Other barriers included </w:t>
      </w:r>
      <w:r w:rsidRPr="007A4F2F">
        <w:rPr>
          <w:rFonts w:cstheme="minorHAnsi"/>
          <w:sz w:val="22"/>
          <w:szCs w:val="22"/>
        </w:rPr>
        <w:t>long wait</w:t>
      </w:r>
      <w:r>
        <w:rPr>
          <w:rFonts w:cstheme="minorHAnsi"/>
          <w:sz w:val="22"/>
          <w:szCs w:val="22"/>
        </w:rPr>
        <w:t>s</w:t>
      </w:r>
      <w:r w:rsidRPr="007A4F2F">
        <w:rPr>
          <w:rFonts w:cstheme="minorHAnsi"/>
          <w:sz w:val="22"/>
          <w:szCs w:val="22"/>
        </w:rPr>
        <w:t xml:space="preserve"> and lack of transportation. Common workforce concerns highlighted in these reports included behavioral health workforce shortages and the lack of a diverse workforce that reflects the communities served (</w:t>
      </w:r>
      <w:r>
        <w:rPr>
          <w:rFonts w:cstheme="minorHAnsi"/>
          <w:sz w:val="22"/>
          <w:szCs w:val="22"/>
        </w:rPr>
        <w:t>a summary of this review is presented in</w:t>
      </w:r>
      <w:r w:rsidR="00BB1E16" w:rsidRPr="00914523">
        <w:rPr>
          <w:rFonts w:cstheme="minorHAnsi"/>
          <w:sz w:val="22"/>
          <w:szCs w:val="22"/>
        </w:rPr>
        <w:t xml:space="preserve"> </w:t>
      </w:r>
      <w:hyperlink w:anchor="_Appendix_1:_Summary" w:history="1">
        <w:r w:rsidR="00BB1E16" w:rsidRPr="00914523">
          <w:rPr>
            <w:rStyle w:val="Hyperlink"/>
            <w:rFonts w:cstheme="minorHAnsi"/>
            <w:sz w:val="22"/>
            <w:szCs w:val="22"/>
          </w:rPr>
          <w:t>Appendix 1</w:t>
        </w:r>
      </w:hyperlink>
      <w:r w:rsidR="00BB1E16" w:rsidRPr="00914523">
        <w:rPr>
          <w:rFonts w:cstheme="minorHAnsi"/>
          <w:sz w:val="22"/>
          <w:szCs w:val="22"/>
        </w:rPr>
        <w:t>).</w:t>
      </w:r>
    </w:p>
    <w:p w14:paraId="06F93132" w14:textId="77777777" w:rsidR="00BB1E16" w:rsidRPr="007A4F2F" w:rsidRDefault="00BB1E16" w:rsidP="00BB1E16">
      <w:pPr>
        <w:rPr>
          <w:rFonts w:cstheme="minorHAnsi"/>
          <w:sz w:val="22"/>
          <w:szCs w:val="22"/>
        </w:rPr>
      </w:pPr>
    </w:p>
    <w:p w14:paraId="5DC09B30" w14:textId="77777777" w:rsidR="005E44B0" w:rsidRDefault="005E44B0" w:rsidP="005E44B0">
      <w:pPr>
        <w:rPr>
          <w:rFonts w:cstheme="minorHAnsi"/>
          <w:sz w:val="22"/>
          <w:szCs w:val="22"/>
        </w:rPr>
      </w:pPr>
      <w:r>
        <w:rPr>
          <w:rFonts w:cstheme="minorHAnsi"/>
          <w:sz w:val="22"/>
          <w:szCs w:val="22"/>
        </w:rPr>
        <w:t xml:space="preserve">Barriers </w:t>
      </w:r>
      <w:r w:rsidRPr="007A4F2F">
        <w:rPr>
          <w:rFonts w:cstheme="minorHAnsi"/>
          <w:sz w:val="22"/>
          <w:szCs w:val="22"/>
        </w:rPr>
        <w:t xml:space="preserve">to the effective delivery of behavioral health services in Oregon are interconnected. Oregon’s behavioral health workforce shortage is a contributing factor to inadequate capacity to meet needs, particularly for communities of color who </w:t>
      </w:r>
      <w:r>
        <w:rPr>
          <w:rFonts w:cstheme="minorHAnsi"/>
          <w:sz w:val="22"/>
          <w:szCs w:val="22"/>
        </w:rPr>
        <w:t xml:space="preserve">experience </w:t>
      </w:r>
      <w:r w:rsidRPr="007A4F2F">
        <w:rPr>
          <w:rFonts w:cstheme="minorHAnsi"/>
          <w:sz w:val="22"/>
          <w:szCs w:val="22"/>
        </w:rPr>
        <w:t>difficult</w:t>
      </w:r>
      <w:r>
        <w:rPr>
          <w:rFonts w:cstheme="minorHAnsi"/>
          <w:sz w:val="22"/>
          <w:szCs w:val="22"/>
        </w:rPr>
        <w:t>ies</w:t>
      </w:r>
      <w:r w:rsidRPr="007A4F2F">
        <w:rPr>
          <w:rFonts w:cstheme="minorHAnsi"/>
          <w:sz w:val="22"/>
          <w:szCs w:val="22"/>
        </w:rPr>
        <w:t xml:space="preserve"> finding culturally </w:t>
      </w:r>
      <w:r>
        <w:rPr>
          <w:rFonts w:cstheme="minorHAnsi"/>
          <w:sz w:val="22"/>
          <w:szCs w:val="22"/>
        </w:rPr>
        <w:t xml:space="preserve">and linguistically </w:t>
      </w:r>
      <w:r w:rsidRPr="007A4F2F">
        <w:rPr>
          <w:rFonts w:cstheme="minorHAnsi"/>
          <w:sz w:val="22"/>
          <w:szCs w:val="22"/>
        </w:rPr>
        <w:t xml:space="preserve">responsive care. The lack of providers and high turnover results in long waits for Oregonians in need of behavioral health services. While low wages contribute to behavioral health workforce shortages, </w:t>
      </w:r>
      <w:r>
        <w:rPr>
          <w:rFonts w:cstheme="minorHAnsi"/>
          <w:sz w:val="22"/>
          <w:szCs w:val="22"/>
        </w:rPr>
        <w:t xml:space="preserve">Zhu </w:t>
      </w:r>
      <w:r w:rsidRPr="00314488">
        <w:rPr>
          <w:rFonts w:cstheme="minorHAnsi"/>
          <w:sz w:val="22"/>
          <w:szCs w:val="22"/>
        </w:rPr>
        <w:t xml:space="preserve">et </w:t>
      </w:r>
      <w:r w:rsidRPr="00883D24">
        <w:rPr>
          <w:rFonts w:cstheme="minorHAnsi"/>
          <w:sz w:val="22"/>
          <w:szCs w:val="22"/>
        </w:rPr>
        <w:t>al. (</w:t>
      </w:r>
      <w:r>
        <w:rPr>
          <w:rFonts w:cstheme="minorHAnsi"/>
          <w:sz w:val="22"/>
          <w:szCs w:val="22"/>
        </w:rPr>
        <w:t xml:space="preserve">2022) </w:t>
      </w:r>
      <w:r w:rsidRPr="007A4F2F">
        <w:rPr>
          <w:rFonts w:cstheme="minorHAnsi"/>
          <w:sz w:val="22"/>
          <w:szCs w:val="22"/>
        </w:rPr>
        <w:t xml:space="preserve">note that simply increasing wages is insufficient. Burnout was reportedly common </w:t>
      </w:r>
      <w:r>
        <w:rPr>
          <w:rFonts w:cstheme="minorHAnsi"/>
          <w:sz w:val="22"/>
          <w:szCs w:val="22"/>
        </w:rPr>
        <w:t xml:space="preserve">among the workforce, </w:t>
      </w:r>
      <w:r w:rsidRPr="007A4F2F">
        <w:rPr>
          <w:rFonts w:cstheme="minorHAnsi"/>
          <w:sz w:val="22"/>
          <w:szCs w:val="22"/>
        </w:rPr>
        <w:t>given the nature of th</w:t>
      </w:r>
      <w:r>
        <w:rPr>
          <w:rFonts w:cstheme="minorHAnsi"/>
          <w:sz w:val="22"/>
          <w:szCs w:val="22"/>
        </w:rPr>
        <w:t>is</w:t>
      </w:r>
      <w:r w:rsidRPr="007A4F2F">
        <w:rPr>
          <w:rFonts w:cstheme="minorHAnsi"/>
          <w:sz w:val="22"/>
          <w:szCs w:val="22"/>
        </w:rPr>
        <w:t xml:space="preserve"> work</w:t>
      </w:r>
      <w:r>
        <w:rPr>
          <w:rFonts w:cstheme="minorHAnsi"/>
          <w:sz w:val="22"/>
          <w:szCs w:val="22"/>
        </w:rPr>
        <w:t xml:space="preserve"> that </w:t>
      </w:r>
      <w:r w:rsidRPr="007A4F2F">
        <w:rPr>
          <w:rFonts w:cstheme="minorHAnsi"/>
          <w:sz w:val="22"/>
          <w:szCs w:val="22"/>
        </w:rPr>
        <w:t>in</w:t>
      </w:r>
      <w:r>
        <w:rPr>
          <w:rFonts w:cstheme="minorHAnsi"/>
          <w:sz w:val="22"/>
          <w:szCs w:val="22"/>
        </w:rPr>
        <w:t>volves</w:t>
      </w:r>
      <w:r w:rsidRPr="007A4F2F">
        <w:rPr>
          <w:rFonts w:cstheme="minorHAnsi"/>
          <w:sz w:val="22"/>
          <w:szCs w:val="22"/>
        </w:rPr>
        <w:t xml:space="preserve"> high-stress work environments, higher acuity clients, large caseloads, and administrative burden. These factors contribute to difficulty in recruit</w:t>
      </w:r>
      <w:r>
        <w:rPr>
          <w:rFonts w:cstheme="minorHAnsi"/>
          <w:sz w:val="22"/>
          <w:szCs w:val="22"/>
        </w:rPr>
        <w:t>ing</w:t>
      </w:r>
      <w:r w:rsidRPr="007A4F2F">
        <w:rPr>
          <w:rFonts w:cstheme="minorHAnsi"/>
          <w:sz w:val="22"/>
          <w:szCs w:val="22"/>
        </w:rPr>
        <w:t xml:space="preserve"> and ret</w:t>
      </w:r>
      <w:r>
        <w:rPr>
          <w:rFonts w:cstheme="minorHAnsi"/>
          <w:sz w:val="22"/>
          <w:szCs w:val="22"/>
        </w:rPr>
        <w:t>aining the workforce</w:t>
      </w:r>
      <w:r w:rsidRPr="007A4F2F">
        <w:rPr>
          <w:rFonts w:cstheme="minorHAnsi"/>
          <w:sz w:val="22"/>
          <w:szCs w:val="22"/>
        </w:rPr>
        <w:t>, with current behavioral health providers leaving community mental health for settings</w:t>
      </w:r>
      <w:r>
        <w:rPr>
          <w:rFonts w:cstheme="minorHAnsi"/>
          <w:sz w:val="22"/>
          <w:szCs w:val="22"/>
        </w:rPr>
        <w:t xml:space="preserve"> such as </w:t>
      </w:r>
      <w:r w:rsidRPr="007A4F2F">
        <w:rPr>
          <w:rFonts w:cstheme="minorHAnsi"/>
          <w:sz w:val="22"/>
          <w:szCs w:val="22"/>
        </w:rPr>
        <w:t xml:space="preserve">primary care and hospitals, which are perceived to have less stressful work environments, less </w:t>
      </w:r>
      <w:r>
        <w:rPr>
          <w:rFonts w:cstheme="minorHAnsi"/>
          <w:sz w:val="22"/>
          <w:szCs w:val="22"/>
        </w:rPr>
        <w:t xml:space="preserve">administrative </w:t>
      </w:r>
      <w:r w:rsidRPr="007A4F2F">
        <w:rPr>
          <w:rFonts w:cstheme="minorHAnsi"/>
          <w:sz w:val="22"/>
          <w:szCs w:val="22"/>
        </w:rPr>
        <w:t>burden, and better compensation.</w:t>
      </w:r>
    </w:p>
    <w:p w14:paraId="410E619F" w14:textId="77777777" w:rsidR="005E44B0" w:rsidRPr="007A4F2F" w:rsidRDefault="005E44B0" w:rsidP="005E44B0">
      <w:pPr>
        <w:rPr>
          <w:rFonts w:cstheme="minorHAnsi"/>
          <w:sz w:val="22"/>
          <w:szCs w:val="22"/>
        </w:rPr>
      </w:pPr>
    </w:p>
    <w:p w14:paraId="1E519410" w14:textId="5FC3DACA" w:rsidR="00BB1E16" w:rsidRPr="007A4F2F" w:rsidRDefault="005E44B0" w:rsidP="005E44B0">
      <w:pPr>
        <w:rPr>
          <w:rFonts w:cstheme="minorHAnsi"/>
          <w:sz w:val="22"/>
          <w:szCs w:val="22"/>
        </w:rPr>
      </w:pPr>
      <w:r w:rsidRPr="007A4F2F">
        <w:rPr>
          <w:rFonts w:cstheme="minorHAnsi"/>
          <w:sz w:val="22"/>
          <w:szCs w:val="22"/>
        </w:rPr>
        <w:t xml:space="preserve">In October 2020, the Governor’s Behavioral Health Advisory Council (GBHAC) released a report outlining priority recommendations to improve “access to effective behavioral health services and supports for all Oregon adults and transition-aged youth with serious mental illness or co-occurring mental illness and substance use disorders” </w:t>
      </w:r>
      <w:r>
        <w:rPr>
          <w:rFonts w:cstheme="minorHAnsi"/>
          <w:sz w:val="22"/>
          <w:szCs w:val="22"/>
        </w:rPr>
        <w:t>(</w:t>
      </w:r>
      <w:r w:rsidRPr="007A4F2F">
        <w:rPr>
          <w:rFonts w:cstheme="minorHAnsi"/>
          <w:sz w:val="22"/>
          <w:szCs w:val="22"/>
        </w:rPr>
        <w:t>Governor’s Behavioral Health Advisory Council</w:t>
      </w:r>
      <w:r>
        <w:rPr>
          <w:rFonts w:cstheme="minorHAnsi"/>
          <w:sz w:val="22"/>
          <w:szCs w:val="22"/>
        </w:rPr>
        <w:t xml:space="preserve">, 2020). </w:t>
      </w:r>
      <w:r w:rsidRPr="007A4F2F">
        <w:rPr>
          <w:rFonts w:cstheme="minorHAnsi"/>
          <w:sz w:val="22"/>
          <w:szCs w:val="22"/>
        </w:rPr>
        <w:t xml:space="preserve">Recommendations included program changes that are responsive to and led by communities of color, </w:t>
      </w:r>
      <w:r>
        <w:rPr>
          <w:rFonts w:cstheme="minorHAnsi"/>
          <w:sz w:val="22"/>
          <w:szCs w:val="22"/>
        </w:rPr>
        <w:t>T</w:t>
      </w:r>
      <w:r w:rsidRPr="007A4F2F">
        <w:rPr>
          <w:rFonts w:cstheme="minorHAnsi"/>
          <w:sz w:val="22"/>
          <w:szCs w:val="22"/>
        </w:rPr>
        <w:t xml:space="preserve">ribal communities, and people with lived experience; funding for continued operations and study of existing CCBHC demonstration sites; increased support for community restoration and an additional 16-bed residential treatment facility; a statewide crisis system; investments in the behavioral health workforce, including the creation of a behavioral health incentive fund for recruitment and retention of a diverse workforce and additional support for behavioral health workforce training; implementation and sustainability of culturally based practices; and </w:t>
      </w:r>
      <w:r>
        <w:rPr>
          <w:rFonts w:cstheme="minorHAnsi"/>
          <w:sz w:val="22"/>
          <w:szCs w:val="22"/>
        </w:rPr>
        <w:t xml:space="preserve">revisions to the administrative rules </w:t>
      </w:r>
      <w:r w:rsidRPr="007A4F2F">
        <w:rPr>
          <w:rFonts w:cstheme="minorHAnsi"/>
          <w:sz w:val="22"/>
          <w:szCs w:val="22"/>
        </w:rPr>
        <w:t>to reduce provider administrative burden. Finally, the GBHAC also recommended investments in housing and housing supports</w:t>
      </w:r>
      <w:r w:rsidR="00BB1E16" w:rsidRPr="007A4F2F">
        <w:rPr>
          <w:rFonts w:cstheme="minorHAnsi"/>
          <w:sz w:val="22"/>
          <w:szCs w:val="22"/>
        </w:rPr>
        <w:t>.</w:t>
      </w:r>
    </w:p>
    <w:p w14:paraId="3AA9E202" w14:textId="77777777" w:rsidR="00BB1E16" w:rsidRDefault="00BB1E16" w:rsidP="00BB1E16">
      <w:pPr>
        <w:rPr>
          <w:rFonts w:cstheme="minorHAnsi"/>
          <w:sz w:val="22"/>
          <w:szCs w:val="22"/>
        </w:rPr>
      </w:pPr>
      <w:bookmarkStart w:id="4" w:name="_heading=h.gjdgxs" w:colFirst="0" w:colLast="0"/>
      <w:bookmarkEnd w:id="4"/>
    </w:p>
    <w:p w14:paraId="22504969" w14:textId="52F2DC42" w:rsidR="00BB1E16" w:rsidRDefault="00BB1E16" w:rsidP="00BB1E16">
      <w:pPr>
        <w:contextualSpacing/>
        <w:rPr>
          <w:rFonts w:cstheme="minorHAnsi"/>
          <w:sz w:val="22"/>
          <w:szCs w:val="22"/>
        </w:rPr>
      </w:pPr>
      <w:r w:rsidRPr="007A4F2F">
        <w:rPr>
          <w:rFonts w:cstheme="minorHAnsi"/>
          <w:sz w:val="22"/>
          <w:szCs w:val="22"/>
        </w:rPr>
        <w:t xml:space="preserve">Increasing access to behavioral health services in Oregon will require intentional effort to center equity. </w:t>
      </w:r>
      <w:r w:rsidRPr="002F3032">
        <w:rPr>
          <w:rFonts w:cstheme="minorHAnsi"/>
          <w:sz w:val="22"/>
          <w:szCs w:val="22"/>
        </w:rPr>
        <w:t>OHA has set a strategic goal to eliminate health inequities by 2030. The OHA/</w:t>
      </w:r>
      <w:r w:rsidR="004E7CF5">
        <w:rPr>
          <w:rFonts w:cstheme="minorHAnsi"/>
          <w:sz w:val="22"/>
          <w:szCs w:val="22"/>
        </w:rPr>
        <w:t>Oregon Health Policy Board (</w:t>
      </w:r>
      <w:r w:rsidRPr="002F3032">
        <w:rPr>
          <w:rFonts w:cstheme="minorHAnsi"/>
          <w:sz w:val="22"/>
          <w:szCs w:val="22"/>
        </w:rPr>
        <w:t>OHPB</w:t>
      </w:r>
      <w:r w:rsidR="004E7CF5">
        <w:rPr>
          <w:rFonts w:cstheme="minorHAnsi"/>
          <w:sz w:val="22"/>
          <w:szCs w:val="22"/>
        </w:rPr>
        <w:t>)</w:t>
      </w:r>
      <w:r w:rsidRPr="002F3032">
        <w:rPr>
          <w:rFonts w:cstheme="minorHAnsi"/>
          <w:sz w:val="22"/>
          <w:szCs w:val="22"/>
        </w:rPr>
        <w:t xml:space="preserve"> definition of equity, updated in October 2020, is: </w:t>
      </w:r>
    </w:p>
    <w:p w14:paraId="0763D3F4" w14:textId="77777777" w:rsidR="0058670B" w:rsidRDefault="0058670B" w:rsidP="00BB1E16">
      <w:pPr>
        <w:ind w:left="360"/>
        <w:rPr>
          <w:rFonts w:eastAsiaTheme="minorEastAsia" w:cstheme="minorHAnsi"/>
          <w:i/>
          <w:iCs/>
          <w:color w:val="000000" w:themeColor="text1"/>
          <w:sz w:val="22"/>
          <w:szCs w:val="22"/>
          <w:lang w:eastAsia="ja-JP"/>
        </w:rPr>
      </w:pPr>
    </w:p>
    <w:p w14:paraId="7D1CFD15" w14:textId="5881D20B" w:rsidR="00BB1E16" w:rsidRPr="0021692A" w:rsidRDefault="00BB1E16" w:rsidP="00BB1E16">
      <w:pPr>
        <w:ind w:left="360"/>
        <w:rPr>
          <w:rFonts w:eastAsiaTheme="minorEastAsia" w:cstheme="minorHAnsi"/>
          <w:i/>
          <w:iCs/>
          <w:color w:val="000000" w:themeColor="text1"/>
          <w:sz w:val="22"/>
          <w:szCs w:val="22"/>
          <w:lang w:eastAsia="ja-JP"/>
        </w:rPr>
      </w:pPr>
      <w:r w:rsidRPr="0021692A">
        <w:rPr>
          <w:rFonts w:eastAsiaTheme="minorEastAsia" w:cstheme="minorHAnsi"/>
          <w:i/>
          <w:iCs/>
          <w:color w:val="000000" w:themeColor="text1"/>
          <w:sz w:val="22"/>
          <w:szCs w:val="22"/>
          <w:lang w:eastAsia="ja-JP"/>
        </w:rPr>
        <w:t xml:space="preserve">Oregon will have established a health system that creates health equity when all people can reach their full health potential and well-being and are not disadvantaged by their race, ethnicity, language, disability, age, gender, gender identity, sexual orientation, social class, intersections among these communities or identities, or other socially determined circumstances. Achieving health equity requires the ongoing collaboration of all regions and sectors of the state, including Tribal governments, to address: </w:t>
      </w:r>
    </w:p>
    <w:p w14:paraId="5C261AD1" w14:textId="77777777" w:rsidR="00BB1E16" w:rsidRPr="0021692A" w:rsidRDefault="00BB1E16">
      <w:pPr>
        <w:pStyle w:val="ListParagraph"/>
        <w:numPr>
          <w:ilvl w:val="0"/>
          <w:numId w:val="3"/>
        </w:numPr>
        <w:ind w:left="720"/>
        <w:rPr>
          <w:rFonts w:cstheme="minorHAnsi"/>
          <w:i/>
          <w:iCs/>
          <w:color w:val="000000" w:themeColor="text1"/>
          <w:sz w:val="22"/>
          <w:szCs w:val="22"/>
        </w:rPr>
      </w:pPr>
      <w:r w:rsidRPr="0021692A">
        <w:rPr>
          <w:rFonts w:eastAsiaTheme="minorEastAsia" w:cstheme="minorHAnsi"/>
          <w:i/>
          <w:iCs/>
          <w:color w:val="000000" w:themeColor="text1"/>
          <w:sz w:val="22"/>
          <w:szCs w:val="22"/>
          <w:lang w:eastAsia="ja-JP"/>
        </w:rPr>
        <w:t xml:space="preserve">The equitable distribution or redistribution of resources and power; and </w:t>
      </w:r>
    </w:p>
    <w:p w14:paraId="3CDFBE6F" w14:textId="77777777" w:rsidR="00BB1E16" w:rsidRPr="0021692A" w:rsidRDefault="00BB1E16">
      <w:pPr>
        <w:pStyle w:val="ListParagraph"/>
        <w:numPr>
          <w:ilvl w:val="0"/>
          <w:numId w:val="3"/>
        </w:numPr>
        <w:ind w:left="720"/>
        <w:rPr>
          <w:rFonts w:cstheme="minorHAnsi"/>
          <w:i/>
          <w:iCs/>
          <w:color w:val="000000" w:themeColor="text1"/>
          <w:sz w:val="22"/>
          <w:szCs w:val="22"/>
        </w:rPr>
      </w:pPr>
      <w:r w:rsidRPr="0021692A">
        <w:rPr>
          <w:rFonts w:eastAsiaTheme="minorEastAsia" w:cstheme="minorHAnsi"/>
          <w:i/>
          <w:iCs/>
          <w:color w:val="000000" w:themeColor="text1"/>
          <w:sz w:val="22"/>
          <w:szCs w:val="22"/>
          <w:lang w:eastAsia="ja-JP"/>
        </w:rPr>
        <w:t>Recognizing, reconciling and rectifying historical and contemporary injustices.</w:t>
      </w:r>
    </w:p>
    <w:p w14:paraId="6E99817D" w14:textId="77777777" w:rsidR="00BB1E16" w:rsidRDefault="00BB1E16" w:rsidP="00BB1E16">
      <w:pPr>
        <w:rPr>
          <w:sz w:val="22"/>
          <w:szCs w:val="22"/>
        </w:rPr>
      </w:pPr>
    </w:p>
    <w:p w14:paraId="1410AFA9" w14:textId="77777777" w:rsidR="005E44B0" w:rsidRPr="00FD5227" w:rsidRDefault="005E44B0" w:rsidP="005E44B0">
      <w:pPr>
        <w:rPr>
          <w:rFonts w:cstheme="minorHAnsi"/>
          <w:sz w:val="22"/>
          <w:szCs w:val="22"/>
        </w:rPr>
      </w:pPr>
      <w:r w:rsidRPr="00FD5227">
        <w:rPr>
          <w:rFonts w:cstheme="minorHAnsi"/>
          <w:color w:val="000000"/>
          <w:sz w:val="22"/>
          <w:szCs w:val="22"/>
        </w:rPr>
        <w:t>The Oregon Legislative Assembly in 2021 approved House Resolution 6</w:t>
      </w:r>
      <w:r>
        <w:rPr>
          <w:rFonts w:cstheme="minorHAnsi"/>
          <w:color w:val="000000"/>
          <w:sz w:val="22"/>
          <w:szCs w:val="22"/>
        </w:rPr>
        <w:t xml:space="preserve"> titled “</w:t>
      </w:r>
      <w:r w:rsidRPr="00B33C7B">
        <w:rPr>
          <w:rFonts w:cstheme="minorHAnsi"/>
          <w:sz w:val="22"/>
          <w:szCs w:val="22"/>
        </w:rPr>
        <w:t xml:space="preserve">Declaring </w:t>
      </w:r>
      <w:r>
        <w:rPr>
          <w:rFonts w:cstheme="minorHAnsi"/>
          <w:sz w:val="22"/>
          <w:szCs w:val="22"/>
        </w:rPr>
        <w:t>R</w:t>
      </w:r>
      <w:r w:rsidRPr="00B33C7B">
        <w:rPr>
          <w:rFonts w:cstheme="minorHAnsi"/>
          <w:sz w:val="22"/>
          <w:szCs w:val="22"/>
        </w:rPr>
        <w:t xml:space="preserve">acism to be </w:t>
      </w:r>
      <w:r>
        <w:rPr>
          <w:rFonts w:cstheme="minorHAnsi"/>
          <w:sz w:val="22"/>
          <w:szCs w:val="22"/>
        </w:rPr>
        <w:t>P</w:t>
      </w:r>
      <w:r w:rsidRPr="00B33C7B">
        <w:rPr>
          <w:rFonts w:cstheme="minorHAnsi"/>
          <w:sz w:val="22"/>
          <w:szCs w:val="22"/>
        </w:rPr>
        <w:t xml:space="preserve">ublic </w:t>
      </w:r>
      <w:r>
        <w:rPr>
          <w:rFonts w:cstheme="minorHAnsi"/>
          <w:sz w:val="22"/>
          <w:szCs w:val="22"/>
        </w:rPr>
        <w:t>H</w:t>
      </w:r>
      <w:r w:rsidRPr="00B33C7B">
        <w:rPr>
          <w:rFonts w:cstheme="minorHAnsi"/>
          <w:sz w:val="22"/>
          <w:szCs w:val="22"/>
        </w:rPr>
        <w:t xml:space="preserve">ealth </w:t>
      </w:r>
      <w:r>
        <w:rPr>
          <w:rFonts w:cstheme="minorHAnsi"/>
          <w:sz w:val="22"/>
          <w:szCs w:val="22"/>
        </w:rPr>
        <w:t>C</w:t>
      </w:r>
      <w:r w:rsidRPr="00B33C7B">
        <w:rPr>
          <w:rFonts w:cstheme="minorHAnsi"/>
          <w:sz w:val="22"/>
          <w:szCs w:val="22"/>
        </w:rPr>
        <w:t xml:space="preserve">risis in </w:t>
      </w:r>
      <w:r>
        <w:rPr>
          <w:rFonts w:cstheme="minorHAnsi"/>
          <w:sz w:val="22"/>
          <w:szCs w:val="22"/>
        </w:rPr>
        <w:t>T</w:t>
      </w:r>
      <w:r w:rsidRPr="00B33C7B">
        <w:rPr>
          <w:rFonts w:cstheme="minorHAnsi"/>
          <w:sz w:val="22"/>
          <w:szCs w:val="22"/>
        </w:rPr>
        <w:t xml:space="preserve">his </w:t>
      </w:r>
      <w:r>
        <w:rPr>
          <w:rFonts w:cstheme="minorHAnsi"/>
          <w:sz w:val="22"/>
          <w:szCs w:val="22"/>
        </w:rPr>
        <w:t>S</w:t>
      </w:r>
      <w:r w:rsidRPr="00B33C7B">
        <w:rPr>
          <w:rFonts w:cstheme="minorHAnsi"/>
          <w:sz w:val="22"/>
          <w:szCs w:val="22"/>
        </w:rPr>
        <w:t>tate</w:t>
      </w:r>
      <w:r>
        <w:rPr>
          <w:rFonts w:cstheme="minorHAnsi"/>
          <w:sz w:val="22"/>
          <w:szCs w:val="22"/>
        </w:rPr>
        <w:t>” (Oregon Legislative Assembly, 2021).</w:t>
      </w:r>
      <w:r w:rsidRPr="00FD5227">
        <w:rPr>
          <w:rFonts w:cstheme="minorHAnsi"/>
          <w:color w:val="000000"/>
          <w:sz w:val="22"/>
          <w:szCs w:val="22"/>
        </w:rPr>
        <w:t xml:space="preserve"> In its 2022 session</w:t>
      </w:r>
      <w:r>
        <w:rPr>
          <w:rFonts w:cstheme="minorHAnsi"/>
          <w:color w:val="000000"/>
          <w:sz w:val="22"/>
          <w:szCs w:val="22"/>
        </w:rPr>
        <w:t>,</w:t>
      </w:r>
      <w:r w:rsidRPr="00FD5227">
        <w:rPr>
          <w:rFonts w:cstheme="minorHAnsi"/>
          <w:color w:val="000000"/>
          <w:sz w:val="22"/>
          <w:szCs w:val="22"/>
        </w:rPr>
        <w:t xml:space="preserve"> </w:t>
      </w:r>
      <w:r>
        <w:rPr>
          <w:rFonts w:cstheme="minorHAnsi"/>
          <w:color w:val="000000"/>
          <w:sz w:val="22"/>
          <w:szCs w:val="22"/>
        </w:rPr>
        <w:t xml:space="preserve">the </w:t>
      </w:r>
      <w:r w:rsidRPr="00FD5227">
        <w:rPr>
          <w:rFonts w:cstheme="minorHAnsi"/>
          <w:color w:val="000000"/>
          <w:sz w:val="22"/>
          <w:szCs w:val="22"/>
        </w:rPr>
        <w:t xml:space="preserve">Legislative Assembly approved House Bill 4052 </w:t>
      </w:r>
      <w:r>
        <w:rPr>
          <w:rFonts w:cstheme="minorHAnsi"/>
          <w:color w:val="000000"/>
          <w:sz w:val="22"/>
          <w:szCs w:val="22"/>
        </w:rPr>
        <w:t>titled “</w:t>
      </w:r>
      <w:r w:rsidRPr="00B33C7B">
        <w:rPr>
          <w:rFonts w:cstheme="minorHAnsi"/>
          <w:sz w:val="22"/>
          <w:szCs w:val="22"/>
        </w:rPr>
        <w:t xml:space="preserve">Relating to </w:t>
      </w:r>
      <w:r>
        <w:rPr>
          <w:rFonts w:cstheme="minorHAnsi"/>
          <w:sz w:val="22"/>
          <w:szCs w:val="22"/>
        </w:rPr>
        <w:t>E</w:t>
      </w:r>
      <w:r w:rsidRPr="00B33C7B">
        <w:rPr>
          <w:rFonts w:cstheme="minorHAnsi"/>
          <w:sz w:val="22"/>
          <w:szCs w:val="22"/>
        </w:rPr>
        <w:t xml:space="preserve">quity; and </w:t>
      </w:r>
      <w:r>
        <w:rPr>
          <w:rFonts w:cstheme="minorHAnsi"/>
          <w:sz w:val="22"/>
          <w:szCs w:val="22"/>
        </w:rPr>
        <w:t>D</w:t>
      </w:r>
      <w:r w:rsidRPr="00B33C7B">
        <w:rPr>
          <w:rFonts w:cstheme="minorHAnsi"/>
          <w:sz w:val="22"/>
          <w:szCs w:val="22"/>
        </w:rPr>
        <w:t xml:space="preserve">eclaring an </w:t>
      </w:r>
      <w:r>
        <w:rPr>
          <w:rFonts w:cstheme="minorHAnsi"/>
          <w:sz w:val="22"/>
          <w:szCs w:val="22"/>
        </w:rPr>
        <w:t>E</w:t>
      </w:r>
      <w:r w:rsidRPr="00B33C7B">
        <w:rPr>
          <w:rFonts w:cstheme="minorHAnsi"/>
          <w:sz w:val="22"/>
          <w:szCs w:val="22"/>
        </w:rPr>
        <w:t>mergency</w:t>
      </w:r>
      <w:r>
        <w:rPr>
          <w:rFonts w:cstheme="minorHAnsi"/>
          <w:sz w:val="22"/>
          <w:szCs w:val="22"/>
        </w:rPr>
        <w:t>”</w:t>
      </w:r>
      <w:r>
        <w:rPr>
          <w:rFonts w:cstheme="minorHAnsi"/>
          <w:color w:val="000000"/>
          <w:sz w:val="22"/>
          <w:szCs w:val="22"/>
        </w:rPr>
        <w:t xml:space="preserve"> </w:t>
      </w:r>
      <w:r>
        <w:rPr>
          <w:rFonts w:cstheme="minorHAnsi"/>
          <w:sz w:val="22"/>
          <w:szCs w:val="22"/>
        </w:rPr>
        <w:t>(Oregon Legislative Assembly, 2022)</w:t>
      </w:r>
      <w:r w:rsidRPr="00FD5227">
        <w:rPr>
          <w:rFonts w:cstheme="minorHAnsi"/>
          <w:color w:val="000000"/>
          <w:sz w:val="22"/>
          <w:szCs w:val="22"/>
        </w:rPr>
        <w:t xml:space="preserve">, directing resources </w:t>
      </w:r>
      <w:r w:rsidRPr="00FD5227">
        <w:rPr>
          <w:rFonts w:cstheme="minorHAnsi"/>
          <w:sz w:val="22"/>
          <w:szCs w:val="22"/>
        </w:rPr>
        <w:t xml:space="preserve">to improve the health outcomes of Oregonians affected by racism and fund robust culturally and linguistically specific intervention programs. </w:t>
      </w:r>
    </w:p>
    <w:p w14:paraId="5F2FB49E" w14:textId="77777777" w:rsidR="005E44B0" w:rsidRPr="00FD5227" w:rsidRDefault="005E44B0" w:rsidP="005E44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p>
    <w:p w14:paraId="44310384" w14:textId="77777777" w:rsidR="005E44B0" w:rsidRDefault="005E44B0" w:rsidP="005E44B0">
      <w:pPr>
        <w:rPr>
          <w:rFonts w:cstheme="minorHAnsi"/>
          <w:sz w:val="22"/>
          <w:szCs w:val="22"/>
        </w:rPr>
      </w:pPr>
      <w:r w:rsidRPr="007A4F2F">
        <w:rPr>
          <w:rFonts w:cstheme="minorHAnsi"/>
          <w:sz w:val="22"/>
          <w:szCs w:val="22"/>
        </w:rPr>
        <w:t xml:space="preserve">A 2021 Coalition of Communities of Color report highlights that many BIPOC individuals seek care outside the formal behavioral </w:t>
      </w:r>
      <w:r>
        <w:rPr>
          <w:rFonts w:cstheme="minorHAnsi"/>
          <w:sz w:val="22"/>
          <w:szCs w:val="22"/>
        </w:rPr>
        <w:t xml:space="preserve">health </w:t>
      </w:r>
      <w:r w:rsidRPr="007A4F2F">
        <w:rPr>
          <w:rFonts w:cstheme="minorHAnsi"/>
          <w:sz w:val="22"/>
          <w:szCs w:val="22"/>
        </w:rPr>
        <w:t>system, opting to receive support from religious figures, traditional healers, and culturally specific</w:t>
      </w:r>
      <w:r>
        <w:rPr>
          <w:rFonts w:cstheme="minorHAnsi"/>
          <w:sz w:val="22"/>
          <w:szCs w:val="22"/>
        </w:rPr>
        <w:t xml:space="preserve"> community-based organizations</w:t>
      </w:r>
      <w:r w:rsidRPr="007A4F2F">
        <w:rPr>
          <w:rFonts w:cstheme="minorHAnsi"/>
          <w:sz w:val="22"/>
          <w:szCs w:val="22"/>
        </w:rPr>
        <w:t xml:space="preserve"> </w:t>
      </w:r>
      <w:r>
        <w:rPr>
          <w:rFonts w:cstheme="minorHAnsi"/>
          <w:sz w:val="22"/>
          <w:szCs w:val="22"/>
        </w:rPr>
        <w:t>(</w:t>
      </w:r>
      <w:r w:rsidRPr="007A4F2F">
        <w:rPr>
          <w:rFonts w:cstheme="minorHAnsi"/>
          <w:sz w:val="22"/>
          <w:szCs w:val="22"/>
        </w:rPr>
        <w:t>CBOs</w:t>
      </w:r>
      <w:r>
        <w:rPr>
          <w:rFonts w:cstheme="minorHAnsi"/>
          <w:sz w:val="22"/>
          <w:szCs w:val="22"/>
        </w:rPr>
        <w:t>)</w:t>
      </w:r>
      <w:r w:rsidRPr="007A4F2F">
        <w:rPr>
          <w:rFonts w:cstheme="minorHAnsi"/>
          <w:sz w:val="22"/>
          <w:szCs w:val="22"/>
        </w:rPr>
        <w:t xml:space="preserve"> </w:t>
      </w:r>
      <w:r>
        <w:rPr>
          <w:rFonts w:cstheme="minorHAnsi"/>
          <w:sz w:val="22"/>
          <w:szCs w:val="22"/>
        </w:rPr>
        <w:t xml:space="preserve">(Coalition of Communities of Color, 2021). </w:t>
      </w:r>
      <w:r w:rsidRPr="007A4F2F">
        <w:rPr>
          <w:rFonts w:cstheme="minorHAnsi"/>
          <w:sz w:val="22"/>
          <w:szCs w:val="22"/>
        </w:rPr>
        <w:t xml:space="preserve">Lack of awareness about existing behavioral health services, lack of culturally and linguistically responsive services, and concerns about racism and discrimination are documented reasons that BIPOC individuals avoid seeking care from behavioral health clinics or other medical settings. In general, the two most common strategies to center equity include training the current workforce in cultural competency and diversifying the workforce. The Coalition of Communities of Color </w:t>
      </w:r>
      <w:r>
        <w:rPr>
          <w:rFonts w:cstheme="minorHAnsi"/>
          <w:sz w:val="22"/>
          <w:szCs w:val="22"/>
        </w:rPr>
        <w:t xml:space="preserve">report highlights </w:t>
      </w:r>
      <w:r w:rsidRPr="007A4F2F">
        <w:rPr>
          <w:rFonts w:cstheme="minorHAnsi"/>
          <w:sz w:val="22"/>
          <w:szCs w:val="22"/>
        </w:rPr>
        <w:t xml:space="preserve">that health systems transformation should be led by BIPOC leaders and organizations; </w:t>
      </w:r>
      <w:r>
        <w:rPr>
          <w:rFonts w:cstheme="minorHAnsi"/>
          <w:sz w:val="22"/>
          <w:szCs w:val="22"/>
        </w:rPr>
        <w:t xml:space="preserve">it </w:t>
      </w:r>
      <w:r w:rsidRPr="007A4F2F">
        <w:rPr>
          <w:rFonts w:cstheme="minorHAnsi"/>
          <w:sz w:val="22"/>
          <w:szCs w:val="22"/>
        </w:rPr>
        <w:t>offer</w:t>
      </w:r>
      <w:r>
        <w:rPr>
          <w:rFonts w:cstheme="minorHAnsi"/>
          <w:sz w:val="22"/>
          <w:szCs w:val="22"/>
        </w:rPr>
        <w:t>s</w:t>
      </w:r>
      <w:r w:rsidRPr="007A4F2F">
        <w:rPr>
          <w:rFonts w:cstheme="minorHAnsi"/>
          <w:sz w:val="22"/>
          <w:szCs w:val="22"/>
        </w:rPr>
        <w:t xml:space="preserve"> additional recommendations</w:t>
      </w:r>
      <w:r>
        <w:rPr>
          <w:rFonts w:cstheme="minorHAnsi"/>
          <w:sz w:val="22"/>
          <w:szCs w:val="22"/>
        </w:rPr>
        <w:t xml:space="preserve"> directed to relevant</w:t>
      </w:r>
      <w:r w:rsidRPr="007A4F2F">
        <w:rPr>
          <w:rFonts w:cstheme="minorHAnsi"/>
          <w:sz w:val="22"/>
          <w:szCs w:val="22"/>
        </w:rPr>
        <w:t xml:space="preserve"> </w:t>
      </w:r>
      <w:r>
        <w:rPr>
          <w:rFonts w:cstheme="minorHAnsi"/>
          <w:sz w:val="22"/>
          <w:szCs w:val="22"/>
        </w:rPr>
        <w:t xml:space="preserve">organizations to </w:t>
      </w:r>
      <w:r w:rsidRPr="007A4F2F">
        <w:rPr>
          <w:rFonts w:cstheme="minorHAnsi"/>
          <w:sz w:val="22"/>
          <w:szCs w:val="22"/>
        </w:rPr>
        <w:t xml:space="preserve">invest in and yield resources and power to culturally specific leaders and organizations to co-create culturally and linguistically </w:t>
      </w:r>
      <w:r>
        <w:rPr>
          <w:rFonts w:cstheme="minorHAnsi"/>
          <w:sz w:val="22"/>
          <w:szCs w:val="22"/>
        </w:rPr>
        <w:t xml:space="preserve">responsive </w:t>
      </w:r>
      <w:r w:rsidRPr="007A4F2F">
        <w:rPr>
          <w:rFonts w:cstheme="minorHAnsi"/>
          <w:sz w:val="22"/>
          <w:szCs w:val="22"/>
        </w:rPr>
        <w:t>outreach</w:t>
      </w:r>
      <w:r>
        <w:rPr>
          <w:rFonts w:cstheme="minorHAnsi"/>
          <w:sz w:val="22"/>
          <w:szCs w:val="22"/>
        </w:rPr>
        <w:t xml:space="preserve"> and services</w:t>
      </w:r>
      <w:r w:rsidRPr="007A4F2F">
        <w:rPr>
          <w:rFonts w:cstheme="minorHAnsi"/>
          <w:sz w:val="22"/>
          <w:szCs w:val="22"/>
        </w:rPr>
        <w:t xml:space="preserve">; collect, analyze, and make decisions based on disaggregated data on race, ethnicity, language, disability status, gender, and sexual orientation; </w:t>
      </w:r>
      <w:r>
        <w:rPr>
          <w:rFonts w:ascii="Calibri" w:eastAsia="Calibri" w:hAnsi="Calibri" w:cs="Calibri"/>
          <w:color w:val="000000"/>
          <w:sz w:val="22"/>
          <w:szCs w:val="22"/>
          <w:highlight w:val="white"/>
        </w:rPr>
        <w:t>partner with</w:t>
      </w:r>
      <w:r>
        <w:rPr>
          <w:rFonts w:ascii="Calibri" w:eastAsia="Calibri" w:hAnsi="Calibri" w:cs="Calibri"/>
          <w:sz w:val="22"/>
          <w:szCs w:val="22"/>
          <w:highlight w:val="white"/>
        </w:rPr>
        <w:t xml:space="preserve"> and compensate</w:t>
      </w:r>
      <w:r>
        <w:rPr>
          <w:rFonts w:ascii="Calibri" w:eastAsia="Calibri" w:hAnsi="Calibri" w:cs="Calibri"/>
          <w:color w:val="000000"/>
          <w:sz w:val="22"/>
          <w:szCs w:val="22"/>
          <w:highlight w:val="white"/>
        </w:rPr>
        <w:t xml:space="preserve"> community leaders; invest in BIPOC behavioral health workers; train the current workforce; </w:t>
      </w:r>
      <w:r w:rsidRPr="007A4F2F">
        <w:rPr>
          <w:rFonts w:cstheme="minorHAnsi"/>
          <w:sz w:val="22"/>
          <w:szCs w:val="22"/>
        </w:rPr>
        <w:t>and embrace an inclusive understanding of wellness that recognizes multiple pathways to recovery</w:t>
      </w:r>
      <w:r>
        <w:rPr>
          <w:rFonts w:cstheme="minorHAnsi"/>
          <w:sz w:val="22"/>
          <w:szCs w:val="22"/>
        </w:rPr>
        <w:t xml:space="preserve"> rather than one </w:t>
      </w:r>
      <w:r>
        <w:rPr>
          <w:rFonts w:ascii="Calibri" w:eastAsia="Calibri" w:hAnsi="Calibri" w:cs="Calibri"/>
          <w:color w:val="000000"/>
          <w:sz w:val="22"/>
          <w:szCs w:val="22"/>
          <w:highlight w:val="white"/>
        </w:rPr>
        <w:t>centered on do</w:t>
      </w:r>
      <w:r>
        <w:rPr>
          <w:rFonts w:ascii="Calibri" w:eastAsia="Calibri" w:hAnsi="Calibri" w:cs="Calibri"/>
          <w:sz w:val="22"/>
          <w:szCs w:val="22"/>
          <w:highlight w:val="white"/>
        </w:rPr>
        <w:t xml:space="preserve">minant Western </w:t>
      </w:r>
      <w:r>
        <w:rPr>
          <w:rFonts w:ascii="Calibri" w:eastAsia="Calibri" w:hAnsi="Calibri" w:cs="Calibri"/>
          <w:color w:val="000000"/>
          <w:sz w:val="22"/>
          <w:szCs w:val="22"/>
          <w:highlight w:val="white"/>
        </w:rPr>
        <w:t xml:space="preserve">models </w:t>
      </w:r>
      <w:r>
        <w:rPr>
          <w:rFonts w:cstheme="minorHAnsi"/>
          <w:sz w:val="22"/>
          <w:szCs w:val="22"/>
        </w:rPr>
        <w:t>(Coalition of Communities of Color, 2021).</w:t>
      </w:r>
    </w:p>
    <w:p w14:paraId="2760AAEF" w14:textId="77777777" w:rsidR="005E44B0" w:rsidRPr="007A4F2F" w:rsidRDefault="005E44B0" w:rsidP="005E44B0">
      <w:pPr>
        <w:rPr>
          <w:rFonts w:cstheme="minorHAnsi"/>
          <w:sz w:val="22"/>
          <w:szCs w:val="22"/>
        </w:rPr>
      </w:pPr>
    </w:p>
    <w:p w14:paraId="01082B39" w14:textId="4DD525DE" w:rsidR="00BB1E16" w:rsidRDefault="005E44B0" w:rsidP="00BB1E16">
      <w:pPr>
        <w:rPr>
          <w:rFonts w:cstheme="minorHAnsi"/>
          <w:sz w:val="22"/>
          <w:szCs w:val="22"/>
        </w:rPr>
      </w:pPr>
      <w:bookmarkStart w:id="5" w:name="_heading=h.1mtfroo6iq00" w:colFirst="0" w:colLast="0"/>
      <w:bookmarkEnd w:id="5"/>
      <w:r w:rsidRPr="007A4F2F">
        <w:rPr>
          <w:rFonts w:cstheme="minorHAnsi"/>
          <w:sz w:val="22"/>
          <w:szCs w:val="22"/>
        </w:rPr>
        <w:t xml:space="preserve">Taken together, these reports point to a behavioral health system that does not have adequate capacity to </w:t>
      </w:r>
      <w:r>
        <w:rPr>
          <w:rFonts w:cstheme="minorHAnsi"/>
          <w:sz w:val="22"/>
          <w:szCs w:val="22"/>
        </w:rPr>
        <w:t>meet</w:t>
      </w:r>
      <w:r w:rsidRPr="007A4F2F">
        <w:rPr>
          <w:rFonts w:cstheme="minorHAnsi"/>
          <w:sz w:val="22"/>
          <w:szCs w:val="22"/>
        </w:rPr>
        <w:t xml:space="preserve"> the behavioral health needs of Oregonians. Evaluation of the CCBHC </w:t>
      </w:r>
      <w:r>
        <w:rPr>
          <w:rFonts w:cstheme="minorHAnsi"/>
          <w:sz w:val="22"/>
          <w:szCs w:val="22"/>
        </w:rPr>
        <w:t xml:space="preserve">program </w:t>
      </w:r>
      <w:r w:rsidRPr="007A4F2F">
        <w:rPr>
          <w:rFonts w:cstheme="minorHAnsi"/>
          <w:sz w:val="22"/>
          <w:szCs w:val="22"/>
        </w:rPr>
        <w:t xml:space="preserve">in Oregon must be </w:t>
      </w:r>
      <w:r>
        <w:rPr>
          <w:rFonts w:cstheme="minorHAnsi"/>
          <w:sz w:val="22"/>
          <w:szCs w:val="22"/>
        </w:rPr>
        <w:t>understood</w:t>
      </w:r>
      <w:r w:rsidRPr="007A4F2F">
        <w:rPr>
          <w:rFonts w:cstheme="minorHAnsi"/>
          <w:sz w:val="22"/>
          <w:szCs w:val="22"/>
        </w:rPr>
        <w:t xml:space="preserve"> within </w:t>
      </w:r>
      <w:r>
        <w:rPr>
          <w:rFonts w:cstheme="minorHAnsi"/>
          <w:sz w:val="22"/>
          <w:szCs w:val="22"/>
        </w:rPr>
        <w:t xml:space="preserve">the context of </w:t>
      </w:r>
      <w:r w:rsidRPr="007A4F2F">
        <w:rPr>
          <w:rFonts w:cstheme="minorHAnsi"/>
          <w:sz w:val="22"/>
          <w:szCs w:val="22"/>
        </w:rPr>
        <w:t xml:space="preserve">Oregon’s behavioral health system. While the CCBHCs are intended to improve access to integrated behavioral health, they may be limited by the larger behavioral health infrastructure and are </w:t>
      </w:r>
      <w:r>
        <w:rPr>
          <w:rFonts w:cstheme="minorHAnsi"/>
          <w:sz w:val="22"/>
          <w:szCs w:val="22"/>
        </w:rPr>
        <w:t>influenc</w:t>
      </w:r>
      <w:r w:rsidRPr="007A4F2F">
        <w:rPr>
          <w:rFonts w:cstheme="minorHAnsi"/>
          <w:sz w:val="22"/>
          <w:szCs w:val="22"/>
        </w:rPr>
        <w:t xml:space="preserve">ed by the same barriers as the rest of the </w:t>
      </w:r>
      <w:r>
        <w:rPr>
          <w:rFonts w:cstheme="minorHAnsi"/>
          <w:sz w:val="22"/>
          <w:szCs w:val="22"/>
        </w:rPr>
        <w:t xml:space="preserve">health </w:t>
      </w:r>
      <w:r w:rsidRPr="007A4F2F">
        <w:rPr>
          <w:rFonts w:cstheme="minorHAnsi"/>
          <w:sz w:val="22"/>
          <w:szCs w:val="22"/>
        </w:rPr>
        <w:t>system.</w:t>
      </w:r>
      <w:r>
        <w:rPr>
          <w:rFonts w:cstheme="minorHAnsi"/>
          <w:sz w:val="22"/>
          <w:szCs w:val="22"/>
        </w:rPr>
        <w:t xml:space="preserve"> The current context of behavioral health was described as follows in then-OHA Director Pat Allen’s letter of resignation to Governor Brown of November 17, 2022:</w:t>
      </w:r>
    </w:p>
    <w:p w14:paraId="50E4118B" w14:textId="77777777" w:rsidR="0058670B" w:rsidRDefault="0058670B" w:rsidP="00BB1E16">
      <w:pPr>
        <w:ind w:left="720"/>
        <w:rPr>
          <w:rFonts w:cstheme="minorHAnsi"/>
          <w:sz w:val="22"/>
          <w:szCs w:val="22"/>
        </w:rPr>
      </w:pPr>
    </w:p>
    <w:p w14:paraId="316EDADC" w14:textId="3243C8E3" w:rsidR="00BB1E16" w:rsidRPr="0021692A" w:rsidRDefault="00BB1E16" w:rsidP="00BB1E16">
      <w:pPr>
        <w:ind w:left="720"/>
        <w:rPr>
          <w:rFonts w:cstheme="minorHAnsi"/>
          <w:i/>
          <w:iCs/>
          <w:color w:val="000000" w:themeColor="text1"/>
          <w:sz w:val="22"/>
          <w:szCs w:val="22"/>
        </w:rPr>
      </w:pPr>
      <w:r w:rsidRPr="0021692A">
        <w:rPr>
          <w:rFonts w:cstheme="minorHAnsi"/>
          <w:i/>
          <w:iCs/>
          <w:color w:val="000000" w:themeColor="text1"/>
          <w:sz w:val="22"/>
          <w:szCs w:val="22"/>
        </w:rPr>
        <w:t>Despite battling a global pandemic, OHA has shored up Oregon’s behavioral health system and laid the foundation to expand services. By the end of 2022, OHA will have spent or obligated nearly $1.2 billion of the $1.35 billion Oregon lawmakers appropriated for the 2021-2023 biennium to transform the behavioral healthcare system. Today, every county has an organized network of providers who are working together to offer a full range of services to people with substance use problems – from harm reduction to treatment to housing. We have much ahead of us still at OHA. While we have demonstrated that we CAN deliver real health equity as we did in closing our COVID-19 vaccine gap, we have a long way to go to allocate and reallocate power and resources in a way that recognizes, reconciles, and rectifies the injustices and unfairness in our health systems.</w:t>
      </w:r>
    </w:p>
    <w:p w14:paraId="09EC2229" w14:textId="77777777" w:rsidR="00BB1E16" w:rsidRDefault="00BB1E16" w:rsidP="00BB1E16">
      <w:pPr>
        <w:rPr>
          <w:rFonts w:cstheme="minorHAnsi"/>
          <w:sz w:val="22"/>
          <w:szCs w:val="22"/>
        </w:rPr>
      </w:pPr>
    </w:p>
    <w:p w14:paraId="15B622AC" w14:textId="77777777" w:rsidR="00BB1E16" w:rsidRPr="009111E5" w:rsidRDefault="00BB1E16" w:rsidP="00BB1E16">
      <w:pPr>
        <w:rPr>
          <w:rFonts w:cstheme="minorHAnsi"/>
          <w:sz w:val="22"/>
          <w:szCs w:val="22"/>
        </w:rPr>
      </w:pPr>
      <w:r w:rsidRPr="009111E5">
        <w:rPr>
          <w:rFonts w:cstheme="minorHAnsi"/>
          <w:sz w:val="22"/>
          <w:szCs w:val="22"/>
        </w:rPr>
        <w:t>This overview of behavioral health in Oregon can also be placed in the larger federal context. The Biden-Harris Administration has a goal of improving beh</w:t>
      </w:r>
      <w:r>
        <w:rPr>
          <w:rFonts w:cstheme="minorHAnsi"/>
          <w:sz w:val="22"/>
          <w:szCs w:val="22"/>
        </w:rPr>
        <w:t>av</w:t>
      </w:r>
      <w:r w:rsidRPr="009111E5">
        <w:rPr>
          <w:rFonts w:cstheme="minorHAnsi"/>
          <w:sz w:val="22"/>
          <w:szCs w:val="22"/>
        </w:rPr>
        <w:t xml:space="preserve">ioral health, which the HHS defines as “the promotion of mental health, resilience and well-being; the treatment of mental and substance use disorders (M/SUD); and the support of those who experience and/or are in recovery from these conditions, along with their families and communities” </w:t>
      </w:r>
      <w:r>
        <w:rPr>
          <w:rFonts w:cstheme="minorHAnsi"/>
          <w:sz w:val="22"/>
          <w:szCs w:val="22"/>
        </w:rPr>
        <w:t>(SAMHSA, n.d.).</w:t>
      </w:r>
    </w:p>
    <w:p w14:paraId="075CCB62" w14:textId="77777777" w:rsidR="00BB1E16" w:rsidRDefault="00BB1E16" w:rsidP="00BB1E16">
      <w:pPr>
        <w:rPr>
          <w:rFonts w:cstheme="minorHAnsi"/>
          <w:sz w:val="22"/>
          <w:szCs w:val="22"/>
        </w:rPr>
      </w:pPr>
    </w:p>
    <w:p w14:paraId="32A6EEC8" w14:textId="77777777" w:rsidR="00CF6C30" w:rsidRDefault="00BB1E16" w:rsidP="00CF6C30">
      <w:pPr>
        <w:rPr>
          <w:rFonts w:ascii="Calibri" w:hAnsi="Calibri" w:cs="Calibri"/>
          <w:sz w:val="22"/>
          <w:szCs w:val="22"/>
        </w:rPr>
      </w:pPr>
      <w:r w:rsidRPr="00A126EF">
        <w:rPr>
          <w:rFonts w:ascii="Calibri" w:hAnsi="Calibri" w:cs="Calibri"/>
          <w:sz w:val="22"/>
          <w:szCs w:val="22"/>
        </w:rPr>
        <w:t xml:space="preserve">During his first State of the Union address </w:t>
      </w:r>
      <w:r>
        <w:rPr>
          <w:rFonts w:ascii="Calibri" w:hAnsi="Calibri" w:cs="Calibri"/>
          <w:sz w:val="22"/>
          <w:szCs w:val="22"/>
        </w:rPr>
        <w:t xml:space="preserve">in </w:t>
      </w:r>
      <w:r w:rsidRPr="00A126EF">
        <w:rPr>
          <w:rFonts w:ascii="Calibri" w:hAnsi="Calibri" w:cs="Calibri"/>
          <w:sz w:val="22"/>
          <w:szCs w:val="22"/>
        </w:rPr>
        <w:t xml:space="preserve">March 2022, President Biden announced a national strategy to prevent and treat mental and substance use disorders (White House, 2022). </w:t>
      </w:r>
      <w:r w:rsidRPr="00A126EF">
        <w:rPr>
          <w:rFonts w:ascii="Calibri" w:hAnsi="Calibri" w:cs="Calibri"/>
          <w:color w:val="000000"/>
          <w:sz w:val="22"/>
          <w:szCs w:val="22"/>
        </w:rPr>
        <w:t xml:space="preserve">President Biden’s </w:t>
      </w:r>
      <w:r w:rsidRPr="00A126EF">
        <w:rPr>
          <w:rFonts w:ascii="Calibri" w:hAnsi="Calibri" w:cs="Calibri"/>
          <w:i/>
          <w:iCs/>
          <w:color w:val="000000"/>
          <w:sz w:val="22"/>
          <w:szCs w:val="22"/>
        </w:rPr>
        <w:t>Strategy to Address Our National Mental Health Crisis</w:t>
      </w:r>
      <w:r w:rsidRPr="00A126EF">
        <w:rPr>
          <w:rFonts w:ascii="Calibri" w:hAnsi="Calibri" w:cs="Calibri"/>
          <w:color w:val="000000"/>
          <w:sz w:val="22"/>
          <w:szCs w:val="22"/>
        </w:rPr>
        <w:t xml:space="preserve"> </w:t>
      </w:r>
      <w:r w:rsidRPr="00A126EF">
        <w:rPr>
          <w:rFonts w:ascii="Calibri" w:hAnsi="Calibri" w:cs="Calibri"/>
          <w:sz w:val="22"/>
          <w:szCs w:val="22"/>
        </w:rPr>
        <w:t>highlighted three commitments:</w:t>
      </w:r>
    </w:p>
    <w:p w14:paraId="463F3A8B" w14:textId="3BDA5A35" w:rsidR="00BB1E16" w:rsidRPr="00CF6C30" w:rsidRDefault="00BB1E16">
      <w:pPr>
        <w:pStyle w:val="ListParagraph"/>
        <w:numPr>
          <w:ilvl w:val="0"/>
          <w:numId w:val="36"/>
        </w:numPr>
        <w:rPr>
          <w:rFonts w:ascii="Calibri" w:hAnsi="Calibri" w:cs="Calibri"/>
          <w:color w:val="000000"/>
          <w:sz w:val="22"/>
          <w:szCs w:val="22"/>
        </w:rPr>
      </w:pPr>
      <w:r w:rsidRPr="00CF6C30">
        <w:rPr>
          <w:rFonts w:ascii="Calibri" w:hAnsi="Calibri" w:cs="Calibri"/>
          <w:color w:val="000000"/>
          <w:sz w:val="22"/>
          <w:szCs w:val="22"/>
        </w:rPr>
        <w:t xml:space="preserve">Strengthen System Capacity: Expand the supply and diversity of the behavioral health workforce and ensure the full continuum of behavioral healthcare is available. </w:t>
      </w:r>
    </w:p>
    <w:p w14:paraId="02B5B031" w14:textId="0843D542" w:rsidR="00BB1E16" w:rsidRPr="00A126EF" w:rsidRDefault="00BB1E16">
      <w:pPr>
        <w:pStyle w:val="ListParagraph"/>
        <w:numPr>
          <w:ilvl w:val="0"/>
          <w:numId w:val="4"/>
        </w:numPr>
        <w:autoSpaceDE w:val="0"/>
        <w:autoSpaceDN w:val="0"/>
        <w:adjustRightInd w:val="0"/>
        <w:spacing w:after="18"/>
        <w:rPr>
          <w:rFonts w:ascii="Calibri" w:hAnsi="Calibri" w:cs="Calibri"/>
          <w:color w:val="000000"/>
          <w:sz w:val="22"/>
          <w:szCs w:val="22"/>
        </w:rPr>
      </w:pPr>
      <w:r w:rsidRPr="001C157F">
        <w:rPr>
          <w:rFonts w:ascii="Calibri" w:hAnsi="Calibri" w:cs="Calibri"/>
          <w:color w:val="000000"/>
          <w:sz w:val="22"/>
          <w:szCs w:val="22"/>
        </w:rPr>
        <w:t>Connect Americans to Care</w:t>
      </w:r>
      <w:r w:rsidRPr="00A126EF">
        <w:rPr>
          <w:rFonts w:ascii="Calibri" w:hAnsi="Calibri" w:cs="Calibri"/>
          <w:color w:val="000000"/>
          <w:sz w:val="22"/>
          <w:szCs w:val="22"/>
        </w:rPr>
        <w:t>: Bridge the gap between services the system offers and people</w:t>
      </w:r>
      <w:r w:rsidR="00B0333A">
        <w:rPr>
          <w:rFonts w:ascii="Calibri" w:hAnsi="Calibri" w:cs="Calibri"/>
          <w:color w:val="000000"/>
          <w:sz w:val="22"/>
          <w:szCs w:val="22"/>
        </w:rPr>
        <w:t>’</w:t>
      </w:r>
      <w:r w:rsidRPr="00A126EF">
        <w:rPr>
          <w:rFonts w:ascii="Calibri" w:hAnsi="Calibri" w:cs="Calibri"/>
          <w:color w:val="000000"/>
          <w:sz w:val="22"/>
          <w:szCs w:val="22"/>
        </w:rPr>
        <w:t xml:space="preserve">s ability to get the care they need. </w:t>
      </w:r>
    </w:p>
    <w:p w14:paraId="0F3500C0" w14:textId="646814CF" w:rsidR="00BB1E16" w:rsidRPr="00A126EF" w:rsidRDefault="00BB1E16">
      <w:pPr>
        <w:pStyle w:val="ListParagraph"/>
        <w:numPr>
          <w:ilvl w:val="0"/>
          <w:numId w:val="4"/>
        </w:numPr>
        <w:autoSpaceDE w:val="0"/>
        <w:autoSpaceDN w:val="0"/>
        <w:adjustRightInd w:val="0"/>
        <w:rPr>
          <w:rFonts w:ascii="Calibri" w:hAnsi="Calibri" w:cs="Calibri"/>
          <w:color w:val="000000"/>
          <w:sz w:val="22"/>
          <w:szCs w:val="22"/>
        </w:rPr>
      </w:pPr>
      <w:r w:rsidRPr="001C157F">
        <w:rPr>
          <w:rFonts w:ascii="Calibri" w:hAnsi="Calibri" w:cs="Calibri"/>
          <w:color w:val="000000"/>
          <w:sz w:val="22"/>
          <w:szCs w:val="22"/>
        </w:rPr>
        <w:t>Support Americans by Creating Healthy Environments</w:t>
      </w:r>
      <w:r w:rsidRPr="00A126EF">
        <w:rPr>
          <w:rFonts w:ascii="Calibri" w:hAnsi="Calibri" w:cs="Calibri"/>
          <w:color w:val="000000"/>
          <w:sz w:val="22"/>
          <w:szCs w:val="22"/>
        </w:rPr>
        <w:t xml:space="preserve">: Make </w:t>
      </w:r>
      <w:r w:rsidR="00B0333A">
        <w:rPr>
          <w:rFonts w:ascii="Calibri" w:hAnsi="Calibri" w:cs="Calibri"/>
          <w:color w:val="000000"/>
          <w:sz w:val="22"/>
          <w:szCs w:val="22"/>
        </w:rPr>
        <w:t>“</w:t>
      </w:r>
      <w:r w:rsidRPr="00A126EF">
        <w:rPr>
          <w:rFonts w:ascii="Calibri" w:hAnsi="Calibri" w:cs="Calibri"/>
          <w:color w:val="000000"/>
          <w:sz w:val="22"/>
          <w:szCs w:val="22"/>
        </w:rPr>
        <w:t>a whole-of-society effort,</w:t>
      </w:r>
      <w:r w:rsidR="00B0333A">
        <w:rPr>
          <w:rFonts w:ascii="Calibri" w:hAnsi="Calibri" w:cs="Calibri"/>
          <w:color w:val="000000"/>
          <w:sz w:val="22"/>
          <w:szCs w:val="22"/>
        </w:rPr>
        <w:t>”</w:t>
      </w:r>
      <w:r w:rsidRPr="00A126EF">
        <w:rPr>
          <w:rFonts w:ascii="Calibri" w:hAnsi="Calibri" w:cs="Calibri"/>
          <w:color w:val="000000"/>
          <w:sz w:val="22"/>
          <w:szCs w:val="22"/>
        </w:rPr>
        <w:t xml:space="preserve"> recognizing the importance of </w:t>
      </w:r>
      <w:r w:rsidR="00B0333A">
        <w:rPr>
          <w:rFonts w:ascii="Calibri" w:hAnsi="Calibri" w:cs="Calibri"/>
          <w:color w:val="000000"/>
          <w:sz w:val="22"/>
          <w:szCs w:val="22"/>
        </w:rPr>
        <w:t>“</w:t>
      </w:r>
      <w:r w:rsidRPr="00A126EF">
        <w:rPr>
          <w:rFonts w:ascii="Calibri" w:hAnsi="Calibri" w:cs="Calibri"/>
          <w:color w:val="000000"/>
          <w:sz w:val="22"/>
          <w:szCs w:val="22"/>
        </w:rPr>
        <w:t>culture and environment</w:t>
      </w:r>
      <w:r w:rsidR="00B0333A">
        <w:rPr>
          <w:rFonts w:ascii="Calibri" w:hAnsi="Calibri" w:cs="Calibri"/>
          <w:color w:val="000000"/>
          <w:sz w:val="22"/>
          <w:szCs w:val="22"/>
        </w:rPr>
        <w:t>”</w:t>
      </w:r>
      <w:r w:rsidRPr="00A126EF">
        <w:rPr>
          <w:rFonts w:ascii="Calibri" w:hAnsi="Calibri" w:cs="Calibri"/>
          <w:color w:val="000000"/>
          <w:sz w:val="22"/>
          <w:szCs w:val="22"/>
        </w:rPr>
        <w:t xml:space="preserve"> in promotion, prevention, and recovery. </w:t>
      </w:r>
    </w:p>
    <w:p w14:paraId="7F6A7B06" w14:textId="77777777" w:rsidR="00BB1E16" w:rsidRPr="009111E5" w:rsidRDefault="00BB1E16" w:rsidP="00BB1E16">
      <w:pPr>
        <w:autoSpaceDE w:val="0"/>
        <w:autoSpaceDN w:val="0"/>
        <w:adjustRightInd w:val="0"/>
        <w:rPr>
          <w:rFonts w:cstheme="minorHAnsi"/>
          <w:color w:val="000000"/>
          <w:sz w:val="22"/>
          <w:szCs w:val="22"/>
        </w:rPr>
      </w:pPr>
    </w:p>
    <w:p w14:paraId="66DA21C3" w14:textId="77777777" w:rsidR="005E44B0" w:rsidRPr="009111E5" w:rsidRDefault="005E44B0" w:rsidP="005E44B0">
      <w:pPr>
        <w:pStyle w:val="Default"/>
        <w:rPr>
          <w:rFonts w:ascii="Calibri" w:hAnsi="Calibri" w:cs="Calibri"/>
          <w:sz w:val="22"/>
          <w:szCs w:val="22"/>
        </w:rPr>
      </w:pPr>
      <w:r w:rsidRPr="009111E5">
        <w:rPr>
          <w:rFonts w:asciiTheme="minorHAnsi" w:hAnsiTheme="minorHAnsi" w:cstheme="minorHAnsi"/>
          <w:sz w:val="22"/>
          <w:szCs w:val="22"/>
        </w:rPr>
        <w:t xml:space="preserve">HHS will </w:t>
      </w:r>
      <w:r>
        <w:rPr>
          <w:rFonts w:asciiTheme="minorHAnsi" w:hAnsiTheme="minorHAnsi" w:cstheme="minorHAnsi"/>
          <w:sz w:val="22"/>
          <w:szCs w:val="22"/>
        </w:rPr>
        <w:t xml:space="preserve">likely </w:t>
      </w:r>
      <w:r w:rsidRPr="009111E5">
        <w:rPr>
          <w:rFonts w:asciiTheme="minorHAnsi" w:hAnsiTheme="minorHAnsi" w:cstheme="minorHAnsi"/>
          <w:sz w:val="22"/>
          <w:szCs w:val="22"/>
        </w:rPr>
        <w:t xml:space="preserve">play an important </w:t>
      </w:r>
      <w:r>
        <w:rPr>
          <w:rFonts w:asciiTheme="minorHAnsi" w:hAnsiTheme="minorHAnsi" w:cstheme="minorHAnsi"/>
          <w:sz w:val="22"/>
          <w:szCs w:val="22"/>
        </w:rPr>
        <w:t xml:space="preserve">future </w:t>
      </w:r>
      <w:r w:rsidRPr="009111E5">
        <w:rPr>
          <w:rFonts w:asciiTheme="minorHAnsi" w:hAnsiTheme="minorHAnsi" w:cstheme="minorHAnsi"/>
          <w:sz w:val="22"/>
          <w:szCs w:val="22"/>
        </w:rPr>
        <w:t>role in implementing and advancing the President’s Strategy</w:t>
      </w:r>
      <w:r>
        <w:rPr>
          <w:rFonts w:asciiTheme="minorHAnsi" w:hAnsiTheme="minorHAnsi" w:cstheme="minorHAnsi"/>
          <w:sz w:val="22"/>
          <w:szCs w:val="22"/>
        </w:rPr>
        <w:t>, which will no doubt have an impact on state-level complementary initiatives</w:t>
      </w:r>
      <w:r w:rsidRPr="009111E5">
        <w:rPr>
          <w:rFonts w:asciiTheme="minorHAnsi" w:hAnsiTheme="minorHAnsi" w:cstheme="minorHAnsi"/>
          <w:sz w:val="22"/>
          <w:szCs w:val="22"/>
        </w:rPr>
        <w:t xml:space="preserve">. Following the President’s call to action, HHS examined further steps it could take to build upon these initiatives and transform the delivery of behavioral </w:t>
      </w:r>
      <w:r>
        <w:rPr>
          <w:rFonts w:asciiTheme="minorHAnsi" w:hAnsiTheme="minorHAnsi" w:cstheme="minorHAnsi"/>
          <w:sz w:val="22"/>
          <w:szCs w:val="22"/>
        </w:rPr>
        <w:t>healthcare</w:t>
      </w:r>
      <w:r w:rsidRPr="009111E5">
        <w:rPr>
          <w:rFonts w:asciiTheme="minorHAnsi" w:hAnsiTheme="minorHAnsi" w:cstheme="minorHAnsi"/>
          <w:sz w:val="22"/>
          <w:szCs w:val="22"/>
        </w:rPr>
        <w:t xml:space="preserve"> in the U.S. In September 2022, the HHS </w:t>
      </w:r>
      <w:r w:rsidRPr="009111E5">
        <w:rPr>
          <w:rFonts w:asciiTheme="minorHAnsi" w:hAnsiTheme="minorHAnsi" w:cstheme="minorHAnsi"/>
          <w:i/>
          <w:iCs/>
          <w:sz w:val="22"/>
          <w:szCs w:val="22"/>
        </w:rPr>
        <w:t>Roadmap for Behavioral Health Integration</w:t>
      </w:r>
      <w:r w:rsidRPr="009111E5">
        <w:rPr>
          <w:rFonts w:asciiTheme="minorHAnsi" w:hAnsiTheme="minorHAnsi" w:cstheme="minorHAnsi"/>
          <w:sz w:val="22"/>
          <w:szCs w:val="22"/>
        </w:rPr>
        <w:t xml:space="preserve"> was published (ASPE, 2022)</w:t>
      </w:r>
      <w:r>
        <w:rPr>
          <w:rFonts w:asciiTheme="minorHAnsi" w:hAnsiTheme="minorHAnsi" w:cstheme="minorHAnsi"/>
          <w:sz w:val="22"/>
          <w:szCs w:val="22"/>
        </w:rPr>
        <w:t xml:space="preserve">. The </w:t>
      </w:r>
      <w:r>
        <w:rPr>
          <w:rFonts w:asciiTheme="minorHAnsi" w:hAnsiTheme="minorHAnsi" w:cstheme="minorHAnsi"/>
          <w:i/>
          <w:iCs/>
          <w:sz w:val="22"/>
          <w:szCs w:val="22"/>
        </w:rPr>
        <w:t>Roadmap</w:t>
      </w:r>
      <w:r>
        <w:rPr>
          <w:rFonts w:asciiTheme="minorHAnsi" w:hAnsiTheme="minorHAnsi" w:cstheme="minorHAnsi"/>
          <w:sz w:val="22"/>
          <w:szCs w:val="22"/>
        </w:rPr>
        <w:t xml:space="preserve"> highlights integrated care and equity; it identifies eight major challenges to behavioral health integration: 1) </w:t>
      </w:r>
      <w:r w:rsidRPr="009111E5">
        <w:rPr>
          <w:rFonts w:ascii="Calibri" w:hAnsi="Calibri" w:cs="Calibri"/>
          <w:sz w:val="22"/>
          <w:szCs w:val="22"/>
        </w:rPr>
        <w:t>structural support for siloed care</w:t>
      </w:r>
      <w:r>
        <w:rPr>
          <w:rFonts w:ascii="Calibri" w:hAnsi="Calibri" w:cs="Calibri"/>
          <w:sz w:val="22"/>
          <w:szCs w:val="22"/>
        </w:rPr>
        <w:t xml:space="preserve">, </w:t>
      </w:r>
      <w:r w:rsidRPr="009111E5">
        <w:rPr>
          <w:rFonts w:ascii="Calibri" w:hAnsi="Calibri" w:cs="Calibri"/>
          <w:sz w:val="22"/>
          <w:szCs w:val="22"/>
        </w:rPr>
        <w:t>2) stigma and mistrust</w:t>
      </w:r>
      <w:r>
        <w:rPr>
          <w:rFonts w:ascii="Calibri" w:hAnsi="Calibri" w:cs="Calibri"/>
          <w:sz w:val="22"/>
          <w:szCs w:val="22"/>
        </w:rPr>
        <w:t xml:space="preserve">, </w:t>
      </w:r>
      <w:r w:rsidRPr="009111E5">
        <w:rPr>
          <w:rFonts w:ascii="Calibri" w:hAnsi="Calibri" w:cs="Calibri"/>
          <w:sz w:val="22"/>
          <w:szCs w:val="22"/>
        </w:rPr>
        <w:t>3) limited adoption of technology</w:t>
      </w:r>
      <w:r>
        <w:rPr>
          <w:rFonts w:ascii="Calibri" w:hAnsi="Calibri" w:cs="Calibri"/>
          <w:sz w:val="22"/>
          <w:szCs w:val="22"/>
        </w:rPr>
        <w:t xml:space="preserve">, </w:t>
      </w:r>
      <w:r w:rsidRPr="009111E5">
        <w:rPr>
          <w:rFonts w:ascii="Calibri" w:hAnsi="Calibri" w:cs="Calibri"/>
          <w:sz w:val="22"/>
          <w:szCs w:val="22"/>
        </w:rPr>
        <w:t>4) inconsistent use of data and evidence</w:t>
      </w:r>
      <w:r>
        <w:rPr>
          <w:rFonts w:ascii="Calibri" w:hAnsi="Calibri" w:cs="Calibri"/>
          <w:sz w:val="22"/>
          <w:szCs w:val="22"/>
        </w:rPr>
        <w:t>,</w:t>
      </w:r>
      <w:r w:rsidRPr="009111E5">
        <w:rPr>
          <w:rFonts w:ascii="Calibri" w:hAnsi="Calibri" w:cs="Calibri"/>
          <w:sz w:val="22"/>
          <w:szCs w:val="22"/>
        </w:rPr>
        <w:t xml:space="preserve"> 5) insufficient investment in promotion and prevention</w:t>
      </w:r>
      <w:r>
        <w:rPr>
          <w:rFonts w:ascii="Calibri" w:hAnsi="Calibri" w:cs="Calibri"/>
          <w:sz w:val="22"/>
          <w:szCs w:val="22"/>
        </w:rPr>
        <w:t xml:space="preserve">, </w:t>
      </w:r>
      <w:r w:rsidRPr="009111E5">
        <w:rPr>
          <w:rFonts w:ascii="Calibri" w:hAnsi="Calibri" w:cs="Calibri"/>
          <w:sz w:val="22"/>
          <w:szCs w:val="22"/>
        </w:rPr>
        <w:t>6) insurance and financing limitations</w:t>
      </w:r>
      <w:r>
        <w:rPr>
          <w:rFonts w:ascii="Calibri" w:hAnsi="Calibri" w:cs="Calibri"/>
          <w:sz w:val="22"/>
          <w:szCs w:val="22"/>
        </w:rPr>
        <w:t xml:space="preserve">, </w:t>
      </w:r>
      <w:r w:rsidRPr="009111E5">
        <w:rPr>
          <w:rFonts w:ascii="Calibri" w:hAnsi="Calibri" w:cs="Calibri"/>
          <w:sz w:val="22"/>
          <w:szCs w:val="22"/>
        </w:rPr>
        <w:t>7) workforce challenges</w:t>
      </w:r>
      <w:r>
        <w:rPr>
          <w:rFonts w:ascii="Calibri" w:hAnsi="Calibri" w:cs="Calibri"/>
          <w:sz w:val="22"/>
          <w:szCs w:val="22"/>
        </w:rPr>
        <w:t xml:space="preserve">, and </w:t>
      </w:r>
      <w:r w:rsidRPr="009111E5">
        <w:rPr>
          <w:rFonts w:ascii="Calibri" w:hAnsi="Calibri" w:cs="Calibri"/>
          <w:sz w:val="22"/>
          <w:szCs w:val="22"/>
        </w:rPr>
        <w:t>8) inequitable engagement of underserved populations</w:t>
      </w:r>
      <w:r>
        <w:rPr>
          <w:rFonts w:ascii="Calibri" w:hAnsi="Calibri" w:cs="Calibri"/>
          <w:sz w:val="22"/>
          <w:szCs w:val="22"/>
        </w:rPr>
        <w:t>. All of these elements are relevant to the discussion that follows regarding Oregon’s CCBHC program.</w:t>
      </w:r>
    </w:p>
    <w:p w14:paraId="5319743A" w14:textId="0DEA9700" w:rsidR="00BB1E16" w:rsidRDefault="00BB1E16" w:rsidP="00BB1E16"/>
    <w:p w14:paraId="190AEF38" w14:textId="0EB31E05" w:rsidR="00A53095" w:rsidRPr="001173FB" w:rsidRDefault="00A53095" w:rsidP="00580A99">
      <w:pPr>
        <w:pStyle w:val="Heading1"/>
        <w:spacing w:before="0" w:after="120"/>
        <w:rPr>
          <w:rFonts w:asciiTheme="minorHAnsi" w:hAnsiTheme="minorHAnsi" w:cstheme="minorHAnsi"/>
          <w:b/>
          <w:bCs/>
          <w:color w:val="6A7F0F"/>
          <w:sz w:val="40"/>
          <w:szCs w:val="40"/>
        </w:rPr>
      </w:pPr>
      <w:bookmarkStart w:id="6" w:name="_Toc126068169"/>
      <w:r w:rsidRPr="001173FB">
        <w:rPr>
          <w:rFonts w:asciiTheme="minorHAnsi" w:hAnsiTheme="minorHAnsi" w:cstheme="minorHAnsi"/>
          <w:b/>
          <w:bCs/>
          <w:color w:val="6A7F0F"/>
          <w:sz w:val="40"/>
          <w:szCs w:val="40"/>
        </w:rPr>
        <w:t>CCBHC Model in Oregon</w:t>
      </w:r>
      <w:bookmarkEnd w:id="6"/>
    </w:p>
    <w:p w14:paraId="4F5B93A9" w14:textId="38781852" w:rsidR="00B0333A" w:rsidRDefault="00B0333A" w:rsidP="00A53095">
      <w:pPr>
        <w:rPr>
          <w:rFonts w:cstheme="minorHAnsi"/>
          <w:sz w:val="22"/>
          <w:szCs w:val="22"/>
        </w:rPr>
      </w:pPr>
      <w:r>
        <w:rPr>
          <w:rFonts w:cstheme="minorHAnsi"/>
          <w:sz w:val="22"/>
          <w:szCs w:val="22"/>
        </w:rPr>
        <w:t>The CCBHC model is defined by federal standards for CCBHC certification, which are supplemented by Oregon standards for CCBHCs. These are described below, as well as the CCBHC funding model. Finally, descriptive information about the Oregon CCBHCs and the communities they serve is provided.</w:t>
      </w:r>
    </w:p>
    <w:p w14:paraId="7249D7E1" w14:textId="77777777" w:rsidR="00B0333A" w:rsidRPr="00B0333A" w:rsidRDefault="00B0333A" w:rsidP="00A53095">
      <w:pPr>
        <w:rPr>
          <w:rFonts w:cstheme="minorHAnsi"/>
          <w:sz w:val="22"/>
          <w:szCs w:val="22"/>
        </w:rPr>
      </w:pPr>
    </w:p>
    <w:p w14:paraId="7F415974" w14:textId="2C4DC85F" w:rsidR="00A53095" w:rsidRPr="00CF0229" w:rsidRDefault="00A53095" w:rsidP="008F573D">
      <w:pPr>
        <w:pStyle w:val="Heading2"/>
        <w:spacing w:after="120"/>
        <w:rPr>
          <w:rFonts w:asciiTheme="minorHAnsi" w:hAnsiTheme="minorHAnsi" w:cstheme="minorHAnsi"/>
          <w:b/>
          <w:bCs/>
          <w:color w:val="6A7F0F"/>
        </w:rPr>
      </w:pPr>
      <w:bookmarkStart w:id="7" w:name="_Toc126068170"/>
      <w:r w:rsidRPr="00CF0229">
        <w:rPr>
          <w:rFonts w:asciiTheme="minorHAnsi" w:hAnsiTheme="minorHAnsi" w:cstheme="minorHAnsi"/>
          <w:b/>
          <w:bCs/>
          <w:color w:val="6A7F0F"/>
        </w:rPr>
        <w:t>Federal Standards for CCBHC Certification</w:t>
      </w:r>
      <w:bookmarkEnd w:id="7"/>
    </w:p>
    <w:p w14:paraId="23F63EB1" w14:textId="03210F69" w:rsidR="003B0D7C" w:rsidRPr="003B0D7C" w:rsidRDefault="00A53095" w:rsidP="003B0D7C">
      <w:pPr>
        <w:jc w:val="both"/>
        <w:rPr>
          <w:rFonts w:cstheme="minorHAnsi"/>
          <w:sz w:val="22"/>
          <w:szCs w:val="22"/>
        </w:rPr>
      </w:pPr>
      <w:r w:rsidRPr="0064067F">
        <w:rPr>
          <w:rFonts w:cstheme="minorHAnsi"/>
          <w:sz w:val="22"/>
          <w:szCs w:val="22"/>
        </w:rPr>
        <w:t xml:space="preserve">The </w:t>
      </w:r>
      <w:r>
        <w:rPr>
          <w:rFonts w:cstheme="minorHAnsi"/>
          <w:sz w:val="22"/>
          <w:szCs w:val="22"/>
        </w:rPr>
        <w:t>f</w:t>
      </w:r>
      <w:r w:rsidRPr="0064067F">
        <w:rPr>
          <w:rFonts w:cstheme="minorHAnsi"/>
          <w:sz w:val="22"/>
          <w:szCs w:val="22"/>
        </w:rPr>
        <w:t>ederal CCBHC standards mandate that states must certify that each CCBHC offers the following services</w:t>
      </w:r>
      <w:r>
        <w:rPr>
          <w:rFonts w:cstheme="minorHAnsi"/>
          <w:sz w:val="22"/>
          <w:szCs w:val="22"/>
        </w:rPr>
        <w:t>,</w:t>
      </w:r>
      <w:r w:rsidRPr="0064067F">
        <w:rPr>
          <w:rFonts w:cstheme="minorHAnsi"/>
          <w:sz w:val="22"/>
          <w:szCs w:val="22"/>
        </w:rPr>
        <w:t xml:space="preserve"> either directly or through a formal contract with a designated collaborating organization (DCO).</w:t>
      </w:r>
      <w:r>
        <w:rPr>
          <w:rFonts w:cstheme="minorHAnsi"/>
          <w:sz w:val="22"/>
          <w:szCs w:val="22"/>
        </w:rPr>
        <w:t xml:space="preserve"> T</w:t>
      </w:r>
      <w:r w:rsidRPr="0064067F">
        <w:rPr>
          <w:rFonts w:cstheme="minorHAnsi"/>
          <w:sz w:val="22"/>
          <w:szCs w:val="22"/>
        </w:rPr>
        <w:t xml:space="preserve">he following services </w:t>
      </w:r>
      <w:r>
        <w:rPr>
          <w:rFonts w:cstheme="minorHAnsi"/>
          <w:sz w:val="22"/>
          <w:szCs w:val="22"/>
        </w:rPr>
        <w:t xml:space="preserve">were required through the duration of the demonstration program </w:t>
      </w:r>
      <w:r w:rsidRPr="0064067F">
        <w:rPr>
          <w:rFonts w:cstheme="minorHAnsi"/>
          <w:sz w:val="22"/>
          <w:szCs w:val="22"/>
        </w:rPr>
        <w:t xml:space="preserve">and </w:t>
      </w:r>
      <w:r>
        <w:rPr>
          <w:rFonts w:cstheme="minorHAnsi"/>
          <w:sz w:val="22"/>
          <w:szCs w:val="22"/>
        </w:rPr>
        <w:t>were</w:t>
      </w:r>
      <w:r w:rsidRPr="0064067F">
        <w:rPr>
          <w:rFonts w:cstheme="minorHAnsi"/>
          <w:sz w:val="22"/>
          <w:szCs w:val="22"/>
        </w:rPr>
        <w:t xml:space="preserve"> paid for even if not included in a state’s Medicaid plans</w:t>
      </w:r>
      <w:r>
        <w:rPr>
          <w:rFonts w:cstheme="minorHAnsi"/>
          <w:sz w:val="22"/>
          <w:szCs w:val="22"/>
        </w:rPr>
        <w:t xml:space="preserve"> (National Council for Behavioral Health, n.d.)</w:t>
      </w:r>
      <w:r w:rsidR="003B0D7C">
        <w:rPr>
          <w:rFonts w:cstheme="minorHAnsi"/>
          <w:sz w:val="22"/>
          <w:szCs w:val="22"/>
        </w:rPr>
        <w:t>. Those marked</w:t>
      </w:r>
      <w:r w:rsidRPr="0064067F">
        <w:rPr>
          <w:rFonts w:cstheme="minorHAnsi"/>
          <w:sz w:val="22"/>
          <w:szCs w:val="22"/>
        </w:rPr>
        <w:t xml:space="preserve"> </w:t>
      </w:r>
      <w:r w:rsidR="003B0D7C" w:rsidRPr="003B0D7C">
        <w:rPr>
          <w:rFonts w:cstheme="minorHAnsi"/>
          <w:sz w:val="22"/>
          <w:szCs w:val="22"/>
        </w:rPr>
        <w:t xml:space="preserve">* </w:t>
      </w:r>
      <w:r w:rsidR="003B0D7C">
        <w:rPr>
          <w:rFonts w:cstheme="minorHAnsi"/>
          <w:sz w:val="22"/>
          <w:szCs w:val="22"/>
        </w:rPr>
        <w:t xml:space="preserve">the </w:t>
      </w:r>
      <w:r w:rsidR="003B0D7C" w:rsidRPr="003B0D7C">
        <w:rPr>
          <w:rFonts w:cstheme="minorHAnsi"/>
          <w:sz w:val="22"/>
          <w:szCs w:val="22"/>
        </w:rPr>
        <w:t xml:space="preserve">CCBHC must directly provide; </w:t>
      </w:r>
      <w:r w:rsidR="003B0D7C">
        <w:rPr>
          <w:rFonts w:cstheme="minorHAnsi"/>
          <w:sz w:val="22"/>
          <w:szCs w:val="22"/>
        </w:rPr>
        <w:t xml:space="preserve">those marked </w:t>
      </w:r>
      <w:r w:rsidR="003B0D7C" w:rsidRPr="003B0D7C">
        <w:rPr>
          <w:rFonts w:cstheme="minorHAnsi"/>
          <w:sz w:val="22"/>
          <w:szCs w:val="22"/>
        </w:rPr>
        <w:t>**</w:t>
      </w:r>
      <w:r w:rsidR="003B0D7C">
        <w:rPr>
          <w:rFonts w:cstheme="minorHAnsi"/>
          <w:sz w:val="22"/>
          <w:szCs w:val="22"/>
        </w:rPr>
        <w:t xml:space="preserve"> m</w:t>
      </w:r>
      <w:r w:rsidR="003B0D7C" w:rsidRPr="003B0D7C">
        <w:rPr>
          <w:rFonts w:cstheme="minorHAnsi"/>
          <w:sz w:val="22"/>
          <w:szCs w:val="22"/>
        </w:rPr>
        <w:t xml:space="preserve">ay be provided by </w:t>
      </w:r>
      <w:r w:rsidR="003B0D7C">
        <w:rPr>
          <w:rFonts w:cstheme="minorHAnsi"/>
          <w:sz w:val="22"/>
          <w:szCs w:val="22"/>
        </w:rPr>
        <w:t xml:space="preserve">the </w:t>
      </w:r>
      <w:r w:rsidR="003B0D7C" w:rsidRPr="003B0D7C">
        <w:rPr>
          <w:rFonts w:cstheme="minorHAnsi"/>
          <w:sz w:val="22"/>
          <w:szCs w:val="22"/>
        </w:rPr>
        <w:t>CCBHC and/or DCO</w:t>
      </w:r>
      <w:r w:rsidR="003B0D7C">
        <w:rPr>
          <w:rFonts w:cstheme="minorHAnsi"/>
          <w:sz w:val="22"/>
          <w:szCs w:val="22"/>
        </w:rPr>
        <w:t>.</w:t>
      </w:r>
    </w:p>
    <w:p w14:paraId="60FFC283" w14:textId="77777777" w:rsidR="00A53095" w:rsidRPr="00270FAD" w:rsidRDefault="00A53095">
      <w:pPr>
        <w:pStyle w:val="ListParagraph"/>
        <w:numPr>
          <w:ilvl w:val="0"/>
          <w:numId w:val="5"/>
        </w:numPr>
        <w:rPr>
          <w:sz w:val="22"/>
          <w:szCs w:val="22"/>
        </w:rPr>
      </w:pPr>
      <w:r w:rsidRPr="0064067F">
        <w:rPr>
          <w:rFonts w:cstheme="minorHAnsi"/>
          <w:sz w:val="22"/>
          <w:szCs w:val="22"/>
        </w:rPr>
        <w:t>Crisis mental health services including 24-hour mobile crisis teams, emergency crisis</w:t>
      </w:r>
      <w:r w:rsidRPr="00270FAD">
        <w:rPr>
          <w:sz w:val="22"/>
          <w:szCs w:val="22"/>
        </w:rPr>
        <w:t xml:space="preserve"> intervention and crisis stabilization* </w:t>
      </w:r>
    </w:p>
    <w:p w14:paraId="4ED60563" w14:textId="77777777" w:rsidR="00A53095" w:rsidRPr="00270FAD" w:rsidRDefault="00A53095">
      <w:pPr>
        <w:pStyle w:val="ListParagraph"/>
        <w:numPr>
          <w:ilvl w:val="0"/>
          <w:numId w:val="5"/>
        </w:numPr>
        <w:rPr>
          <w:sz w:val="22"/>
          <w:szCs w:val="22"/>
        </w:rPr>
      </w:pPr>
      <w:r w:rsidRPr="00270FAD">
        <w:rPr>
          <w:sz w:val="22"/>
          <w:szCs w:val="22"/>
        </w:rPr>
        <w:t xml:space="preserve">Screening, assessment, and diagnosis including risk management* </w:t>
      </w:r>
    </w:p>
    <w:p w14:paraId="03999317" w14:textId="77777777" w:rsidR="00A53095" w:rsidRPr="00270FAD" w:rsidRDefault="00A53095">
      <w:pPr>
        <w:pStyle w:val="ListParagraph"/>
        <w:numPr>
          <w:ilvl w:val="0"/>
          <w:numId w:val="5"/>
        </w:numPr>
        <w:rPr>
          <w:sz w:val="22"/>
          <w:szCs w:val="22"/>
        </w:rPr>
      </w:pPr>
      <w:r w:rsidRPr="00270FAD">
        <w:rPr>
          <w:sz w:val="22"/>
          <w:szCs w:val="22"/>
        </w:rPr>
        <w:t xml:space="preserve">Patient-centered treatment planning* </w:t>
      </w:r>
    </w:p>
    <w:p w14:paraId="35AC90F4" w14:textId="77777777" w:rsidR="00A53095" w:rsidRPr="00270FAD" w:rsidRDefault="00A53095">
      <w:pPr>
        <w:pStyle w:val="ListParagraph"/>
        <w:numPr>
          <w:ilvl w:val="0"/>
          <w:numId w:val="5"/>
        </w:numPr>
        <w:rPr>
          <w:sz w:val="22"/>
          <w:szCs w:val="22"/>
        </w:rPr>
      </w:pPr>
      <w:r w:rsidRPr="00270FAD">
        <w:rPr>
          <w:sz w:val="22"/>
          <w:szCs w:val="22"/>
        </w:rPr>
        <w:t xml:space="preserve">Outpatient mental health and substance use services* </w:t>
      </w:r>
    </w:p>
    <w:p w14:paraId="3841B1F0" w14:textId="77777777" w:rsidR="00A53095" w:rsidRPr="00270FAD" w:rsidRDefault="00A53095">
      <w:pPr>
        <w:pStyle w:val="ListParagraph"/>
        <w:numPr>
          <w:ilvl w:val="0"/>
          <w:numId w:val="5"/>
        </w:numPr>
        <w:rPr>
          <w:sz w:val="22"/>
          <w:szCs w:val="22"/>
        </w:rPr>
      </w:pPr>
      <w:r w:rsidRPr="00270FAD">
        <w:rPr>
          <w:sz w:val="22"/>
          <w:szCs w:val="22"/>
        </w:rPr>
        <w:t xml:space="preserve">Primary care screening and monitoring** </w:t>
      </w:r>
    </w:p>
    <w:p w14:paraId="4B542119" w14:textId="77777777" w:rsidR="00A53095" w:rsidRPr="00270FAD" w:rsidRDefault="00A53095">
      <w:pPr>
        <w:pStyle w:val="ListParagraph"/>
        <w:numPr>
          <w:ilvl w:val="0"/>
          <w:numId w:val="5"/>
        </w:numPr>
        <w:rPr>
          <w:sz w:val="22"/>
          <w:szCs w:val="22"/>
        </w:rPr>
      </w:pPr>
      <w:r w:rsidRPr="00270FAD">
        <w:rPr>
          <w:sz w:val="22"/>
          <w:szCs w:val="22"/>
        </w:rPr>
        <w:t>Targeted case</w:t>
      </w:r>
      <w:r>
        <w:rPr>
          <w:sz w:val="22"/>
          <w:szCs w:val="22"/>
        </w:rPr>
        <w:t xml:space="preserve"> </w:t>
      </w:r>
      <w:r w:rsidRPr="00270FAD">
        <w:rPr>
          <w:sz w:val="22"/>
          <w:szCs w:val="22"/>
        </w:rPr>
        <w:t xml:space="preserve">management** </w:t>
      </w:r>
    </w:p>
    <w:p w14:paraId="75869EE9" w14:textId="77777777" w:rsidR="00A53095" w:rsidRPr="00270FAD" w:rsidRDefault="00A53095">
      <w:pPr>
        <w:pStyle w:val="ListParagraph"/>
        <w:numPr>
          <w:ilvl w:val="0"/>
          <w:numId w:val="5"/>
        </w:numPr>
        <w:rPr>
          <w:sz w:val="22"/>
          <w:szCs w:val="22"/>
        </w:rPr>
      </w:pPr>
      <w:r w:rsidRPr="00270FAD">
        <w:rPr>
          <w:sz w:val="22"/>
          <w:szCs w:val="22"/>
        </w:rPr>
        <w:t xml:space="preserve">Psychiatric rehabilitation services** </w:t>
      </w:r>
    </w:p>
    <w:p w14:paraId="488B40E3" w14:textId="77777777" w:rsidR="00A53095" w:rsidRPr="00270FAD" w:rsidRDefault="00A53095">
      <w:pPr>
        <w:pStyle w:val="ListParagraph"/>
        <w:numPr>
          <w:ilvl w:val="0"/>
          <w:numId w:val="5"/>
        </w:numPr>
        <w:rPr>
          <w:sz w:val="22"/>
          <w:szCs w:val="22"/>
        </w:rPr>
      </w:pPr>
      <w:r w:rsidRPr="00270FAD">
        <w:rPr>
          <w:sz w:val="22"/>
          <w:szCs w:val="22"/>
        </w:rPr>
        <w:t xml:space="preserve">Peer support, counseling services, and family support services** </w:t>
      </w:r>
    </w:p>
    <w:p w14:paraId="21452234" w14:textId="77777777" w:rsidR="00A53095" w:rsidRPr="00270FAD" w:rsidRDefault="00A53095">
      <w:pPr>
        <w:pStyle w:val="ListParagraph"/>
        <w:numPr>
          <w:ilvl w:val="0"/>
          <w:numId w:val="5"/>
        </w:numPr>
        <w:rPr>
          <w:sz w:val="22"/>
          <w:szCs w:val="22"/>
        </w:rPr>
      </w:pPr>
      <w:r w:rsidRPr="00270FAD">
        <w:rPr>
          <w:sz w:val="22"/>
          <w:szCs w:val="22"/>
        </w:rPr>
        <w:t xml:space="preserve">Services for members of the armed services and veterans** </w:t>
      </w:r>
    </w:p>
    <w:p w14:paraId="743DE148" w14:textId="31DF26A5" w:rsidR="00A53095" w:rsidRDefault="00A53095">
      <w:pPr>
        <w:pStyle w:val="ListParagraph"/>
        <w:numPr>
          <w:ilvl w:val="0"/>
          <w:numId w:val="5"/>
        </w:numPr>
        <w:rPr>
          <w:sz w:val="22"/>
          <w:szCs w:val="22"/>
        </w:rPr>
      </w:pPr>
      <w:r w:rsidRPr="00270FAD">
        <w:rPr>
          <w:sz w:val="22"/>
          <w:szCs w:val="22"/>
        </w:rPr>
        <w:t>Connections with other providers and systems (criminal justice, foster care, child welfare, education, primary care, hospitals, etc.)</w:t>
      </w:r>
    </w:p>
    <w:p w14:paraId="58DA544B" w14:textId="77777777" w:rsidR="00580A99" w:rsidRPr="00580A99" w:rsidRDefault="00580A99" w:rsidP="00580A99">
      <w:pPr>
        <w:ind w:left="360"/>
        <w:rPr>
          <w:sz w:val="22"/>
          <w:szCs w:val="22"/>
        </w:rPr>
      </w:pPr>
    </w:p>
    <w:p w14:paraId="0D055EDC" w14:textId="232A4753" w:rsidR="00A53095" w:rsidRPr="00CF0229" w:rsidRDefault="00A53095" w:rsidP="008F573D">
      <w:pPr>
        <w:pStyle w:val="Heading2"/>
        <w:spacing w:after="120"/>
        <w:rPr>
          <w:rFonts w:asciiTheme="minorHAnsi" w:hAnsiTheme="minorHAnsi" w:cstheme="minorHAnsi"/>
          <w:b/>
          <w:bCs/>
          <w:color w:val="6A7F0F"/>
        </w:rPr>
      </w:pPr>
      <w:bookmarkStart w:id="8" w:name="_Toc126068171"/>
      <w:r w:rsidRPr="00CF0229">
        <w:rPr>
          <w:rFonts w:asciiTheme="minorHAnsi" w:hAnsiTheme="minorHAnsi" w:cstheme="minorHAnsi"/>
          <w:b/>
          <w:bCs/>
          <w:color w:val="6A7F0F"/>
        </w:rPr>
        <w:t>Oregon Standards for CCBHCs</w:t>
      </w:r>
      <w:bookmarkEnd w:id="8"/>
    </w:p>
    <w:p w14:paraId="6EE57659" w14:textId="2D4489A2" w:rsidR="005E44B0" w:rsidRDefault="005E44B0" w:rsidP="005E44B0">
      <w:pPr>
        <w:rPr>
          <w:rFonts w:cstheme="minorHAnsi"/>
          <w:sz w:val="22"/>
          <w:szCs w:val="22"/>
        </w:rPr>
      </w:pPr>
      <w:r w:rsidRPr="0064067F">
        <w:rPr>
          <w:rFonts w:cstheme="minorHAnsi"/>
          <w:sz w:val="22"/>
          <w:szCs w:val="22"/>
        </w:rPr>
        <w:t>Senate Bill 832</w:t>
      </w:r>
      <w:r>
        <w:rPr>
          <w:rFonts w:cstheme="minorHAnsi"/>
          <w:sz w:val="22"/>
          <w:szCs w:val="22"/>
        </w:rPr>
        <w:t xml:space="preserve"> in 2015 </w:t>
      </w:r>
      <w:r w:rsidRPr="0064067F">
        <w:rPr>
          <w:rFonts w:cstheme="minorHAnsi"/>
          <w:sz w:val="22"/>
          <w:szCs w:val="22"/>
        </w:rPr>
        <w:t xml:space="preserve">directed OHA to develop standards for “achieving integration of behavioral health services and physical health services in Patient-Centered Primary Care Homes (PCPCH) and Behavioral Health Homes (BHH).” OHA relied upon the expertise of the PCPCH Standards Advisory Committee to advise in the development of integration standards. The committee developed </w:t>
      </w:r>
      <w:r>
        <w:rPr>
          <w:rFonts w:cstheme="minorHAnsi"/>
          <w:sz w:val="22"/>
          <w:szCs w:val="22"/>
        </w:rPr>
        <w:t xml:space="preserve">the </w:t>
      </w:r>
      <w:r w:rsidRPr="0064067F">
        <w:rPr>
          <w:rFonts w:cstheme="minorHAnsi"/>
          <w:sz w:val="22"/>
          <w:szCs w:val="22"/>
        </w:rPr>
        <w:t xml:space="preserve">BHH model with over 40 specific measures </w:t>
      </w:r>
      <w:r>
        <w:rPr>
          <w:rFonts w:cstheme="minorHAnsi"/>
          <w:sz w:val="22"/>
          <w:szCs w:val="22"/>
        </w:rPr>
        <w:t>to</w:t>
      </w:r>
      <w:r w:rsidRPr="0064067F">
        <w:rPr>
          <w:rFonts w:cstheme="minorHAnsi"/>
          <w:sz w:val="22"/>
          <w:szCs w:val="22"/>
        </w:rPr>
        <w:t xml:space="preserve"> provide a framework for integrating physical health services into behavioral </w:t>
      </w:r>
      <w:r>
        <w:rPr>
          <w:rFonts w:cstheme="minorHAnsi"/>
          <w:sz w:val="22"/>
          <w:szCs w:val="22"/>
        </w:rPr>
        <w:t>healthcare</w:t>
      </w:r>
      <w:r w:rsidRPr="0064067F">
        <w:rPr>
          <w:rFonts w:cstheme="minorHAnsi"/>
          <w:sz w:val="22"/>
          <w:szCs w:val="22"/>
        </w:rPr>
        <w:t xml:space="preserve"> settings.</w:t>
      </w:r>
      <w:r>
        <w:rPr>
          <w:rFonts w:cstheme="minorHAnsi"/>
          <w:sz w:val="22"/>
          <w:szCs w:val="22"/>
        </w:rPr>
        <w:t xml:space="preserve"> Since there was no BHH recognition from the state comparable to PCPCH recognition, in order to align this work with the CCBHC demonstration, organizations applying to become a CCBHC in Oregon were required to also </w:t>
      </w:r>
      <w:r w:rsidRPr="0064067F">
        <w:rPr>
          <w:rFonts w:cstheme="minorHAnsi"/>
          <w:sz w:val="22"/>
          <w:szCs w:val="22"/>
        </w:rPr>
        <w:t xml:space="preserve">meet nine Oregon Standards for CCBHCs </w:t>
      </w:r>
      <w:r>
        <w:rPr>
          <w:rFonts w:cstheme="minorHAnsi"/>
          <w:sz w:val="22"/>
          <w:szCs w:val="22"/>
        </w:rPr>
        <w:t>that</w:t>
      </w:r>
      <w:r w:rsidRPr="0064067F">
        <w:rPr>
          <w:rFonts w:cstheme="minorHAnsi"/>
          <w:sz w:val="22"/>
          <w:szCs w:val="22"/>
        </w:rPr>
        <w:t xml:space="preserve"> </w:t>
      </w:r>
      <w:r>
        <w:rPr>
          <w:rFonts w:cstheme="minorHAnsi"/>
          <w:sz w:val="22"/>
          <w:szCs w:val="22"/>
        </w:rPr>
        <w:t>were</w:t>
      </w:r>
      <w:r w:rsidRPr="0064067F">
        <w:rPr>
          <w:rFonts w:cstheme="minorHAnsi"/>
          <w:sz w:val="22"/>
          <w:szCs w:val="22"/>
        </w:rPr>
        <w:t xml:space="preserve"> adapted from the BHH model</w:t>
      </w:r>
      <w:r>
        <w:rPr>
          <w:rFonts w:cstheme="minorHAnsi"/>
          <w:sz w:val="22"/>
          <w:szCs w:val="22"/>
        </w:rPr>
        <w:t xml:space="preserve"> (</w:t>
      </w:r>
      <w:r w:rsidR="006F1F0D">
        <w:rPr>
          <w:rFonts w:cstheme="minorHAnsi"/>
          <w:sz w:val="22"/>
          <w:szCs w:val="22"/>
        </w:rPr>
        <w:t>OHA</w:t>
      </w:r>
      <w:r>
        <w:rPr>
          <w:rFonts w:cstheme="minorHAnsi"/>
          <w:sz w:val="22"/>
          <w:szCs w:val="22"/>
        </w:rPr>
        <w:t>, n.d.(c))</w:t>
      </w:r>
      <w:r w:rsidRPr="0064067F">
        <w:rPr>
          <w:rFonts w:cstheme="minorHAnsi"/>
          <w:sz w:val="22"/>
          <w:szCs w:val="22"/>
        </w:rPr>
        <w:t>.</w:t>
      </w:r>
      <w:r>
        <w:rPr>
          <w:rFonts w:cstheme="minorHAnsi"/>
          <w:sz w:val="22"/>
          <w:szCs w:val="22"/>
        </w:rPr>
        <w:t xml:space="preserve"> </w:t>
      </w:r>
    </w:p>
    <w:p w14:paraId="51DB82E5" w14:textId="77777777" w:rsidR="00A53095" w:rsidRDefault="00A53095" w:rsidP="00A53095">
      <w:pPr>
        <w:rPr>
          <w:rFonts w:cstheme="minorHAnsi"/>
          <w:sz w:val="22"/>
          <w:szCs w:val="22"/>
        </w:rPr>
      </w:pPr>
    </w:p>
    <w:p w14:paraId="6D39681A" w14:textId="5D1D6962" w:rsidR="00A53095" w:rsidRDefault="00A53095" w:rsidP="00A53095">
      <w:pPr>
        <w:rPr>
          <w:rFonts w:cstheme="minorHAnsi"/>
          <w:sz w:val="22"/>
          <w:szCs w:val="22"/>
        </w:rPr>
      </w:pPr>
      <w:r w:rsidRPr="0064067F">
        <w:rPr>
          <w:rFonts w:cstheme="minorHAnsi"/>
          <w:sz w:val="22"/>
          <w:szCs w:val="22"/>
        </w:rPr>
        <w:t xml:space="preserve">The Oregon standards </w:t>
      </w:r>
      <w:r>
        <w:rPr>
          <w:rFonts w:cstheme="minorHAnsi"/>
          <w:sz w:val="22"/>
          <w:szCs w:val="22"/>
        </w:rPr>
        <w:t>add additional requirements, notably</w:t>
      </w:r>
      <w:r w:rsidRPr="0064067F">
        <w:rPr>
          <w:rFonts w:cstheme="minorHAnsi"/>
          <w:sz w:val="22"/>
          <w:szCs w:val="22"/>
        </w:rPr>
        <w:t xml:space="preserve"> 20 hours of </w:t>
      </w:r>
      <w:r>
        <w:rPr>
          <w:rFonts w:cstheme="minorHAnsi"/>
          <w:sz w:val="22"/>
          <w:szCs w:val="22"/>
        </w:rPr>
        <w:t>onsite</w:t>
      </w:r>
      <w:r w:rsidRPr="0064067F">
        <w:rPr>
          <w:rFonts w:cstheme="minorHAnsi"/>
          <w:sz w:val="22"/>
          <w:szCs w:val="22"/>
        </w:rPr>
        <w:t xml:space="preserve"> primary care services</w:t>
      </w:r>
      <w:r>
        <w:rPr>
          <w:rFonts w:cstheme="minorHAnsi"/>
          <w:sz w:val="22"/>
          <w:szCs w:val="22"/>
        </w:rPr>
        <w:t>; the requirements are listed below (</w:t>
      </w:r>
      <w:r w:rsidR="006F1F0D">
        <w:rPr>
          <w:rFonts w:cstheme="minorHAnsi"/>
          <w:sz w:val="22"/>
          <w:szCs w:val="22"/>
        </w:rPr>
        <w:t>OHA</w:t>
      </w:r>
      <w:r>
        <w:rPr>
          <w:rFonts w:cstheme="minorHAnsi"/>
          <w:sz w:val="22"/>
          <w:szCs w:val="22"/>
        </w:rPr>
        <w:t>, n.d. (c)):</w:t>
      </w:r>
      <w:r w:rsidRPr="0064067F">
        <w:rPr>
          <w:rFonts w:cstheme="minorHAnsi"/>
          <w:sz w:val="22"/>
          <w:szCs w:val="22"/>
        </w:rPr>
        <w:t xml:space="preserve"> </w:t>
      </w:r>
    </w:p>
    <w:p w14:paraId="4E5B9046" w14:textId="77777777" w:rsidR="00A53095" w:rsidRPr="00620339" w:rsidRDefault="00A53095">
      <w:pPr>
        <w:pStyle w:val="ListParagraph"/>
        <w:numPr>
          <w:ilvl w:val="0"/>
          <w:numId w:val="6"/>
        </w:numPr>
        <w:rPr>
          <w:sz w:val="22"/>
          <w:szCs w:val="22"/>
        </w:rPr>
      </w:pPr>
      <w:r w:rsidRPr="00620339">
        <w:rPr>
          <w:sz w:val="22"/>
          <w:szCs w:val="22"/>
        </w:rPr>
        <w:t>Telephone and Electronic Access</w:t>
      </w:r>
      <w:r>
        <w:rPr>
          <w:sz w:val="22"/>
          <w:szCs w:val="22"/>
        </w:rPr>
        <w:t>:</w:t>
      </w:r>
      <w:r w:rsidRPr="00620339">
        <w:rPr>
          <w:sz w:val="22"/>
          <w:szCs w:val="22"/>
        </w:rPr>
        <w:t xml:space="preserve"> CCBHC provides continuous access to behavioral health advice by telephone. </w:t>
      </w:r>
    </w:p>
    <w:p w14:paraId="29BABDC0" w14:textId="77777777" w:rsidR="00A53095" w:rsidRPr="000B06EB" w:rsidRDefault="00A53095">
      <w:pPr>
        <w:pStyle w:val="ListParagraph"/>
        <w:numPr>
          <w:ilvl w:val="0"/>
          <w:numId w:val="6"/>
        </w:numPr>
        <w:rPr>
          <w:sz w:val="22"/>
          <w:szCs w:val="22"/>
        </w:rPr>
      </w:pPr>
      <w:r w:rsidRPr="000B06EB">
        <w:rPr>
          <w:sz w:val="22"/>
          <w:szCs w:val="22"/>
        </w:rPr>
        <w:t>Performance and Clinical Quality</w:t>
      </w:r>
      <w:r>
        <w:rPr>
          <w:sz w:val="22"/>
          <w:szCs w:val="22"/>
        </w:rPr>
        <w:t>:</w:t>
      </w:r>
      <w:r w:rsidRPr="000B06EB">
        <w:rPr>
          <w:sz w:val="22"/>
          <w:szCs w:val="22"/>
        </w:rPr>
        <w:t xml:space="preserve"> CCBHC tracks one quality metric from the core or menu set of PCPCH Quality Measures. </w:t>
      </w:r>
    </w:p>
    <w:p w14:paraId="7C0E2CF0" w14:textId="77777777" w:rsidR="00A53095" w:rsidRDefault="00A53095">
      <w:pPr>
        <w:pStyle w:val="ListParagraph"/>
        <w:numPr>
          <w:ilvl w:val="0"/>
          <w:numId w:val="6"/>
        </w:numPr>
        <w:rPr>
          <w:sz w:val="22"/>
          <w:szCs w:val="22"/>
        </w:rPr>
      </w:pPr>
      <w:r w:rsidRPr="00620339">
        <w:rPr>
          <w:sz w:val="22"/>
          <w:szCs w:val="22"/>
        </w:rPr>
        <w:t>Provision of Services</w:t>
      </w:r>
      <w:r>
        <w:rPr>
          <w:sz w:val="22"/>
          <w:szCs w:val="22"/>
        </w:rPr>
        <w:t>:</w:t>
      </w:r>
      <w:r w:rsidRPr="00620339">
        <w:rPr>
          <w:sz w:val="22"/>
          <w:szCs w:val="22"/>
        </w:rPr>
        <w:t xml:space="preserve"> CCBHC </w:t>
      </w:r>
      <w:r>
        <w:rPr>
          <w:sz w:val="22"/>
          <w:szCs w:val="22"/>
        </w:rPr>
        <w:t>reports that it routinely offers</w:t>
      </w:r>
      <w:r w:rsidRPr="00620339">
        <w:rPr>
          <w:sz w:val="22"/>
          <w:szCs w:val="22"/>
        </w:rPr>
        <w:t xml:space="preserve"> all of the following categories of BH services: screening, assessment and diagnosis including risk assessment, person-centered treatment planning, outpatient mental health services, targeted case management services and psychiatric rehabilitation. </w:t>
      </w:r>
    </w:p>
    <w:p w14:paraId="46DEEA40" w14:textId="77777777" w:rsidR="00A53095" w:rsidRDefault="00A53095">
      <w:pPr>
        <w:pStyle w:val="ListParagraph"/>
        <w:numPr>
          <w:ilvl w:val="0"/>
          <w:numId w:val="6"/>
        </w:numPr>
        <w:rPr>
          <w:sz w:val="22"/>
          <w:szCs w:val="22"/>
        </w:rPr>
      </w:pPr>
      <w:r w:rsidRPr="000B06EB">
        <w:rPr>
          <w:sz w:val="22"/>
          <w:szCs w:val="22"/>
        </w:rPr>
        <w:t>Coordination and Integration with Primary Care</w:t>
      </w:r>
      <w:r>
        <w:rPr>
          <w:sz w:val="22"/>
          <w:szCs w:val="22"/>
        </w:rPr>
        <w:t>:</w:t>
      </w:r>
      <w:r w:rsidRPr="000B06EB">
        <w:rPr>
          <w:sz w:val="22"/>
          <w:szCs w:val="22"/>
        </w:rPr>
        <w:t xml:space="preserve"> CCBHC has primary care services onsite at least 20 hours a week and has a process to </w:t>
      </w:r>
      <w:r>
        <w:rPr>
          <w:sz w:val="22"/>
          <w:szCs w:val="22"/>
        </w:rPr>
        <w:t>e</w:t>
      </w:r>
      <w:r w:rsidRPr="000B06EB">
        <w:rPr>
          <w:sz w:val="22"/>
          <w:szCs w:val="22"/>
        </w:rPr>
        <w:t xml:space="preserve">nsure patients can access primary care services during the hours onsite primary care is not available. </w:t>
      </w:r>
    </w:p>
    <w:p w14:paraId="70CD64DA" w14:textId="77777777" w:rsidR="00A53095" w:rsidRDefault="00A53095">
      <w:pPr>
        <w:pStyle w:val="ListParagraph"/>
        <w:numPr>
          <w:ilvl w:val="0"/>
          <w:numId w:val="6"/>
        </w:numPr>
        <w:rPr>
          <w:sz w:val="22"/>
          <w:szCs w:val="22"/>
        </w:rPr>
      </w:pPr>
      <w:r w:rsidRPr="000B06EB">
        <w:rPr>
          <w:sz w:val="22"/>
          <w:szCs w:val="22"/>
        </w:rPr>
        <w:t>Organization of CCBHC Information</w:t>
      </w:r>
      <w:r>
        <w:rPr>
          <w:sz w:val="22"/>
          <w:szCs w:val="22"/>
        </w:rPr>
        <w:t xml:space="preserve">: </w:t>
      </w:r>
      <w:r w:rsidRPr="000B06EB">
        <w:rPr>
          <w:sz w:val="22"/>
          <w:szCs w:val="22"/>
        </w:rPr>
        <w:t>CCBHC maintains a health record for each consumer that contains at least the following elements: problem list, medication list, allergies, basic demographic information, preferred language</w:t>
      </w:r>
      <w:r>
        <w:rPr>
          <w:sz w:val="22"/>
          <w:szCs w:val="22"/>
        </w:rPr>
        <w:t xml:space="preserve">, and updates this record </w:t>
      </w:r>
      <w:r w:rsidRPr="000B06EB">
        <w:rPr>
          <w:sz w:val="22"/>
          <w:szCs w:val="22"/>
        </w:rPr>
        <w:t xml:space="preserve">as needed at each visit. </w:t>
      </w:r>
    </w:p>
    <w:p w14:paraId="12A2E39A" w14:textId="77777777" w:rsidR="00A53095" w:rsidRPr="000B06EB" w:rsidRDefault="00A53095">
      <w:pPr>
        <w:pStyle w:val="ListParagraph"/>
        <w:numPr>
          <w:ilvl w:val="0"/>
          <w:numId w:val="6"/>
        </w:numPr>
        <w:rPr>
          <w:sz w:val="22"/>
          <w:szCs w:val="22"/>
        </w:rPr>
      </w:pPr>
      <w:r w:rsidRPr="000B06EB">
        <w:rPr>
          <w:sz w:val="22"/>
          <w:szCs w:val="22"/>
        </w:rPr>
        <w:t>Specialized Care Setting Transitions</w:t>
      </w:r>
      <w:r>
        <w:rPr>
          <w:sz w:val="22"/>
          <w:szCs w:val="22"/>
        </w:rPr>
        <w:t>:</w:t>
      </w:r>
      <w:r w:rsidRPr="000B06EB">
        <w:rPr>
          <w:sz w:val="22"/>
          <w:szCs w:val="22"/>
        </w:rPr>
        <w:t xml:space="preserve"> CCBHC has a written agreement with its usual hospital providers or directly provides routine hospital care. </w:t>
      </w:r>
    </w:p>
    <w:p w14:paraId="0E024DB6" w14:textId="77777777" w:rsidR="00A53095" w:rsidRPr="000B06EB" w:rsidRDefault="00A53095">
      <w:pPr>
        <w:pStyle w:val="ListParagraph"/>
        <w:numPr>
          <w:ilvl w:val="0"/>
          <w:numId w:val="6"/>
        </w:numPr>
        <w:rPr>
          <w:sz w:val="22"/>
          <w:szCs w:val="22"/>
        </w:rPr>
      </w:pPr>
      <w:r w:rsidRPr="000B06EB">
        <w:rPr>
          <w:sz w:val="22"/>
          <w:szCs w:val="22"/>
        </w:rPr>
        <w:t>Care Coordination</w:t>
      </w:r>
      <w:r>
        <w:rPr>
          <w:sz w:val="22"/>
          <w:szCs w:val="22"/>
        </w:rPr>
        <w:t>:</w:t>
      </w:r>
      <w:r w:rsidRPr="000B06EB">
        <w:rPr>
          <w:sz w:val="22"/>
          <w:szCs w:val="22"/>
        </w:rPr>
        <w:t xml:space="preserve"> CCBHC demonstrates that members of the </w:t>
      </w:r>
      <w:r>
        <w:rPr>
          <w:sz w:val="22"/>
          <w:szCs w:val="22"/>
        </w:rPr>
        <w:t>health care</w:t>
      </w:r>
      <w:r w:rsidRPr="000B06EB">
        <w:rPr>
          <w:sz w:val="22"/>
          <w:szCs w:val="22"/>
        </w:rPr>
        <w:t xml:space="preserve"> team have defined roles in care coordination for consumers and tell each consumer or family the name(s) of the team member(s) responsible for coordinating his or her care. </w:t>
      </w:r>
    </w:p>
    <w:p w14:paraId="096BEC87" w14:textId="77777777" w:rsidR="00A53095" w:rsidRPr="000B06EB" w:rsidRDefault="00A53095">
      <w:pPr>
        <w:pStyle w:val="ListParagraph"/>
        <w:numPr>
          <w:ilvl w:val="0"/>
          <w:numId w:val="6"/>
        </w:numPr>
        <w:rPr>
          <w:sz w:val="22"/>
          <w:szCs w:val="22"/>
        </w:rPr>
      </w:pPr>
      <w:r w:rsidRPr="000B06EB">
        <w:rPr>
          <w:sz w:val="22"/>
          <w:szCs w:val="22"/>
        </w:rPr>
        <w:t>End of Life Planning</w:t>
      </w:r>
      <w:r>
        <w:rPr>
          <w:sz w:val="22"/>
          <w:szCs w:val="22"/>
        </w:rPr>
        <w:t>:</w:t>
      </w:r>
      <w:r w:rsidRPr="000B06EB">
        <w:rPr>
          <w:sz w:val="22"/>
          <w:szCs w:val="22"/>
        </w:rPr>
        <w:t xml:space="preserve"> CCBHC has a process to offer or coordinate hospice and palliative care and counseling for consumers and families who may benefit from them. </w:t>
      </w:r>
    </w:p>
    <w:p w14:paraId="0C5DAD5F" w14:textId="77777777" w:rsidR="00A53095" w:rsidRPr="00A7479B" w:rsidRDefault="00A53095">
      <w:pPr>
        <w:pStyle w:val="ListParagraph"/>
        <w:numPr>
          <w:ilvl w:val="0"/>
          <w:numId w:val="6"/>
        </w:numPr>
        <w:rPr>
          <w:rFonts w:cstheme="minorHAnsi"/>
          <w:sz w:val="22"/>
          <w:szCs w:val="22"/>
        </w:rPr>
      </w:pPr>
      <w:r w:rsidRPr="00620339">
        <w:rPr>
          <w:sz w:val="22"/>
          <w:szCs w:val="22"/>
        </w:rPr>
        <w:t>Language and Cultural Interpretation</w:t>
      </w:r>
      <w:r>
        <w:rPr>
          <w:sz w:val="22"/>
          <w:szCs w:val="22"/>
        </w:rPr>
        <w:t>:</w:t>
      </w:r>
      <w:r w:rsidRPr="00620339">
        <w:rPr>
          <w:sz w:val="22"/>
          <w:szCs w:val="22"/>
        </w:rPr>
        <w:t xml:space="preserve"> CCBHC offers and/or uses either providers who speak a </w:t>
      </w:r>
      <w:r w:rsidRPr="00A7479B">
        <w:rPr>
          <w:rFonts w:cstheme="minorHAnsi"/>
          <w:sz w:val="22"/>
          <w:szCs w:val="22"/>
        </w:rPr>
        <w:t>consumer’s and family’s language at time of service in-person or telephonic trained interpreters to communicate with consumers and families in their language of choice.</w:t>
      </w:r>
    </w:p>
    <w:p w14:paraId="00D0BD14" w14:textId="77777777" w:rsidR="00A53095" w:rsidRPr="00A7479B" w:rsidRDefault="00A53095" w:rsidP="00A53095">
      <w:pPr>
        <w:rPr>
          <w:rFonts w:cstheme="minorHAnsi"/>
          <w:sz w:val="22"/>
          <w:szCs w:val="22"/>
        </w:rPr>
      </w:pPr>
    </w:p>
    <w:p w14:paraId="0210B316" w14:textId="77777777" w:rsidR="00085772" w:rsidRDefault="00A53095" w:rsidP="00085772">
      <w:pPr>
        <w:rPr>
          <w:rStyle w:val="markedcontent"/>
          <w:rFonts w:cstheme="minorHAnsi"/>
          <w:sz w:val="22"/>
          <w:szCs w:val="22"/>
        </w:rPr>
      </w:pPr>
      <w:r w:rsidRPr="00085772">
        <w:rPr>
          <w:rFonts w:cstheme="minorHAnsi"/>
          <w:sz w:val="22"/>
          <w:szCs w:val="22"/>
        </w:rPr>
        <w:t xml:space="preserve">Further specifications (OHA, n.d. (c)) on coordination and integration with primary care clarify that the 20 hours week of primary care </w:t>
      </w:r>
      <w:r w:rsidRPr="00085772">
        <w:rPr>
          <w:rStyle w:val="markedcontent"/>
          <w:rFonts w:cstheme="minorHAnsi"/>
          <w:sz w:val="22"/>
          <w:szCs w:val="22"/>
        </w:rPr>
        <w:t>offer services for physical health, disease prevention,</w:t>
      </w:r>
      <w:r w:rsidRPr="00085772">
        <w:rPr>
          <w:rFonts w:cstheme="minorHAnsi"/>
          <w:sz w:val="22"/>
          <w:szCs w:val="22"/>
        </w:rPr>
        <w:t xml:space="preserve"> </w:t>
      </w:r>
      <w:r w:rsidRPr="00085772">
        <w:rPr>
          <w:rStyle w:val="markedcontent"/>
          <w:rFonts w:cstheme="minorHAnsi"/>
          <w:sz w:val="22"/>
          <w:szCs w:val="22"/>
        </w:rPr>
        <w:t>and treatment; these may be contracted. Rural clinics with critical access shortages may be able to substitute a portion of the required 20 hours of on-site primary care using telehealth. CCBHCs must demonstrate evidence of collaborative provider relationships and care coordination for patients receiving primary care services off-site</w:t>
      </w:r>
      <w:r w:rsidRPr="00085772">
        <w:rPr>
          <w:rFonts w:cstheme="minorHAnsi"/>
          <w:sz w:val="22"/>
          <w:szCs w:val="22"/>
        </w:rPr>
        <w:t xml:space="preserve"> </w:t>
      </w:r>
      <w:r w:rsidRPr="00085772">
        <w:rPr>
          <w:rStyle w:val="markedcontent"/>
          <w:rFonts w:cstheme="minorHAnsi"/>
          <w:sz w:val="22"/>
          <w:szCs w:val="22"/>
        </w:rPr>
        <w:t>during hours that primary care providers are not available at the CCBHC. Categories of primary care service include:</w:t>
      </w:r>
    </w:p>
    <w:p w14:paraId="062C5FE8" w14:textId="0CA0EC09" w:rsidR="00A53095" w:rsidRPr="00085772" w:rsidRDefault="00A53095">
      <w:pPr>
        <w:pStyle w:val="ListParagraph"/>
        <w:numPr>
          <w:ilvl w:val="0"/>
          <w:numId w:val="37"/>
        </w:numPr>
        <w:rPr>
          <w:rFonts w:cstheme="minorHAnsi"/>
          <w:sz w:val="22"/>
          <w:szCs w:val="22"/>
        </w:rPr>
      </w:pPr>
      <w:r w:rsidRPr="00085772">
        <w:rPr>
          <w:rStyle w:val="markedcontent"/>
          <w:rFonts w:cstheme="minorHAnsi"/>
          <w:sz w:val="22"/>
          <w:szCs w:val="22"/>
        </w:rPr>
        <w:t>Acute care for minor illnesses and injuries</w:t>
      </w:r>
    </w:p>
    <w:p w14:paraId="6F680BC3" w14:textId="77777777" w:rsidR="00A53095" w:rsidRDefault="00A53095">
      <w:pPr>
        <w:pStyle w:val="ListParagraph"/>
        <w:numPr>
          <w:ilvl w:val="0"/>
          <w:numId w:val="7"/>
        </w:numPr>
        <w:rPr>
          <w:rFonts w:cstheme="minorHAnsi"/>
          <w:sz w:val="22"/>
          <w:szCs w:val="22"/>
        </w:rPr>
      </w:pPr>
      <w:r w:rsidRPr="00A7479B">
        <w:rPr>
          <w:rStyle w:val="markedcontent"/>
          <w:rFonts w:cstheme="minorHAnsi"/>
          <w:sz w:val="22"/>
          <w:szCs w:val="22"/>
        </w:rPr>
        <w:t>Ongoing management of chronic diseases including coordination of care</w:t>
      </w:r>
    </w:p>
    <w:p w14:paraId="059838CC" w14:textId="77777777" w:rsidR="00A53095" w:rsidRDefault="00A53095">
      <w:pPr>
        <w:pStyle w:val="ListParagraph"/>
        <w:numPr>
          <w:ilvl w:val="0"/>
          <w:numId w:val="7"/>
        </w:numPr>
        <w:rPr>
          <w:rStyle w:val="markedcontent"/>
          <w:rFonts w:cstheme="minorHAnsi"/>
          <w:sz w:val="22"/>
          <w:szCs w:val="22"/>
        </w:rPr>
      </w:pPr>
      <w:r w:rsidRPr="00A7479B">
        <w:rPr>
          <w:rStyle w:val="markedcontent"/>
          <w:rFonts w:cstheme="minorHAnsi"/>
          <w:sz w:val="22"/>
          <w:szCs w:val="22"/>
        </w:rPr>
        <w:t>Office based procedures and diagnostic tests</w:t>
      </w:r>
    </w:p>
    <w:p w14:paraId="3BC78E73" w14:textId="77777777" w:rsidR="00A53095" w:rsidRDefault="00A53095">
      <w:pPr>
        <w:pStyle w:val="ListParagraph"/>
        <w:numPr>
          <w:ilvl w:val="0"/>
          <w:numId w:val="7"/>
        </w:numPr>
        <w:rPr>
          <w:rFonts w:cstheme="minorHAnsi"/>
          <w:sz w:val="22"/>
          <w:szCs w:val="22"/>
        </w:rPr>
      </w:pPr>
      <w:r w:rsidRPr="00A7479B">
        <w:rPr>
          <w:rStyle w:val="markedcontent"/>
          <w:rFonts w:cstheme="minorHAnsi"/>
          <w:sz w:val="22"/>
          <w:szCs w:val="22"/>
        </w:rPr>
        <w:t>Patient education, prevention</w:t>
      </w:r>
      <w:r>
        <w:rPr>
          <w:rStyle w:val="markedcontent"/>
          <w:rFonts w:cstheme="minorHAnsi"/>
          <w:sz w:val="22"/>
          <w:szCs w:val="22"/>
        </w:rPr>
        <w:t>,</w:t>
      </w:r>
      <w:r w:rsidRPr="00A7479B">
        <w:rPr>
          <w:rStyle w:val="markedcontent"/>
          <w:rFonts w:cstheme="minorHAnsi"/>
          <w:sz w:val="22"/>
          <w:szCs w:val="22"/>
        </w:rPr>
        <w:t xml:space="preserve"> and wellness support services</w:t>
      </w:r>
    </w:p>
    <w:p w14:paraId="71B0AF49" w14:textId="77777777" w:rsidR="00A53095" w:rsidRDefault="00A53095">
      <w:pPr>
        <w:pStyle w:val="ListParagraph"/>
        <w:numPr>
          <w:ilvl w:val="0"/>
          <w:numId w:val="7"/>
        </w:numPr>
        <w:rPr>
          <w:rStyle w:val="markedcontent"/>
          <w:rFonts w:cstheme="minorHAnsi"/>
          <w:sz w:val="22"/>
          <w:szCs w:val="22"/>
        </w:rPr>
      </w:pPr>
      <w:r w:rsidRPr="00A7479B">
        <w:rPr>
          <w:rStyle w:val="markedcontent"/>
          <w:rFonts w:cstheme="minorHAnsi"/>
          <w:sz w:val="22"/>
          <w:szCs w:val="22"/>
        </w:rPr>
        <w:t>Care management, understood as individualized, person-centered planning and coordination to increase consumer participation and follow-up</w:t>
      </w:r>
      <w:r>
        <w:rPr>
          <w:rFonts w:cstheme="minorHAnsi"/>
          <w:sz w:val="22"/>
          <w:szCs w:val="22"/>
        </w:rPr>
        <w:t xml:space="preserve"> </w:t>
      </w:r>
      <w:r w:rsidRPr="00A7479B">
        <w:rPr>
          <w:rStyle w:val="markedcontent"/>
          <w:rFonts w:cstheme="minorHAnsi"/>
          <w:sz w:val="22"/>
          <w:szCs w:val="22"/>
        </w:rPr>
        <w:t xml:space="preserve">with all </w:t>
      </w:r>
      <w:r>
        <w:rPr>
          <w:rStyle w:val="markedcontent"/>
          <w:rFonts w:cstheme="minorHAnsi"/>
          <w:sz w:val="22"/>
          <w:szCs w:val="22"/>
        </w:rPr>
        <w:t>primary care</w:t>
      </w:r>
      <w:r w:rsidRPr="00A7479B">
        <w:rPr>
          <w:rStyle w:val="markedcontent"/>
          <w:rFonts w:cstheme="minorHAnsi"/>
          <w:sz w:val="22"/>
          <w:szCs w:val="22"/>
        </w:rPr>
        <w:t xml:space="preserve"> screening, assessment</w:t>
      </w:r>
      <w:r>
        <w:rPr>
          <w:rStyle w:val="markedcontent"/>
          <w:rFonts w:cstheme="minorHAnsi"/>
          <w:sz w:val="22"/>
          <w:szCs w:val="22"/>
        </w:rPr>
        <w:t>,</w:t>
      </w:r>
      <w:r w:rsidRPr="00A7479B">
        <w:rPr>
          <w:rStyle w:val="markedcontent"/>
          <w:rFonts w:cstheme="minorHAnsi"/>
          <w:sz w:val="22"/>
          <w:szCs w:val="22"/>
        </w:rPr>
        <w:t xml:space="preserve"> and treatment services</w:t>
      </w:r>
      <w:r w:rsidRPr="00A7479B">
        <w:rPr>
          <w:rFonts w:cstheme="minorHAnsi"/>
          <w:sz w:val="22"/>
          <w:szCs w:val="22"/>
        </w:rPr>
        <w:br/>
      </w:r>
    </w:p>
    <w:p w14:paraId="224177BC" w14:textId="77777777" w:rsidR="00A53095" w:rsidRPr="00C64720" w:rsidRDefault="00A53095" w:rsidP="00A53095">
      <w:pPr>
        <w:rPr>
          <w:rFonts w:cstheme="minorHAnsi"/>
          <w:sz w:val="22"/>
          <w:szCs w:val="22"/>
        </w:rPr>
      </w:pPr>
      <w:r w:rsidRPr="00C64720">
        <w:rPr>
          <w:rFonts w:cstheme="minorHAnsi"/>
          <w:sz w:val="22"/>
          <w:szCs w:val="22"/>
        </w:rPr>
        <w:t>While there may only be a single CMHP within each specified geographic area, multiple CCBHCs may be co-located within the same geographic region. Like CCBHCs, CMHPs must provide care to service users regardless of ability to pay; however</w:t>
      </w:r>
      <w:r>
        <w:rPr>
          <w:rFonts w:cstheme="minorHAnsi"/>
          <w:sz w:val="22"/>
          <w:szCs w:val="22"/>
        </w:rPr>
        <w:t>,</w:t>
      </w:r>
      <w:r w:rsidRPr="00C64720">
        <w:rPr>
          <w:rFonts w:cstheme="minorHAnsi"/>
          <w:sz w:val="22"/>
          <w:szCs w:val="22"/>
        </w:rPr>
        <w:t xml:space="preserve"> CMHPs are not required to offer integration of behavioral and primary care services, nor are they mandated to provide patient-centered treatment planning, targeted case management, </w:t>
      </w:r>
      <w:r>
        <w:rPr>
          <w:rFonts w:cstheme="minorHAnsi"/>
          <w:sz w:val="22"/>
          <w:szCs w:val="22"/>
        </w:rPr>
        <w:t xml:space="preserve">end of life planning, </w:t>
      </w:r>
      <w:r w:rsidRPr="00C64720">
        <w:rPr>
          <w:rFonts w:cstheme="minorHAnsi"/>
          <w:sz w:val="22"/>
          <w:szCs w:val="22"/>
        </w:rPr>
        <w:t xml:space="preserve">or peer support services </w:t>
      </w:r>
      <w:r>
        <w:rPr>
          <w:rFonts w:cstheme="minorHAnsi"/>
          <w:sz w:val="22"/>
          <w:szCs w:val="22"/>
        </w:rPr>
        <w:t>(</w:t>
      </w:r>
      <w:r w:rsidRPr="00C64720">
        <w:rPr>
          <w:rFonts w:cstheme="minorHAnsi"/>
          <w:sz w:val="22"/>
          <w:szCs w:val="22"/>
        </w:rPr>
        <w:t>as CCBHCs are</w:t>
      </w:r>
      <w:r>
        <w:rPr>
          <w:rFonts w:cstheme="minorHAnsi"/>
          <w:sz w:val="22"/>
          <w:szCs w:val="22"/>
        </w:rPr>
        <w:t xml:space="preserve">). </w:t>
      </w:r>
      <w:r w:rsidRPr="00C64720">
        <w:rPr>
          <w:rFonts w:cstheme="minorHAnsi"/>
          <w:sz w:val="22"/>
          <w:szCs w:val="22"/>
        </w:rPr>
        <w:t xml:space="preserve">CMHPs may offer services beyond what is mandated by OHA to meet the needs of their </w:t>
      </w:r>
      <w:r>
        <w:rPr>
          <w:rFonts w:cstheme="minorHAnsi"/>
          <w:sz w:val="22"/>
          <w:szCs w:val="22"/>
        </w:rPr>
        <w:t xml:space="preserve">local </w:t>
      </w:r>
      <w:r w:rsidRPr="00C64720">
        <w:rPr>
          <w:rFonts w:cstheme="minorHAnsi"/>
          <w:sz w:val="22"/>
          <w:szCs w:val="22"/>
        </w:rPr>
        <w:t xml:space="preserve">geographic area. </w:t>
      </w:r>
    </w:p>
    <w:p w14:paraId="14CF601F" w14:textId="05CDD813" w:rsidR="00A53095" w:rsidRDefault="00A53095" w:rsidP="00BB1E16"/>
    <w:p w14:paraId="79138DA2" w14:textId="0753663E" w:rsidR="00A53095" w:rsidRPr="00CF0229" w:rsidRDefault="00A53095" w:rsidP="008F573D">
      <w:pPr>
        <w:pStyle w:val="Heading2"/>
        <w:spacing w:after="120"/>
        <w:rPr>
          <w:rFonts w:asciiTheme="minorHAnsi" w:hAnsiTheme="minorHAnsi" w:cstheme="minorHAnsi"/>
          <w:b/>
          <w:bCs/>
          <w:color w:val="6A7F0F"/>
        </w:rPr>
      </w:pPr>
      <w:bookmarkStart w:id="9" w:name="_Toc126068172"/>
      <w:r w:rsidRPr="00CF0229">
        <w:rPr>
          <w:rFonts w:asciiTheme="minorHAnsi" w:hAnsiTheme="minorHAnsi" w:cstheme="minorHAnsi"/>
          <w:b/>
          <w:bCs/>
          <w:color w:val="6A7F0F"/>
        </w:rPr>
        <w:t>CCBHC Funding Model</w:t>
      </w:r>
      <w:bookmarkEnd w:id="9"/>
    </w:p>
    <w:p w14:paraId="16863D42" w14:textId="18786960" w:rsidR="00A53095" w:rsidRDefault="005E44B0" w:rsidP="00A53095">
      <w:pPr>
        <w:rPr>
          <w:rFonts w:cstheme="minorHAnsi"/>
          <w:sz w:val="22"/>
          <w:szCs w:val="22"/>
        </w:rPr>
      </w:pPr>
      <w:r w:rsidRPr="007E2EF2">
        <w:rPr>
          <w:rFonts w:cstheme="minorHAnsi"/>
          <w:sz w:val="22"/>
          <w:szCs w:val="22"/>
        </w:rPr>
        <w:t xml:space="preserve">The Oregon CCBHC model uses a </w:t>
      </w:r>
      <w:r>
        <w:rPr>
          <w:rFonts w:cstheme="minorHAnsi"/>
          <w:sz w:val="22"/>
          <w:szCs w:val="22"/>
        </w:rPr>
        <w:t xml:space="preserve">funding model based upon a </w:t>
      </w:r>
      <w:r w:rsidRPr="007E2EF2">
        <w:rPr>
          <w:rFonts w:cstheme="minorHAnsi"/>
          <w:sz w:val="22"/>
          <w:szCs w:val="22"/>
        </w:rPr>
        <w:t xml:space="preserve">daily Prospective Payment </w:t>
      </w:r>
      <w:r>
        <w:rPr>
          <w:rFonts w:cstheme="minorHAnsi"/>
          <w:sz w:val="22"/>
          <w:szCs w:val="22"/>
        </w:rPr>
        <w:t xml:space="preserve">System </w:t>
      </w:r>
      <w:r w:rsidRPr="007E2EF2">
        <w:rPr>
          <w:rFonts w:cstheme="minorHAnsi"/>
          <w:sz w:val="22"/>
          <w:szCs w:val="22"/>
        </w:rPr>
        <w:t>(PPS) rate, which pays CCBHCs a fixed amount for each day that a Medicaid beneficiary receives CCBHC services. The payment is the same regardless of what services the beneficiary receives on that day. This rate is “cost-based,” intended to cover the actual costs of operating the CCBHC. The rates in Oregon were developed using anticipated costs that clinics calculated and submitted to OHA. These initial rates have not been re</w:t>
      </w:r>
      <w:r>
        <w:rPr>
          <w:rFonts w:cstheme="minorHAnsi"/>
          <w:sz w:val="22"/>
          <w:szCs w:val="22"/>
        </w:rPr>
        <w:t>calculat</w:t>
      </w:r>
      <w:r w:rsidRPr="007E2EF2">
        <w:rPr>
          <w:rFonts w:cstheme="minorHAnsi"/>
          <w:sz w:val="22"/>
          <w:szCs w:val="22"/>
        </w:rPr>
        <w:t xml:space="preserve">ed during the study period </w:t>
      </w:r>
      <w:r>
        <w:rPr>
          <w:rFonts w:cstheme="minorHAnsi"/>
          <w:sz w:val="22"/>
          <w:szCs w:val="22"/>
        </w:rPr>
        <w:t>to adjust for any structural changes in the underlying cost basis</w:t>
      </w:r>
      <w:r w:rsidRPr="007E2EF2">
        <w:rPr>
          <w:rFonts w:cstheme="minorHAnsi"/>
          <w:sz w:val="22"/>
          <w:szCs w:val="22"/>
        </w:rPr>
        <w:t xml:space="preserve"> but have been adjusted annually for </w:t>
      </w:r>
      <w:r w:rsidRPr="000455B8">
        <w:rPr>
          <w:rFonts w:cstheme="minorHAnsi"/>
          <w:sz w:val="22"/>
          <w:szCs w:val="22"/>
        </w:rPr>
        <w:t>the Medicare Economic Index</w:t>
      </w:r>
      <w:r>
        <w:rPr>
          <w:rFonts w:cstheme="minorHAnsi"/>
          <w:sz w:val="22"/>
          <w:szCs w:val="22"/>
        </w:rPr>
        <w:t xml:space="preserve"> (MEI).</w:t>
      </w:r>
    </w:p>
    <w:p w14:paraId="5E6F5580" w14:textId="77777777" w:rsidR="005E44B0" w:rsidRPr="007E2EF2" w:rsidRDefault="005E44B0" w:rsidP="00A53095">
      <w:pPr>
        <w:rPr>
          <w:rFonts w:cstheme="minorHAnsi"/>
          <w:sz w:val="22"/>
          <w:szCs w:val="22"/>
        </w:rPr>
      </w:pPr>
    </w:p>
    <w:p w14:paraId="026FACA7" w14:textId="4025BA1A" w:rsidR="005E44B0" w:rsidRPr="00F44CE6" w:rsidRDefault="005E44B0" w:rsidP="005E44B0">
      <w:pPr>
        <w:pStyle w:val="Default"/>
        <w:rPr>
          <w:rFonts w:asciiTheme="minorHAnsi" w:hAnsiTheme="minorHAnsi" w:cstheme="minorHAnsi"/>
          <w:sz w:val="22"/>
          <w:szCs w:val="22"/>
        </w:rPr>
      </w:pPr>
      <w:r w:rsidRPr="00F44CE6">
        <w:rPr>
          <w:rFonts w:asciiTheme="minorHAnsi" w:hAnsiTheme="minorHAnsi" w:cstheme="minorHAnsi"/>
          <w:sz w:val="22"/>
          <w:szCs w:val="22"/>
        </w:rPr>
        <w:t xml:space="preserve">Wraparound payments are only available for CCBHC services provided to </w:t>
      </w:r>
      <w:r w:rsidR="00CF6C30">
        <w:rPr>
          <w:rFonts w:asciiTheme="minorHAnsi" w:hAnsiTheme="minorHAnsi" w:cstheme="minorHAnsi"/>
          <w:sz w:val="22"/>
          <w:szCs w:val="22"/>
        </w:rPr>
        <w:t>Coordinated Care Organization (</w:t>
      </w:r>
      <w:r w:rsidRPr="00F44CE6">
        <w:rPr>
          <w:rFonts w:asciiTheme="minorHAnsi" w:hAnsiTheme="minorHAnsi" w:cstheme="minorHAnsi"/>
          <w:sz w:val="22"/>
          <w:szCs w:val="22"/>
        </w:rPr>
        <w:t>CCO</w:t>
      </w:r>
      <w:r w:rsidR="00CF6C30">
        <w:rPr>
          <w:rFonts w:asciiTheme="minorHAnsi" w:hAnsiTheme="minorHAnsi" w:cstheme="minorHAnsi"/>
          <w:sz w:val="22"/>
          <w:szCs w:val="22"/>
        </w:rPr>
        <w:t xml:space="preserve">) </w:t>
      </w:r>
      <w:r w:rsidRPr="00F44CE6">
        <w:rPr>
          <w:rFonts w:asciiTheme="minorHAnsi" w:hAnsiTheme="minorHAnsi" w:cstheme="minorHAnsi"/>
          <w:sz w:val="22"/>
          <w:szCs w:val="22"/>
        </w:rPr>
        <w:t xml:space="preserve">enrolled OHP members. CCBHCs receive many different types of payments from other </w:t>
      </w:r>
      <w:r>
        <w:rPr>
          <w:rFonts w:asciiTheme="minorHAnsi" w:hAnsiTheme="minorHAnsi" w:cstheme="minorHAnsi"/>
          <w:sz w:val="22"/>
          <w:szCs w:val="22"/>
        </w:rPr>
        <w:t>payor</w:t>
      </w:r>
      <w:r w:rsidRPr="00F44CE6">
        <w:rPr>
          <w:rFonts w:asciiTheme="minorHAnsi" w:hAnsiTheme="minorHAnsi" w:cstheme="minorHAnsi"/>
          <w:sz w:val="22"/>
          <w:szCs w:val="22"/>
        </w:rPr>
        <w:t>s for the provision of CCBHC services to CCO/managed care</w:t>
      </w:r>
      <w:r>
        <w:rPr>
          <w:rFonts w:asciiTheme="minorHAnsi" w:hAnsiTheme="minorHAnsi" w:cstheme="minorHAnsi"/>
          <w:sz w:val="22"/>
          <w:szCs w:val="22"/>
        </w:rPr>
        <w:t>-</w:t>
      </w:r>
      <w:r w:rsidRPr="00F44CE6">
        <w:rPr>
          <w:rFonts w:asciiTheme="minorHAnsi" w:hAnsiTheme="minorHAnsi" w:cstheme="minorHAnsi"/>
          <w:sz w:val="22"/>
          <w:szCs w:val="22"/>
        </w:rPr>
        <w:t xml:space="preserve">enrolled members. These payments may include, but are not limited to, traditional claims payments (fee-for-service), capitation payments (per-member, per-month), case rate payments, </w:t>
      </w:r>
      <w:r>
        <w:rPr>
          <w:rFonts w:asciiTheme="minorHAnsi" w:hAnsiTheme="minorHAnsi" w:cstheme="minorHAnsi"/>
          <w:sz w:val="22"/>
          <w:szCs w:val="22"/>
        </w:rPr>
        <w:t xml:space="preserve">and </w:t>
      </w:r>
      <w:r w:rsidRPr="00F44CE6">
        <w:rPr>
          <w:rFonts w:asciiTheme="minorHAnsi" w:hAnsiTheme="minorHAnsi" w:cstheme="minorHAnsi"/>
          <w:sz w:val="22"/>
          <w:szCs w:val="22"/>
        </w:rPr>
        <w:t>risk withhold payments.</w:t>
      </w:r>
      <w:r>
        <w:rPr>
          <w:rFonts w:asciiTheme="minorHAnsi" w:hAnsiTheme="minorHAnsi" w:cstheme="minorHAnsi"/>
          <w:sz w:val="22"/>
          <w:szCs w:val="22"/>
        </w:rPr>
        <w:t xml:space="preserve"> </w:t>
      </w:r>
      <w:r w:rsidRPr="007E2EF2">
        <w:rPr>
          <w:rFonts w:asciiTheme="minorHAnsi" w:hAnsiTheme="minorHAnsi" w:cstheme="minorHAnsi"/>
          <w:sz w:val="22"/>
          <w:szCs w:val="22"/>
        </w:rPr>
        <w:t>Oregon CCBHCs submit quarterly wraparound payment reports to OHA. These reports reflect the total of all paid claims for CCBHC services during the period and all payments received from CCOs, managed care plans, Medicare</w:t>
      </w:r>
      <w:r>
        <w:rPr>
          <w:rFonts w:asciiTheme="minorHAnsi" w:hAnsiTheme="minorHAnsi" w:cstheme="minorHAnsi"/>
          <w:sz w:val="22"/>
          <w:szCs w:val="22"/>
        </w:rPr>
        <w:t>,</w:t>
      </w:r>
      <w:r w:rsidRPr="007E2EF2">
        <w:rPr>
          <w:rFonts w:asciiTheme="minorHAnsi" w:hAnsiTheme="minorHAnsi" w:cstheme="minorHAnsi"/>
          <w:sz w:val="22"/>
          <w:szCs w:val="22"/>
        </w:rPr>
        <w:t xml:space="preserve"> and other </w:t>
      </w:r>
      <w:r>
        <w:rPr>
          <w:rFonts w:asciiTheme="minorHAnsi" w:hAnsiTheme="minorHAnsi" w:cstheme="minorHAnsi"/>
          <w:sz w:val="22"/>
          <w:szCs w:val="22"/>
        </w:rPr>
        <w:t>payor</w:t>
      </w:r>
      <w:r w:rsidRPr="007E2EF2">
        <w:rPr>
          <w:rFonts w:asciiTheme="minorHAnsi" w:hAnsiTheme="minorHAnsi" w:cstheme="minorHAnsi"/>
          <w:sz w:val="22"/>
          <w:szCs w:val="22"/>
        </w:rPr>
        <w:t>s. They also report all capitation payments, risk withholds, global payments</w:t>
      </w:r>
      <w:r>
        <w:rPr>
          <w:rFonts w:asciiTheme="minorHAnsi" w:hAnsiTheme="minorHAnsi" w:cstheme="minorHAnsi"/>
          <w:sz w:val="22"/>
          <w:szCs w:val="22"/>
        </w:rPr>
        <w:t>,</w:t>
      </w:r>
      <w:r w:rsidRPr="007E2EF2">
        <w:rPr>
          <w:rFonts w:asciiTheme="minorHAnsi" w:hAnsiTheme="minorHAnsi" w:cstheme="minorHAnsi"/>
          <w:sz w:val="22"/>
          <w:szCs w:val="22"/>
        </w:rPr>
        <w:t xml:space="preserve"> and other lump sums received for the CCBHC demonstration services. The </w:t>
      </w:r>
      <w:r>
        <w:rPr>
          <w:rFonts w:asciiTheme="minorHAnsi" w:hAnsiTheme="minorHAnsi" w:cstheme="minorHAnsi"/>
          <w:sz w:val="22"/>
          <w:szCs w:val="22"/>
        </w:rPr>
        <w:t>upper limit of the clinic wraparound payment is</w:t>
      </w:r>
      <w:r w:rsidRPr="007E2EF2">
        <w:rPr>
          <w:rFonts w:asciiTheme="minorHAnsi" w:hAnsiTheme="minorHAnsi" w:cstheme="minorHAnsi"/>
          <w:sz w:val="22"/>
          <w:szCs w:val="22"/>
        </w:rPr>
        <w:t xml:space="preserve"> calculated by counting the number of OHP individuals who received services each day multiplied by their PPS </w:t>
      </w:r>
      <w:r>
        <w:rPr>
          <w:rFonts w:asciiTheme="minorHAnsi" w:hAnsiTheme="minorHAnsi" w:cstheme="minorHAnsi"/>
          <w:sz w:val="22"/>
          <w:szCs w:val="22"/>
        </w:rPr>
        <w:t xml:space="preserve">payment </w:t>
      </w:r>
      <w:r w:rsidRPr="007E2EF2">
        <w:rPr>
          <w:rFonts w:asciiTheme="minorHAnsi" w:hAnsiTheme="minorHAnsi" w:cstheme="minorHAnsi"/>
          <w:sz w:val="22"/>
          <w:szCs w:val="22"/>
        </w:rPr>
        <w:t xml:space="preserve">rate. The </w:t>
      </w:r>
      <w:r>
        <w:rPr>
          <w:rFonts w:asciiTheme="minorHAnsi" w:hAnsiTheme="minorHAnsi" w:cstheme="minorHAnsi"/>
          <w:sz w:val="22"/>
          <w:szCs w:val="22"/>
        </w:rPr>
        <w:t xml:space="preserve">actual </w:t>
      </w:r>
      <w:r w:rsidRPr="007E2EF2">
        <w:rPr>
          <w:rFonts w:asciiTheme="minorHAnsi" w:hAnsiTheme="minorHAnsi" w:cstheme="minorHAnsi"/>
          <w:sz w:val="22"/>
          <w:szCs w:val="22"/>
        </w:rPr>
        <w:t xml:space="preserve">clinic wraparound payment is the difference </w:t>
      </w:r>
      <w:r>
        <w:rPr>
          <w:rFonts w:asciiTheme="minorHAnsi" w:hAnsiTheme="minorHAnsi" w:cstheme="minorHAnsi"/>
          <w:sz w:val="22"/>
          <w:szCs w:val="22"/>
        </w:rPr>
        <w:t>between the upper limit and the value of payments received directly from payors for CCBHC services.</w:t>
      </w:r>
      <w:r w:rsidRPr="007E2EF2">
        <w:rPr>
          <w:rFonts w:asciiTheme="minorHAnsi" w:hAnsiTheme="minorHAnsi" w:cstheme="minorHAnsi"/>
          <w:sz w:val="22"/>
          <w:szCs w:val="22"/>
        </w:rPr>
        <w:t xml:space="preserve"> When the payments received </w:t>
      </w:r>
      <w:r>
        <w:rPr>
          <w:rFonts w:asciiTheme="minorHAnsi" w:hAnsiTheme="minorHAnsi" w:cstheme="minorHAnsi"/>
          <w:sz w:val="22"/>
          <w:szCs w:val="22"/>
        </w:rPr>
        <w:t xml:space="preserve">directly from payors match </w:t>
      </w:r>
      <w:r w:rsidRPr="007E2EF2">
        <w:rPr>
          <w:rFonts w:asciiTheme="minorHAnsi" w:hAnsiTheme="minorHAnsi" w:cstheme="minorHAnsi"/>
          <w:sz w:val="22"/>
          <w:szCs w:val="22"/>
        </w:rPr>
        <w:t xml:space="preserve">or exceed </w:t>
      </w:r>
      <w:r w:rsidRPr="00F44CE6">
        <w:rPr>
          <w:rFonts w:asciiTheme="minorHAnsi" w:hAnsiTheme="minorHAnsi" w:cstheme="minorHAnsi"/>
          <w:sz w:val="22"/>
          <w:szCs w:val="22"/>
        </w:rPr>
        <w:t xml:space="preserve">the </w:t>
      </w:r>
      <w:r>
        <w:rPr>
          <w:rFonts w:asciiTheme="minorHAnsi" w:hAnsiTheme="minorHAnsi" w:cstheme="minorHAnsi"/>
          <w:sz w:val="22"/>
          <w:szCs w:val="22"/>
        </w:rPr>
        <w:t>upper limit</w:t>
      </w:r>
      <w:r w:rsidRPr="00F44CE6">
        <w:rPr>
          <w:rFonts w:asciiTheme="minorHAnsi" w:hAnsiTheme="minorHAnsi" w:cstheme="minorHAnsi"/>
          <w:sz w:val="22"/>
          <w:szCs w:val="22"/>
        </w:rPr>
        <w:t xml:space="preserve">, a clinic </w:t>
      </w:r>
      <w:r>
        <w:rPr>
          <w:rFonts w:asciiTheme="minorHAnsi" w:hAnsiTheme="minorHAnsi" w:cstheme="minorHAnsi"/>
          <w:sz w:val="22"/>
          <w:szCs w:val="22"/>
        </w:rPr>
        <w:t>does</w:t>
      </w:r>
      <w:r w:rsidRPr="00F44CE6">
        <w:rPr>
          <w:rFonts w:asciiTheme="minorHAnsi" w:hAnsiTheme="minorHAnsi" w:cstheme="minorHAnsi"/>
          <w:sz w:val="22"/>
          <w:szCs w:val="22"/>
        </w:rPr>
        <w:t xml:space="preserve"> not receive </w:t>
      </w:r>
      <w:r>
        <w:rPr>
          <w:rFonts w:asciiTheme="minorHAnsi" w:hAnsiTheme="minorHAnsi" w:cstheme="minorHAnsi"/>
          <w:sz w:val="22"/>
          <w:szCs w:val="22"/>
        </w:rPr>
        <w:t xml:space="preserve">a wraparound </w:t>
      </w:r>
      <w:r w:rsidRPr="00F44CE6">
        <w:rPr>
          <w:rFonts w:asciiTheme="minorHAnsi" w:hAnsiTheme="minorHAnsi" w:cstheme="minorHAnsi"/>
          <w:sz w:val="22"/>
          <w:szCs w:val="22"/>
        </w:rPr>
        <w:t>payment in that period. This has happened in Oregon for several clinics over time.</w:t>
      </w:r>
    </w:p>
    <w:p w14:paraId="113F44C2" w14:textId="77777777" w:rsidR="005E44B0" w:rsidRPr="007E2EF2" w:rsidRDefault="005E44B0" w:rsidP="005E44B0">
      <w:pPr>
        <w:rPr>
          <w:rFonts w:cstheme="minorHAnsi"/>
          <w:sz w:val="22"/>
          <w:szCs w:val="22"/>
        </w:rPr>
      </w:pPr>
    </w:p>
    <w:p w14:paraId="433D81E6" w14:textId="77777777" w:rsidR="005E44B0" w:rsidRPr="007E2EF2" w:rsidRDefault="005E44B0" w:rsidP="005E44B0">
      <w:pPr>
        <w:rPr>
          <w:rFonts w:cstheme="minorHAnsi"/>
          <w:sz w:val="22"/>
          <w:szCs w:val="22"/>
        </w:rPr>
      </w:pPr>
      <w:r w:rsidRPr="007E2EF2">
        <w:rPr>
          <w:rFonts w:cstheme="minorHAnsi"/>
          <w:sz w:val="22"/>
          <w:szCs w:val="22"/>
        </w:rPr>
        <w:t xml:space="preserve">The cost-based </w:t>
      </w:r>
      <w:r>
        <w:rPr>
          <w:rFonts w:cstheme="minorHAnsi"/>
          <w:sz w:val="22"/>
          <w:szCs w:val="22"/>
        </w:rPr>
        <w:t xml:space="preserve">PPS </w:t>
      </w:r>
      <w:r w:rsidRPr="007E2EF2">
        <w:rPr>
          <w:rFonts w:cstheme="minorHAnsi"/>
          <w:sz w:val="22"/>
          <w:szCs w:val="22"/>
        </w:rPr>
        <w:t xml:space="preserve">rate gives clinics the flexibility to structure their services and financial management systems in a way that enables them to provide the full scope of services without having to bill for each of these services individually. CMS requires that CCBHCs participating in the demonstration </w:t>
      </w:r>
      <w:r>
        <w:rPr>
          <w:rFonts w:cstheme="minorHAnsi"/>
          <w:sz w:val="22"/>
          <w:szCs w:val="22"/>
        </w:rPr>
        <w:t xml:space="preserve">program </w:t>
      </w:r>
      <w:r w:rsidRPr="007E2EF2">
        <w:rPr>
          <w:rFonts w:cstheme="minorHAnsi"/>
          <w:sz w:val="22"/>
          <w:szCs w:val="22"/>
        </w:rPr>
        <w:t xml:space="preserve">submit annual cost reports with details of their total operating costs. </w:t>
      </w:r>
    </w:p>
    <w:p w14:paraId="29AD209C" w14:textId="77777777" w:rsidR="005E44B0" w:rsidRPr="007E2EF2" w:rsidRDefault="005E44B0" w:rsidP="005E44B0">
      <w:pPr>
        <w:rPr>
          <w:rFonts w:cstheme="minorHAnsi"/>
          <w:sz w:val="22"/>
          <w:szCs w:val="22"/>
        </w:rPr>
      </w:pPr>
    </w:p>
    <w:p w14:paraId="02A47420" w14:textId="71C8C228" w:rsidR="00A53095" w:rsidRDefault="005E44B0" w:rsidP="005E44B0">
      <w:pPr>
        <w:rPr>
          <w:rFonts w:cstheme="minorHAnsi"/>
          <w:sz w:val="22"/>
          <w:szCs w:val="22"/>
        </w:rPr>
      </w:pPr>
      <w:r>
        <w:rPr>
          <w:rFonts w:cstheme="minorHAnsi"/>
          <w:sz w:val="22"/>
          <w:szCs w:val="22"/>
        </w:rPr>
        <w:t xml:space="preserve">The two-year federal demonstration program began April 1, 2017. </w:t>
      </w:r>
      <w:r w:rsidRPr="007E2EF2">
        <w:rPr>
          <w:rFonts w:cstheme="minorHAnsi"/>
          <w:sz w:val="22"/>
          <w:szCs w:val="22"/>
        </w:rPr>
        <w:t xml:space="preserve">There was an interruption of PPS payments in July and August 2019 after the </w:t>
      </w:r>
      <w:r>
        <w:rPr>
          <w:rFonts w:cstheme="minorHAnsi"/>
          <w:sz w:val="22"/>
          <w:szCs w:val="22"/>
        </w:rPr>
        <w:t>two</w:t>
      </w:r>
      <w:r w:rsidRPr="007E2EF2">
        <w:rPr>
          <w:rFonts w:cstheme="minorHAnsi"/>
          <w:sz w:val="22"/>
          <w:szCs w:val="22"/>
        </w:rPr>
        <w:t xml:space="preserve">-year </w:t>
      </w:r>
      <w:r w:rsidRPr="00A06EEC">
        <w:rPr>
          <w:rFonts w:cstheme="minorHAnsi"/>
          <w:sz w:val="22"/>
          <w:szCs w:val="22"/>
        </w:rPr>
        <w:t xml:space="preserve">program ended and before </w:t>
      </w:r>
      <w:r>
        <w:rPr>
          <w:rFonts w:cstheme="minorHAnsi"/>
          <w:sz w:val="22"/>
          <w:szCs w:val="22"/>
        </w:rPr>
        <w:t>federal funding</w:t>
      </w:r>
      <w:r w:rsidRPr="00A06EEC">
        <w:rPr>
          <w:rFonts w:cstheme="minorHAnsi"/>
          <w:sz w:val="22"/>
          <w:szCs w:val="22"/>
        </w:rPr>
        <w:t xml:space="preserve"> </w:t>
      </w:r>
      <w:r>
        <w:rPr>
          <w:rFonts w:cstheme="minorHAnsi"/>
          <w:sz w:val="22"/>
          <w:szCs w:val="22"/>
        </w:rPr>
        <w:t>was resumed</w:t>
      </w:r>
      <w:r w:rsidRPr="00A06EEC">
        <w:rPr>
          <w:rFonts w:cstheme="minorHAnsi"/>
          <w:sz w:val="22"/>
          <w:szCs w:val="22"/>
        </w:rPr>
        <w:t xml:space="preserve">. Counties agreed to reallocate resources from service elements to cover some of the costs during that time. </w:t>
      </w:r>
      <w:r w:rsidRPr="00261B2D">
        <w:rPr>
          <w:rFonts w:cstheme="minorHAnsi"/>
          <w:color w:val="6A7F0F"/>
          <w:sz w:val="22"/>
          <w:szCs w:val="22"/>
        </w:rPr>
        <w:t>Table 1</w:t>
      </w:r>
      <w:r>
        <w:rPr>
          <w:rFonts w:cstheme="minorHAnsi"/>
          <w:sz w:val="22"/>
          <w:szCs w:val="22"/>
        </w:rPr>
        <w:t>, illustrating major funding milestones, was provided by OHA staff.</w:t>
      </w:r>
    </w:p>
    <w:p w14:paraId="7A07A6C5" w14:textId="77777777" w:rsidR="00A53095" w:rsidRDefault="00A53095" w:rsidP="00A53095">
      <w:pPr>
        <w:rPr>
          <w:rFonts w:cstheme="minorHAnsi"/>
          <w:sz w:val="22"/>
          <w:szCs w:val="22"/>
        </w:rPr>
      </w:pPr>
    </w:p>
    <w:p w14:paraId="171E29F0" w14:textId="4D3F3E06" w:rsidR="00A53095" w:rsidRDefault="00DE4F99" w:rsidP="00C71459">
      <w:pPr>
        <w:pStyle w:val="Caption"/>
        <w:spacing w:after="0"/>
        <w:jc w:val="center"/>
        <w:rPr>
          <w:b/>
          <w:bCs/>
          <w:i w:val="0"/>
          <w:iCs w:val="0"/>
          <w:color w:val="6A7F0F"/>
          <w:sz w:val="22"/>
          <w:szCs w:val="22"/>
        </w:rPr>
      </w:pPr>
      <w:bookmarkStart w:id="10" w:name="_Toc125501667"/>
      <w:bookmarkStart w:id="11" w:name="_Toc125555782"/>
      <w:r w:rsidRPr="001173FB">
        <w:rPr>
          <w:b/>
          <w:bCs/>
          <w:i w:val="0"/>
          <w:iCs w:val="0"/>
          <w:color w:val="6A7F0F"/>
          <w:sz w:val="22"/>
          <w:szCs w:val="22"/>
        </w:rPr>
        <w:t xml:space="preserve">Table </w:t>
      </w:r>
      <w:r w:rsidRPr="001173FB">
        <w:rPr>
          <w:b/>
          <w:bCs/>
          <w:i w:val="0"/>
          <w:iCs w:val="0"/>
          <w:color w:val="6A7F0F"/>
          <w:sz w:val="22"/>
          <w:szCs w:val="22"/>
        </w:rPr>
        <w:fldChar w:fldCharType="begin"/>
      </w:r>
      <w:r w:rsidRPr="001173FB">
        <w:rPr>
          <w:b/>
          <w:bCs/>
          <w:i w:val="0"/>
          <w:iCs w:val="0"/>
          <w:color w:val="6A7F0F"/>
          <w:sz w:val="22"/>
          <w:szCs w:val="22"/>
        </w:rPr>
        <w:instrText xml:space="preserve"> SEQ Table \* ARABIC </w:instrText>
      </w:r>
      <w:r w:rsidRPr="001173FB">
        <w:rPr>
          <w:b/>
          <w:bCs/>
          <w:i w:val="0"/>
          <w:iCs w:val="0"/>
          <w:color w:val="6A7F0F"/>
          <w:sz w:val="22"/>
          <w:szCs w:val="22"/>
        </w:rPr>
        <w:fldChar w:fldCharType="separate"/>
      </w:r>
      <w:r w:rsidR="00DA018F">
        <w:rPr>
          <w:b/>
          <w:bCs/>
          <w:i w:val="0"/>
          <w:iCs w:val="0"/>
          <w:noProof/>
          <w:color w:val="6A7F0F"/>
          <w:sz w:val="22"/>
          <w:szCs w:val="22"/>
        </w:rPr>
        <w:t>1</w:t>
      </w:r>
      <w:r w:rsidRPr="001173FB">
        <w:rPr>
          <w:b/>
          <w:bCs/>
          <w:i w:val="0"/>
          <w:iCs w:val="0"/>
          <w:color w:val="6A7F0F"/>
          <w:sz w:val="22"/>
          <w:szCs w:val="22"/>
        </w:rPr>
        <w:fldChar w:fldCharType="end"/>
      </w:r>
      <w:r w:rsidRPr="001173FB">
        <w:rPr>
          <w:b/>
          <w:bCs/>
          <w:i w:val="0"/>
          <w:iCs w:val="0"/>
          <w:color w:val="6A7F0F"/>
          <w:sz w:val="22"/>
          <w:szCs w:val="22"/>
        </w:rPr>
        <w:t xml:space="preserve">: </w:t>
      </w:r>
      <w:r w:rsidR="00A53095" w:rsidRPr="001173FB">
        <w:rPr>
          <w:b/>
          <w:bCs/>
          <w:i w:val="0"/>
          <w:iCs w:val="0"/>
          <w:color w:val="6A7F0F"/>
          <w:sz w:val="22"/>
          <w:szCs w:val="22"/>
        </w:rPr>
        <w:t>Major Funding Milestones in CCBHC Program</w:t>
      </w:r>
      <w:bookmarkEnd w:id="10"/>
      <w:bookmarkEnd w:id="11"/>
    </w:p>
    <w:p w14:paraId="6BB26666" w14:textId="77777777" w:rsidR="00C71459" w:rsidRPr="00C71459" w:rsidRDefault="00C71459" w:rsidP="00C71459"/>
    <w:tbl>
      <w:tblPr>
        <w:tblStyle w:val="TableGrid"/>
        <w:tblW w:w="0" w:type="auto"/>
        <w:tblCellMar>
          <w:top w:w="29" w:type="dxa"/>
          <w:bottom w:w="29" w:type="dxa"/>
        </w:tblCellMar>
        <w:tblLook w:val="04A0" w:firstRow="1" w:lastRow="0" w:firstColumn="1" w:lastColumn="0" w:noHBand="0" w:noVBand="1"/>
      </w:tblPr>
      <w:tblGrid>
        <w:gridCol w:w="4675"/>
        <w:gridCol w:w="4675"/>
      </w:tblGrid>
      <w:tr w:rsidR="00A53095" w14:paraId="37F808D1" w14:textId="77777777" w:rsidTr="00E370FF">
        <w:tc>
          <w:tcPr>
            <w:tcW w:w="4675" w:type="dxa"/>
            <w:shd w:val="clear" w:color="auto" w:fill="E7E6E6" w:themeFill="background2"/>
          </w:tcPr>
          <w:p w14:paraId="7B3B8D56" w14:textId="77777777" w:rsidR="00A53095" w:rsidRPr="00E370FF" w:rsidRDefault="00A53095" w:rsidP="00E72162">
            <w:pPr>
              <w:jc w:val="center"/>
              <w:rPr>
                <w:rFonts w:cstheme="minorHAnsi"/>
                <w:b/>
                <w:bCs/>
                <w:sz w:val="22"/>
                <w:szCs w:val="22"/>
              </w:rPr>
            </w:pPr>
            <w:r w:rsidRPr="00E370FF">
              <w:rPr>
                <w:rFonts w:cstheme="minorHAnsi"/>
                <w:b/>
                <w:bCs/>
                <w:sz w:val="22"/>
                <w:szCs w:val="22"/>
              </w:rPr>
              <w:t>Milestone</w:t>
            </w:r>
          </w:p>
        </w:tc>
        <w:tc>
          <w:tcPr>
            <w:tcW w:w="4675" w:type="dxa"/>
            <w:shd w:val="clear" w:color="auto" w:fill="E7E6E6" w:themeFill="background2"/>
          </w:tcPr>
          <w:p w14:paraId="36AA2271" w14:textId="77777777" w:rsidR="00A53095" w:rsidRPr="00E370FF" w:rsidRDefault="00A53095" w:rsidP="00E72162">
            <w:pPr>
              <w:jc w:val="center"/>
              <w:rPr>
                <w:rFonts w:cstheme="minorHAnsi"/>
                <w:b/>
                <w:bCs/>
                <w:sz w:val="22"/>
                <w:szCs w:val="22"/>
              </w:rPr>
            </w:pPr>
            <w:r w:rsidRPr="00E370FF">
              <w:rPr>
                <w:rFonts w:cstheme="minorHAnsi"/>
                <w:b/>
                <w:bCs/>
                <w:sz w:val="22"/>
                <w:szCs w:val="22"/>
              </w:rPr>
              <w:t>Date(s)</w:t>
            </w:r>
          </w:p>
        </w:tc>
      </w:tr>
      <w:tr w:rsidR="00A53095" w14:paraId="3F77037E" w14:textId="77777777" w:rsidTr="00E370FF">
        <w:tc>
          <w:tcPr>
            <w:tcW w:w="4675" w:type="dxa"/>
          </w:tcPr>
          <w:p w14:paraId="41770381" w14:textId="77777777" w:rsidR="00A53095" w:rsidRDefault="00A53095" w:rsidP="00E72162">
            <w:pPr>
              <w:rPr>
                <w:rFonts w:cstheme="minorHAnsi"/>
                <w:sz w:val="22"/>
                <w:szCs w:val="22"/>
              </w:rPr>
            </w:pPr>
            <w:r>
              <w:rPr>
                <w:rFonts w:cstheme="minorHAnsi"/>
                <w:sz w:val="22"/>
                <w:szCs w:val="22"/>
              </w:rPr>
              <w:t>Federal CCBHC demonstration program begins</w:t>
            </w:r>
          </w:p>
        </w:tc>
        <w:tc>
          <w:tcPr>
            <w:tcW w:w="4675" w:type="dxa"/>
          </w:tcPr>
          <w:p w14:paraId="0DCE53F1" w14:textId="77777777" w:rsidR="00A53095" w:rsidRDefault="00A53095" w:rsidP="00E72162">
            <w:pPr>
              <w:jc w:val="center"/>
              <w:rPr>
                <w:rFonts w:cstheme="minorHAnsi"/>
                <w:sz w:val="22"/>
                <w:szCs w:val="22"/>
              </w:rPr>
            </w:pPr>
            <w:r>
              <w:rPr>
                <w:rFonts w:cstheme="minorHAnsi"/>
                <w:color w:val="000000"/>
                <w:sz w:val="22"/>
                <w:szCs w:val="22"/>
              </w:rPr>
              <w:t>4/1/</w:t>
            </w:r>
            <w:r w:rsidRPr="00A06EEC">
              <w:rPr>
                <w:rFonts w:cstheme="minorHAnsi"/>
                <w:color w:val="000000"/>
                <w:sz w:val="22"/>
                <w:szCs w:val="22"/>
              </w:rPr>
              <w:t>2017</w:t>
            </w:r>
          </w:p>
        </w:tc>
      </w:tr>
      <w:tr w:rsidR="00A53095" w14:paraId="3FA67AC3" w14:textId="77777777" w:rsidTr="00E370FF">
        <w:tc>
          <w:tcPr>
            <w:tcW w:w="4675" w:type="dxa"/>
          </w:tcPr>
          <w:p w14:paraId="53CDC26D" w14:textId="77777777" w:rsidR="00A53095" w:rsidRDefault="00A53095" w:rsidP="00E72162">
            <w:pPr>
              <w:rPr>
                <w:rFonts w:cstheme="minorHAnsi"/>
                <w:color w:val="000000"/>
                <w:sz w:val="22"/>
                <w:szCs w:val="22"/>
              </w:rPr>
            </w:pPr>
            <w:r w:rsidRPr="00A06EEC">
              <w:rPr>
                <w:rFonts w:cstheme="minorHAnsi"/>
                <w:color w:val="000000"/>
                <w:sz w:val="22"/>
                <w:szCs w:val="22"/>
              </w:rPr>
              <w:t xml:space="preserve">Funding </w:t>
            </w:r>
            <w:r>
              <w:rPr>
                <w:rFonts w:cstheme="minorHAnsi"/>
                <w:color w:val="000000"/>
                <w:sz w:val="22"/>
                <w:szCs w:val="22"/>
              </w:rPr>
              <w:t xml:space="preserve">approved from General Fund </w:t>
            </w:r>
            <w:r w:rsidRPr="00A06EEC">
              <w:rPr>
                <w:rFonts w:cstheme="minorHAnsi"/>
                <w:color w:val="000000"/>
                <w:sz w:val="22"/>
                <w:szCs w:val="22"/>
              </w:rPr>
              <w:t xml:space="preserve">and </w:t>
            </w:r>
            <w:r>
              <w:rPr>
                <w:rFonts w:cstheme="minorHAnsi"/>
                <w:color w:val="000000"/>
                <w:sz w:val="22"/>
                <w:szCs w:val="22"/>
              </w:rPr>
              <w:t>f</w:t>
            </w:r>
            <w:r w:rsidRPr="00A06EEC">
              <w:rPr>
                <w:rFonts w:cstheme="minorHAnsi"/>
                <w:color w:val="000000"/>
                <w:sz w:val="22"/>
                <w:szCs w:val="22"/>
              </w:rPr>
              <w:t>ed</w:t>
            </w:r>
            <w:r>
              <w:rPr>
                <w:rFonts w:cstheme="minorHAnsi"/>
                <w:color w:val="000000"/>
                <w:sz w:val="22"/>
                <w:szCs w:val="22"/>
              </w:rPr>
              <w:t>eral</w:t>
            </w:r>
            <w:r w:rsidRPr="00A06EEC">
              <w:rPr>
                <w:rFonts w:cstheme="minorHAnsi"/>
                <w:color w:val="000000"/>
                <w:sz w:val="22"/>
                <w:szCs w:val="22"/>
              </w:rPr>
              <w:t xml:space="preserve"> </w:t>
            </w:r>
            <w:r>
              <w:rPr>
                <w:rFonts w:cstheme="minorHAnsi"/>
                <w:color w:val="000000"/>
                <w:sz w:val="22"/>
                <w:szCs w:val="22"/>
              </w:rPr>
              <w:t>sources</w:t>
            </w:r>
            <w:r w:rsidRPr="00A06EEC" w:rsidDel="00A020ED">
              <w:rPr>
                <w:rFonts w:cstheme="minorHAnsi"/>
                <w:color w:val="000000"/>
                <w:sz w:val="22"/>
                <w:szCs w:val="22"/>
              </w:rPr>
              <w:t xml:space="preserve"> </w:t>
            </w:r>
          </w:p>
        </w:tc>
        <w:tc>
          <w:tcPr>
            <w:tcW w:w="4675" w:type="dxa"/>
          </w:tcPr>
          <w:p w14:paraId="17A8BEA5" w14:textId="77777777" w:rsidR="00A53095" w:rsidRDefault="00A53095" w:rsidP="00E72162">
            <w:pPr>
              <w:jc w:val="center"/>
              <w:rPr>
                <w:rFonts w:cstheme="minorHAnsi"/>
                <w:color w:val="000000"/>
                <w:sz w:val="22"/>
                <w:szCs w:val="22"/>
              </w:rPr>
            </w:pPr>
            <w:r>
              <w:rPr>
                <w:rFonts w:cstheme="minorHAnsi"/>
                <w:color w:val="000000"/>
                <w:sz w:val="22"/>
                <w:szCs w:val="22"/>
              </w:rPr>
              <w:t>20</w:t>
            </w:r>
            <w:r w:rsidRPr="00A06EEC">
              <w:rPr>
                <w:rFonts w:cstheme="minorHAnsi"/>
                <w:color w:val="000000"/>
                <w:sz w:val="22"/>
                <w:szCs w:val="22"/>
              </w:rPr>
              <w:t>17-</w:t>
            </w:r>
            <w:r>
              <w:rPr>
                <w:rFonts w:cstheme="minorHAnsi"/>
                <w:color w:val="000000"/>
                <w:sz w:val="22"/>
                <w:szCs w:val="22"/>
              </w:rPr>
              <w:t>20</w:t>
            </w:r>
            <w:r w:rsidRPr="00A06EEC">
              <w:rPr>
                <w:rFonts w:cstheme="minorHAnsi"/>
                <w:color w:val="000000"/>
                <w:sz w:val="22"/>
                <w:szCs w:val="22"/>
              </w:rPr>
              <w:t>19 bie</w:t>
            </w:r>
            <w:r>
              <w:rPr>
                <w:rFonts w:cstheme="minorHAnsi"/>
                <w:color w:val="000000"/>
                <w:sz w:val="22"/>
                <w:szCs w:val="22"/>
              </w:rPr>
              <w:t>n</w:t>
            </w:r>
            <w:r w:rsidRPr="00A06EEC">
              <w:rPr>
                <w:rFonts w:cstheme="minorHAnsi"/>
                <w:color w:val="000000"/>
                <w:sz w:val="22"/>
                <w:szCs w:val="22"/>
              </w:rPr>
              <w:t xml:space="preserve">nium </w:t>
            </w:r>
            <w:r>
              <w:rPr>
                <w:rFonts w:cstheme="minorHAnsi"/>
                <w:color w:val="000000"/>
                <w:sz w:val="22"/>
                <w:szCs w:val="22"/>
              </w:rPr>
              <w:t>budget</w:t>
            </w:r>
          </w:p>
        </w:tc>
      </w:tr>
      <w:tr w:rsidR="00A53095" w14:paraId="0700C8A4" w14:textId="77777777" w:rsidTr="00E370FF">
        <w:tc>
          <w:tcPr>
            <w:tcW w:w="4675" w:type="dxa"/>
          </w:tcPr>
          <w:p w14:paraId="70C054DE" w14:textId="77777777" w:rsidR="00A53095" w:rsidRDefault="00A53095" w:rsidP="00E72162">
            <w:pPr>
              <w:rPr>
                <w:rFonts w:cstheme="minorHAnsi"/>
                <w:sz w:val="22"/>
                <w:szCs w:val="22"/>
              </w:rPr>
            </w:pPr>
            <w:r>
              <w:rPr>
                <w:rFonts w:cstheme="minorHAnsi"/>
                <w:sz w:val="22"/>
                <w:szCs w:val="22"/>
              </w:rPr>
              <w:t>Extension of federal funding #1</w:t>
            </w:r>
          </w:p>
        </w:tc>
        <w:tc>
          <w:tcPr>
            <w:tcW w:w="4675" w:type="dxa"/>
          </w:tcPr>
          <w:p w14:paraId="1D84B42C" w14:textId="77777777" w:rsidR="00A53095" w:rsidRDefault="00A53095" w:rsidP="00E72162">
            <w:pPr>
              <w:jc w:val="center"/>
              <w:rPr>
                <w:rFonts w:cstheme="minorHAnsi"/>
                <w:sz w:val="22"/>
                <w:szCs w:val="22"/>
              </w:rPr>
            </w:pPr>
            <w:r w:rsidRPr="00A06EEC">
              <w:rPr>
                <w:rFonts w:cstheme="minorHAnsi"/>
                <w:color w:val="000000"/>
                <w:sz w:val="22"/>
                <w:szCs w:val="22"/>
              </w:rPr>
              <w:t>April 2019</w:t>
            </w:r>
            <w:r>
              <w:rPr>
                <w:rFonts w:cstheme="minorHAnsi"/>
                <w:color w:val="000000"/>
                <w:sz w:val="22"/>
                <w:szCs w:val="22"/>
              </w:rPr>
              <w:t xml:space="preserve"> t</w:t>
            </w:r>
            <w:r>
              <w:rPr>
                <w:color w:val="000000"/>
              </w:rPr>
              <w:t>o</w:t>
            </w:r>
            <w:r w:rsidRPr="00A06EEC">
              <w:rPr>
                <w:rFonts w:cstheme="minorHAnsi"/>
                <w:color w:val="000000"/>
                <w:sz w:val="22"/>
                <w:szCs w:val="22"/>
              </w:rPr>
              <w:t xml:space="preserve"> 6/1/2019</w:t>
            </w:r>
          </w:p>
        </w:tc>
      </w:tr>
      <w:tr w:rsidR="00A53095" w14:paraId="7CB01D08" w14:textId="77777777" w:rsidTr="00E370FF">
        <w:tc>
          <w:tcPr>
            <w:tcW w:w="4675" w:type="dxa"/>
          </w:tcPr>
          <w:p w14:paraId="441DE816" w14:textId="77777777" w:rsidR="00A53095" w:rsidRDefault="00A53095" w:rsidP="00E72162">
            <w:pPr>
              <w:rPr>
                <w:rFonts w:cstheme="minorHAnsi"/>
                <w:sz w:val="22"/>
                <w:szCs w:val="22"/>
              </w:rPr>
            </w:pPr>
            <w:r>
              <w:rPr>
                <w:rFonts w:cstheme="minorHAnsi"/>
                <w:sz w:val="22"/>
                <w:szCs w:val="22"/>
              </w:rPr>
              <w:t>End of extension of federal funding #2</w:t>
            </w:r>
          </w:p>
        </w:tc>
        <w:tc>
          <w:tcPr>
            <w:tcW w:w="4675" w:type="dxa"/>
          </w:tcPr>
          <w:p w14:paraId="4A5D69C9" w14:textId="77777777" w:rsidR="00A53095" w:rsidRDefault="00A53095" w:rsidP="00E72162">
            <w:pPr>
              <w:jc w:val="center"/>
              <w:rPr>
                <w:rFonts w:cstheme="minorHAnsi"/>
                <w:sz w:val="22"/>
                <w:szCs w:val="22"/>
              </w:rPr>
            </w:pPr>
            <w:r>
              <w:rPr>
                <w:rFonts w:cstheme="minorHAnsi"/>
                <w:color w:val="000000"/>
                <w:sz w:val="22"/>
                <w:szCs w:val="22"/>
              </w:rPr>
              <w:t>7/14/</w:t>
            </w:r>
            <w:r w:rsidRPr="00A06EEC">
              <w:rPr>
                <w:rFonts w:cstheme="minorHAnsi"/>
                <w:color w:val="000000"/>
                <w:sz w:val="22"/>
                <w:szCs w:val="22"/>
              </w:rPr>
              <w:t>2019</w:t>
            </w:r>
          </w:p>
        </w:tc>
      </w:tr>
      <w:tr w:rsidR="00A53095" w14:paraId="25011E8A" w14:textId="77777777" w:rsidTr="00E370FF">
        <w:tc>
          <w:tcPr>
            <w:tcW w:w="4675" w:type="dxa"/>
          </w:tcPr>
          <w:p w14:paraId="0B56B405" w14:textId="77777777" w:rsidR="00A53095" w:rsidRDefault="00A53095" w:rsidP="00E72162">
            <w:pPr>
              <w:rPr>
                <w:rFonts w:cstheme="minorHAnsi"/>
                <w:sz w:val="22"/>
                <w:szCs w:val="22"/>
              </w:rPr>
            </w:pPr>
            <w:r w:rsidRPr="00A06EEC">
              <w:rPr>
                <w:rFonts w:cstheme="minorHAnsi"/>
                <w:color w:val="000000"/>
                <w:sz w:val="22"/>
                <w:szCs w:val="22"/>
              </w:rPr>
              <w:t>OHA suspend</w:t>
            </w:r>
            <w:r>
              <w:rPr>
                <w:rFonts w:cstheme="minorHAnsi"/>
                <w:color w:val="000000"/>
                <w:sz w:val="22"/>
                <w:szCs w:val="22"/>
              </w:rPr>
              <w:t>s</w:t>
            </w:r>
            <w:r w:rsidRPr="00A06EEC">
              <w:rPr>
                <w:rFonts w:cstheme="minorHAnsi"/>
                <w:color w:val="000000"/>
                <w:sz w:val="22"/>
                <w:szCs w:val="22"/>
              </w:rPr>
              <w:t xml:space="preserve"> PPS payments </w:t>
            </w:r>
          </w:p>
        </w:tc>
        <w:tc>
          <w:tcPr>
            <w:tcW w:w="4675" w:type="dxa"/>
          </w:tcPr>
          <w:p w14:paraId="1844DDE3" w14:textId="77777777" w:rsidR="00A53095" w:rsidRDefault="00A53095" w:rsidP="00E72162">
            <w:pPr>
              <w:jc w:val="center"/>
              <w:rPr>
                <w:rFonts w:cstheme="minorHAnsi"/>
                <w:sz w:val="22"/>
                <w:szCs w:val="22"/>
              </w:rPr>
            </w:pPr>
            <w:r w:rsidRPr="00A06EEC">
              <w:rPr>
                <w:rFonts w:cstheme="minorHAnsi"/>
                <w:color w:val="000000"/>
                <w:sz w:val="22"/>
                <w:szCs w:val="22"/>
              </w:rPr>
              <w:t>7/1/2019</w:t>
            </w:r>
            <w:r>
              <w:rPr>
                <w:rFonts w:cstheme="minorHAnsi"/>
                <w:color w:val="000000"/>
                <w:sz w:val="22"/>
                <w:szCs w:val="22"/>
              </w:rPr>
              <w:t xml:space="preserve"> </w:t>
            </w:r>
            <w:r>
              <w:rPr>
                <w:color w:val="000000"/>
              </w:rPr>
              <w:t xml:space="preserve">to </w:t>
            </w:r>
            <w:r w:rsidRPr="00A06EEC">
              <w:rPr>
                <w:rFonts w:cstheme="minorHAnsi"/>
                <w:color w:val="000000"/>
                <w:sz w:val="22"/>
                <w:szCs w:val="22"/>
              </w:rPr>
              <w:t>8/31/2019</w:t>
            </w:r>
          </w:p>
        </w:tc>
      </w:tr>
      <w:tr w:rsidR="00A53095" w14:paraId="01514867" w14:textId="77777777" w:rsidTr="00E370FF">
        <w:tc>
          <w:tcPr>
            <w:tcW w:w="4675" w:type="dxa"/>
          </w:tcPr>
          <w:p w14:paraId="36FD5C24" w14:textId="77777777" w:rsidR="00A53095" w:rsidRDefault="00A53095" w:rsidP="00E72162">
            <w:pPr>
              <w:rPr>
                <w:rFonts w:cstheme="minorHAnsi"/>
                <w:sz w:val="22"/>
                <w:szCs w:val="22"/>
              </w:rPr>
            </w:pPr>
            <w:r>
              <w:rPr>
                <w:rFonts w:cstheme="minorHAnsi"/>
                <w:sz w:val="22"/>
                <w:szCs w:val="22"/>
              </w:rPr>
              <w:t>Extension of federal funding #3</w:t>
            </w:r>
          </w:p>
        </w:tc>
        <w:tc>
          <w:tcPr>
            <w:tcW w:w="4675" w:type="dxa"/>
          </w:tcPr>
          <w:p w14:paraId="30C499E9" w14:textId="77777777" w:rsidR="00A53095" w:rsidRDefault="00A53095" w:rsidP="00E72162">
            <w:pPr>
              <w:jc w:val="center"/>
              <w:rPr>
                <w:rFonts w:cstheme="minorHAnsi"/>
                <w:sz w:val="22"/>
                <w:szCs w:val="22"/>
              </w:rPr>
            </w:pPr>
            <w:r w:rsidRPr="00A06EEC">
              <w:rPr>
                <w:rFonts w:cstheme="minorHAnsi"/>
                <w:color w:val="000000"/>
                <w:sz w:val="22"/>
                <w:szCs w:val="22"/>
              </w:rPr>
              <w:t xml:space="preserve">August </w:t>
            </w:r>
            <w:r>
              <w:rPr>
                <w:rFonts w:cstheme="minorHAnsi"/>
                <w:color w:val="000000"/>
                <w:sz w:val="22"/>
                <w:szCs w:val="22"/>
              </w:rPr>
              <w:t xml:space="preserve">2019 </w:t>
            </w:r>
            <w:r>
              <w:rPr>
                <w:color w:val="000000"/>
              </w:rPr>
              <w:t>to</w:t>
            </w:r>
            <w:r w:rsidRPr="00A06EEC">
              <w:rPr>
                <w:rFonts w:cstheme="minorHAnsi"/>
                <w:color w:val="000000"/>
                <w:sz w:val="22"/>
                <w:szCs w:val="22"/>
              </w:rPr>
              <w:t xml:space="preserve"> </w:t>
            </w:r>
            <w:r>
              <w:rPr>
                <w:rFonts w:cstheme="minorHAnsi"/>
                <w:color w:val="000000"/>
                <w:sz w:val="22"/>
                <w:szCs w:val="22"/>
              </w:rPr>
              <w:t>9/13/</w:t>
            </w:r>
            <w:r w:rsidRPr="00A06EEC">
              <w:rPr>
                <w:rFonts w:cstheme="minorHAnsi"/>
                <w:color w:val="000000"/>
                <w:sz w:val="22"/>
                <w:szCs w:val="22"/>
              </w:rPr>
              <w:t>2019</w:t>
            </w:r>
          </w:p>
        </w:tc>
      </w:tr>
      <w:tr w:rsidR="00A53095" w14:paraId="0BE9784C" w14:textId="77777777" w:rsidTr="00E370FF">
        <w:tc>
          <w:tcPr>
            <w:tcW w:w="4675" w:type="dxa"/>
          </w:tcPr>
          <w:p w14:paraId="26535935" w14:textId="77777777" w:rsidR="00A53095" w:rsidRDefault="00A53095" w:rsidP="00E72162">
            <w:pPr>
              <w:rPr>
                <w:rFonts w:cstheme="minorHAnsi"/>
                <w:sz w:val="22"/>
                <w:szCs w:val="22"/>
              </w:rPr>
            </w:pPr>
            <w:r w:rsidRPr="00A06EEC">
              <w:rPr>
                <w:rFonts w:cstheme="minorHAnsi"/>
                <w:color w:val="000000"/>
                <w:sz w:val="22"/>
                <w:szCs w:val="22"/>
              </w:rPr>
              <w:t xml:space="preserve">9 CCBHC's choose to reduce </w:t>
            </w:r>
            <w:r>
              <w:rPr>
                <w:rFonts w:cstheme="minorHAnsi"/>
                <w:color w:val="000000"/>
                <w:sz w:val="22"/>
                <w:szCs w:val="22"/>
              </w:rPr>
              <w:t>the County Financial Assistance Agreement</w:t>
            </w:r>
            <w:r w:rsidRPr="00A06EEC">
              <w:rPr>
                <w:rFonts w:cstheme="minorHAnsi"/>
                <w:color w:val="000000"/>
                <w:sz w:val="22"/>
                <w:szCs w:val="22"/>
              </w:rPr>
              <w:t xml:space="preserve"> to continue agreement through </w:t>
            </w:r>
            <w:r>
              <w:rPr>
                <w:rFonts w:cstheme="minorHAnsi"/>
                <w:color w:val="000000"/>
                <w:sz w:val="22"/>
                <w:szCs w:val="22"/>
              </w:rPr>
              <w:t>11/30/</w:t>
            </w:r>
            <w:r w:rsidRPr="00A06EEC">
              <w:rPr>
                <w:rFonts w:cstheme="minorHAnsi"/>
                <w:color w:val="000000"/>
                <w:sz w:val="22"/>
                <w:szCs w:val="22"/>
              </w:rPr>
              <w:t>2020</w:t>
            </w:r>
          </w:p>
        </w:tc>
        <w:tc>
          <w:tcPr>
            <w:tcW w:w="4675" w:type="dxa"/>
          </w:tcPr>
          <w:p w14:paraId="66920C29" w14:textId="77777777" w:rsidR="00A53095" w:rsidRDefault="00A53095" w:rsidP="00E72162">
            <w:pPr>
              <w:jc w:val="center"/>
              <w:rPr>
                <w:rFonts w:cstheme="minorHAnsi"/>
                <w:sz w:val="22"/>
                <w:szCs w:val="22"/>
              </w:rPr>
            </w:pPr>
            <w:r w:rsidRPr="00A06EEC">
              <w:rPr>
                <w:rFonts w:cstheme="minorHAnsi"/>
                <w:color w:val="000000"/>
                <w:sz w:val="22"/>
                <w:szCs w:val="22"/>
              </w:rPr>
              <w:t>9/1/2019</w:t>
            </w:r>
            <w:r>
              <w:rPr>
                <w:rFonts w:cstheme="minorHAnsi"/>
                <w:color w:val="000000"/>
                <w:sz w:val="22"/>
                <w:szCs w:val="22"/>
              </w:rPr>
              <w:t xml:space="preserve"> to 11/30/</w:t>
            </w:r>
            <w:r w:rsidRPr="00A06EEC">
              <w:rPr>
                <w:rFonts w:cstheme="minorHAnsi"/>
                <w:color w:val="000000"/>
                <w:sz w:val="22"/>
                <w:szCs w:val="22"/>
              </w:rPr>
              <w:t>2020</w:t>
            </w:r>
          </w:p>
        </w:tc>
      </w:tr>
      <w:tr w:rsidR="00A53095" w14:paraId="17894452" w14:textId="77777777" w:rsidTr="00E370FF">
        <w:tc>
          <w:tcPr>
            <w:tcW w:w="4675" w:type="dxa"/>
          </w:tcPr>
          <w:p w14:paraId="16B8ACEA" w14:textId="77777777" w:rsidR="00A53095" w:rsidRDefault="00A53095" w:rsidP="00E72162">
            <w:pPr>
              <w:rPr>
                <w:rFonts w:cstheme="minorHAnsi"/>
                <w:sz w:val="22"/>
                <w:szCs w:val="22"/>
              </w:rPr>
            </w:pPr>
            <w:r>
              <w:rPr>
                <w:rFonts w:cstheme="minorHAnsi"/>
                <w:sz w:val="22"/>
                <w:szCs w:val="22"/>
              </w:rPr>
              <w:t>Extension of federal funding #4</w:t>
            </w:r>
          </w:p>
        </w:tc>
        <w:tc>
          <w:tcPr>
            <w:tcW w:w="4675" w:type="dxa"/>
          </w:tcPr>
          <w:p w14:paraId="45CE546A" w14:textId="77777777" w:rsidR="00A53095" w:rsidRDefault="00A53095" w:rsidP="00E72162">
            <w:pPr>
              <w:jc w:val="center"/>
              <w:rPr>
                <w:rFonts w:cstheme="minorHAnsi"/>
                <w:sz w:val="22"/>
                <w:szCs w:val="22"/>
              </w:rPr>
            </w:pPr>
            <w:r>
              <w:rPr>
                <w:rFonts w:cstheme="minorHAnsi"/>
                <w:color w:val="000000"/>
                <w:sz w:val="22"/>
                <w:szCs w:val="22"/>
              </w:rPr>
              <w:t>9/</w:t>
            </w:r>
            <w:r w:rsidRPr="00A06EEC">
              <w:rPr>
                <w:rFonts w:cstheme="minorHAnsi"/>
                <w:color w:val="000000"/>
                <w:sz w:val="22"/>
                <w:szCs w:val="22"/>
              </w:rPr>
              <w:t>26</w:t>
            </w:r>
            <w:r>
              <w:rPr>
                <w:rFonts w:cstheme="minorHAnsi"/>
                <w:color w:val="000000"/>
                <w:sz w:val="22"/>
                <w:szCs w:val="22"/>
              </w:rPr>
              <w:t xml:space="preserve"> to 11/21/</w:t>
            </w:r>
            <w:r w:rsidRPr="00A06EEC">
              <w:rPr>
                <w:rFonts w:cstheme="minorHAnsi"/>
                <w:color w:val="000000"/>
                <w:sz w:val="22"/>
                <w:szCs w:val="22"/>
              </w:rPr>
              <w:t>2019</w:t>
            </w:r>
          </w:p>
        </w:tc>
      </w:tr>
      <w:tr w:rsidR="00A53095" w14:paraId="6A48A015" w14:textId="77777777" w:rsidTr="00E370FF">
        <w:tc>
          <w:tcPr>
            <w:tcW w:w="4675" w:type="dxa"/>
          </w:tcPr>
          <w:p w14:paraId="080EC127" w14:textId="77777777" w:rsidR="00A53095" w:rsidRDefault="00A53095" w:rsidP="00E72162">
            <w:pPr>
              <w:rPr>
                <w:rFonts w:cstheme="minorHAnsi"/>
                <w:sz w:val="22"/>
                <w:szCs w:val="22"/>
              </w:rPr>
            </w:pPr>
            <w:r>
              <w:rPr>
                <w:rFonts w:cstheme="minorHAnsi"/>
                <w:sz w:val="22"/>
                <w:szCs w:val="22"/>
              </w:rPr>
              <w:t>Extension of federal funding #5</w:t>
            </w:r>
          </w:p>
        </w:tc>
        <w:tc>
          <w:tcPr>
            <w:tcW w:w="4675" w:type="dxa"/>
          </w:tcPr>
          <w:p w14:paraId="3914B3F5" w14:textId="77777777" w:rsidR="00A53095" w:rsidRDefault="00A53095" w:rsidP="00E72162">
            <w:pPr>
              <w:jc w:val="center"/>
              <w:rPr>
                <w:rFonts w:cstheme="minorHAnsi"/>
                <w:sz w:val="22"/>
                <w:szCs w:val="22"/>
              </w:rPr>
            </w:pPr>
            <w:r>
              <w:rPr>
                <w:rFonts w:cstheme="minorHAnsi"/>
                <w:color w:val="000000"/>
                <w:sz w:val="22"/>
                <w:szCs w:val="22"/>
              </w:rPr>
              <w:t>11/21</w:t>
            </w:r>
            <w:r w:rsidRPr="00A06EEC">
              <w:rPr>
                <w:rFonts w:cstheme="minorHAnsi"/>
                <w:color w:val="000000"/>
                <w:sz w:val="22"/>
                <w:szCs w:val="22"/>
              </w:rPr>
              <w:t xml:space="preserve"> </w:t>
            </w:r>
            <w:r>
              <w:rPr>
                <w:rFonts w:cstheme="minorHAnsi"/>
                <w:color w:val="000000"/>
                <w:sz w:val="22"/>
                <w:szCs w:val="22"/>
              </w:rPr>
              <w:t>to</w:t>
            </w:r>
            <w:r w:rsidRPr="00A06EEC">
              <w:rPr>
                <w:rFonts w:cstheme="minorHAnsi"/>
                <w:color w:val="000000"/>
                <w:sz w:val="22"/>
                <w:szCs w:val="22"/>
              </w:rPr>
              <w:t xml:space="preserve"> </w:t>
            </w:r>
            <w:r>
              <w:rPr>
                <w:rFonts w:cstheme="minorHAnsi"/>
                <w:color w:val="000000"/>
                <w:sz w:val="22"/>
                <w:szCs w:val="22"/>
              </w:rPr>
              <w:t>12/20/</w:t>
            </w:r>
            <w:r w:rsidRPr="00A06EEC">
              <w:rPr>
                <w:rFonts w:cstheme="minorHAnsi"/>
                <w:color w:val="000000"/>
                <w:sz w:val="22"/>
                <w:szCs w:val="22"/>
              </w:rPr>
              <w:t>2019</w:t>
            </w:r>
          </w:p>
        </w:tc>
      </w:tr>
      <w:tr w:rsidR="00A53095" w14:paraId="520B6933" w14:textId="77777777" w:rsidTr="00E370FF">
        <w:tc>
          <w:tcPr>
            <w:tcW w:w="4675" w:type="dxa"/>
          </w:tcPr>
          <w:p w14:paraId="7F323CE9" w14:textId="77777777" w:rsidR="00A53095" w:rsidRDefault="00A53095" w:rsidP="00E72162">
            <w:pPr>
              <w:rPr>
                <w:rFonts w:cstheme="minorHAnsi"/>
                <w:sz w:val="22"/>
                <w:szCs w:val="22"/>
              </w:rPr>
            </w:pPr>
            <w:r>
              <w:rPr>
                <w:rFonts w:cstheme="minorHAnsi"/>
                <w:sz w:val="22"/>
                <w:szCs w:val="22"/>
              </w:rPr>
              <w:t>Extension of federal funding #6</w:t>
            </w:r>
          </w:p>
        </w:tc>
        <w:tc>
          <w:tcPr>
            <w:tcW w:w="4675" w:type="dxa"/>
          </w:tcPr>
          <w:p w14:paraId="4557BD71" w14:textId="77777777" w:rsidR="00A53095" w:rsidRDefault="00A53095" w:rsidP="00E72162">
            <w:pPr>
              <w:jc w:val="center"/>
              <w:rPr>
                <w:rFonts w:cstheme="minorHAnsi"/>
                <w:sz w:val="22"/>
                <w:szCs w:val="22"/>
              </w:rPr>
            </w:pPr>
            <w:r>
              <w:rPr>
                <w:rFonts w:cstheme="minorHAnsi"/>
                <w:color w:val="000000"/>
                <w:sz w:val="22"/>
                <w:szCs w:val="22"/>
              </w:rPr>
              <w:t>12/</w:t>
            </w:r>
            <w:r w:rsidRPr="00A06EEC">
              <w:rPr>
                <w:rFonts w:cstheme="minorHAnsi"/>
                <w:color w:val="000000"/>
                <w:sz w:val="22"/>
                <w:szCs w:val="22"/>
              </w:rPr>
              <w:t>20</w:t>
            </w:r>
            <w:r>
              <w:rPr>
                <w:rFonts w:cstheme="minorHAnsi"/>
                <w:color w:val="000000"/>
                <w:sz w:val="22"/>
                <w:szCs w:val="22"/>
              </w:rPr>
              <w:t>/</w:t>
            </w:r>
            <w:r w:rsidRPr="00A06EEC">
              <w:rPr>
                <w:rFonts w:cstheme="minorHAnsi"/>
                <w:color w:val="000000"/>
                <w:sz w:val="22"/>
                <w:szCs w:val="22"/>
              </w:rPr>
              <w:t xml:space="preserve">2019 </w:t>
            </w:r>
            <w:r>
              <w:rPr>
                <w:rFonts w:cstheme="minorHAnsi"/>
                <w:color w:val="000000"/>
                <w:sz w:val="22"/>
                <w:szCs w:val="22"/>
              </w:rPr>
              <w:t>to</w:t>
            </w:r>
            <w:r w:rsidRPr="00A06EEC">
              <w:rPr>
                <w:rFonts w:cstheme="minorHAnsi"/>
                <w:color w:val="000000"/>
                <w:sz w:val="22"/>
                <w:szCs w:val="22"/>
              </w:rPr>
              <w:t xml:space="preserve"> </w:t>
            </w:r>
            <w:r>
              <w:rPr>
                <w:rFonts w:cstheme="minorHAnsi"/>
                <w:color w:val="000000"/>
                <w:sz w:val="22"/>
                <w:szCs w:val="22"/>
              </w:rPr>
              <w:t>5/22/</w:t>
            </w:r>
            <w:r w:rsidRPr="00A06EEC">
              <w:rPr>
                <w:rFonts w:cstheme="minorHAnsi"/>
                <w:color w:val="000000"/>
                <w:sz w:val="22"/>
                <w:szCs w:val="22"/>
              </w:rPr>
              <w:t>2020</w:t>
            </w:r>
          </w:p>
        </w:tc>
      </w:tr>
      <w:tr w:rsidR="00A53095" w14:paraId="71B83D88" w14:textId="77777777" w:rsidTr="00E370FF">
        <w:tc>
          <w:tcPr>
            <w:tcW w:w="4675" w:type="dxa"/>
          </w:tcPr>
          <w:p w14:paraId="1ACF9881" w14:textId="77777777" w:rsidR="00A53095" w:rsidRDefault="00A53095" w:rsidP="00E72162">
            <w:pPr>
              <w:rPr>
                <w:rFonts w:cstheme="minorHAnsi"/>
                <w:sz w:val="22"/>
                <w:szCs w:val="22"/>
              </w:rPr>
            </w:pPr>
            <w:r>
              <w:rPr>
                <w:rFonts w:cstheme="minorHAnsi"/>
                <w:sz w:val="22"/>
                <w:szCs w:val="22"/>
              </w:rPr>
              <w:t xml:space="preserve">Extension of federal funding #7 </w:t>
            </w:r>
          </w:p>
        </w:tc>
        <w:tc>
          <w:tcPr>
            <w:tcW w:w="4675" w:type="dxa"/>
          </w:tcPr>
          <w:p w14:paraId="291A5193" w14:textId="77777777" w:rsidR="00A53095" w:rsidRDefault="00A53095" w:rsidP="00E72162">
            <w:pPr>
              <w:jc w:val="center"/>
              <w:rPr>
                <w:rFonts w:cstheme="minorHAnsi"/>
                <w:sz w:val="22"/>
                <w:szCs w:val="22"/>
              </w:rPr>
            </w:pPr>
            <w:r>
              <w:rPr>
                <w:rFonts w:cstheme="minorHAnsi"/>
                <w:color w:val="000000"/>
                <w:sz w:val="22"/>
                <w:szCs w:val="22"/>
              </w:rPr>
              <w:t>5/</w:t>
            </w:r>
            <w:r w:rsidRPr="00A06EEC">
              <w:rPr>
                <w:rFonts w:cstheme="minorHAnsi"/>
                <w:color w:val="000000"/>
                <w:sz w:val="22"/>
                <w:szCs w:val="22"/>
              </w:rPr>
              <w:t>22</w:t>
            </w:r>
            <w:r>
              <w:rPr>
                <w:rFonts w:cstheme="minorHAnsi"/>
                <w:color w:val="000000"/>
                <w:sz w:val="22"/>
                <w:szCs w:val="22"/>
              </w:rPr>
              <w:t>/</w:t>
            </w:r>
            <w:r w:rsidRPr="00A06EEC">
              <w:rPr>
                <w:rFonts w:cstheme="minorHAnsi"/>
                <w:color w:val="000000"/>
                <w:sz w:val="22"/>
                <w:szCs w:val="22"/>
              </w:rPr>
              <w:t>2020</w:t>
            </w:r>
            <w:r>
              <w:rPr>
                <w:rFonts w:cstheme="minorHAnsi"/>
                <w:color w:val="000000"/>
                <w:sz w:val="22"/>
                <w:szCs w:val="22"/>
              </w:rPr>
              <w:t xml:space="preserve"> to</w:t>
            </w:r>
            <w:r w:rsidRPr="00A06EEC">
              <w:rPr>
                <w:rFonts w:cstheme="minorHAnsi"/>
                <w:color w:val="000000"/>
                <w:sz w:val="22"/>
                <w:szCs w:val="22"/>
              </w:rPr>
              <w:t xml:space="preserve"> </w:t>
            </w:r>
            <w:r>
              <w:rPr>
                <w:rFonts w:cstheme="minorHAnsi"/>
                <w:color w:val="000000"/>
                <w:sz w:val="22"/>
                <w:szCs w:val="22"/>
              </w:rPr>
              <w:t>11/</w:t>
            </w:r>
            <w:r w:rsidRPr="00A06EEC">
              <w:rPr>
                <w:rFonts w:cstheme="minorHAnsi"/>
                <w:color w:val="000000"/>
                <w:sz w:val="22"/>
                <w:szCs w:val="22"/>
              </w:rPr>
              <w:t>30</w:t>
            </w:r>
            <w:r>
              <w:rPr>
                <w:rFonts w:cstheme="minorHAnsi"/>
                <w:color w:val="000000"/>
                <w:sz w:val="22"/>
                <w:szCs w:val="22"/>
              </w:rPr>
              <w:t>/</w:t>
            </w:r>
            <w:r w:rsidRPr="00A06EEC">
              <w:rPr>
                <w:rFonts w:cstheme="minorHAnsi"/>
                <w:color w:val="000000"/>
                <w:sz w:val="22"/>
                <w:szCs w:val="22"/>
              </w:rPr>
              <w:t>2020</w:t>
            </w:r>
          </w:p>
        </w:tc>
      </w:tr>
      <w:tr w:rsidR="00A53095" w14:paraId="118A3578" w14:textId="77777777" w:rsidTr="00E370FF">
        <w:tc>
          <w:tcPr>
            <w:tcW w:w="4675" w:type="dxa"/>
          </w:tcPr>
          <w:p w14:paraId="441D6F09" w14:textId="77777777" w:rsidR="00A53095" w:rsidRDefault="00A53095" w:rsidP="00E72162">
            <w:pPr>
              <w:rPr>
                <w:rFonts w:cstheme="minorHAnsi"/>
                <w:color w:val="000000"/>
                <w:sz w:val="22"/>
                <w:szCs w:val="22"/>
              </w:rPr>
            </w:pPr>
            <w:r>
              <w:rPr>
                <w:rFonts w:cstheme="minorHAnsi"/>
                <w:sz w:val="22"/>
                <w:szCs w:val="22"/>
              </w:rPr>
              <w:t>Extension of federal funding #8</w:t>
            </w:r>
          </w:p>
        </w:tc>
        <w:tc>
          <w:tcPr>
            <w:tcW w:w="4675" w:type="dxa"/>
          </w:tcPr>
          <w:p w14:paraId="38398403" w14:textId="77777777" w:rsidR="00A53095" w:rsidRDefault="00A53095" w:rsidP="00E72162">
            <w:pPr>
              <w:jc w:val="center"/>
              <w:rPr>
                <w:rFonts w:cstheme="minorHAnsi"/>
                <w:color w:val="000000"/>
                <w:sz w:val="22"/>
                <w:szCs w:val="22"/>
              </w:rPr>
            </w:pPr>
            <w:r w:rsidRPr="00A06EEC">
              <w:rPr>
                <w:rFonts w:cstheme="minorHAnsi"/>
                <w:color w:val="000000"/>
                <w:sz w:val="22"/>
                <w:szCs w:val="22"/>
              </w:rPr>
              <w:t>12/21/2020</w:t>
            </w:r>
            <w:r>
              <w:rPr>
                <w:rFonts w:cstheme="minorHAnsi"/>
                <w:color w:val="000000"/>
                <w:sz w:val="22"/>
                <w:szCs w:val="22"/>
              </w:rPr>
              <w:t xml:space="preserve"> to</w:t>
            </w:r>
            <w:r w:rsidRPr="00A06EEC">
              <w:rPr>
                <w:rFonts w:cstheme="minorHAnsi"/>
                <w:color w:val="000000"/>
                <w:sz w:val="22"/>
                <w:szCs w:val="22"/>
              </w:rPr>
              <w:t xml:space="preserve"> </w:t>
            </w:r>
            <w:r>
              <w:rPr>
                <w:rFonts w:cstheme="minorHAnsi"/>
                <w:color w:val="000000"/>
                <w:sz w:val="22"/>
                <w:szCs w:val="22"/>
              </w:rPr>
              <w:t>9/30/</w:t>
            </w:r>
            <w:r w:rsidRPr="00A06EEC">
              <w:rPr>
                <w:rFonts w:cstheme="minorHAnsi"/>
                <w:color w:val="000000"/>
                <w:sz w:val="22"/>
                <w:szCs w:val="22"/>
              </w:rPr>
              <w:t xml:space="preserve"> 2023</w:t>
            </w:r>
          </w:p>
        </w:tc>
      </w:tr>
      <w:tr w:rsidR="00A53095" w14:paraId="64288139" w14:textId="77777777" w:rsidTr="00E370FF">
        <w:tc>
          <w:tcPr>
            <w:tcW w:w="4675" w:type="dxa"/>
          </w:tcPr>
          <w:p w14:paraId="7E31EFEB" w14:textId="77777777" w:rsidR="00A53095" w:rsidRDefault="00A53095" w:rsidP="00E72162">
            <w:pPr>
              <w:rPr>
                <w:rFonts w:cstheme="minorHAnsi"/>
                <w:sz w:val="22"/>
                <w:szCs w:val="22"/>
              </w:rPr>
            </w:pPr>
            <w:r>
              <w:rPr>
                <w:rFonts w:cstheme="minorHAnsi"/>
                <w:color w:val="000000"/>
                <w:sz w:val="22"/>
                <w:szCs w:val="22"/>
              </w:rPr>
              <w:t xml:space="preserve">Oregon </w:t>
            </w:r>
            <w:r w:rsidRPr="00A06EEC">
              <w:rPr>
                <w:rFonts w:cstheme="minorHAnsi"/>
                <w:color w:val="000000"/>
                <w:sz w:val="22"/>
                <w:szCs w:val="22"/>
              </w:rPr>
              <w:t>E-</w:t>
            </w:r>
            <w:r>
              <w:rPr>
                <w:rFonts w:cstheme="minorHAnsi"/>
                <w:color w:val="000000"/>
                <w:sz w:val="22"/>
                <w:szCs w:val="22"/>
              </w:rPr>
              <w:t>B</w:t>
            </w:r>
            <w:r w:rsidRPr="00A06EEC">
              <w:rPr>
                <w:rFonts w:cstheme="minorHAnsi"/>
                <w:color w:val="000000"/>
                <w:sz w:val="22"/>
                <w:szCs w:val="22"/>
              </w:rPr>
              <w:t xml:space="preserve">oard provided </w:t>
            </w:r>
            <w:r>
              <w:rPr>
                <w:rFonts w:cstheme="minorHAnsi"/>
                <w:color w:val="000000"/>
                <w:sz w:val="22"/>
                <w:szCs w:val="22"/>
              </w:rPr>
              <w:t>$</w:t>
            </w:r>
            <w:r w:rsidRPr="00A06EEC">
              <w:rPr>
                <w:rFonts w:cstheme="minorHAnsi"/>
                <w:color w:val="000000"/>
                <w:sz w:val="22"/>
                <w:szCs w:val="22"/>
              </w:rPr>
              <w:t xml:space="preserve">6 </w:t>
            </w:r>
            <w:r>
              <w:rPr>
                <w:rFonts w:cstheme="minorHAnsi"/>
                <w:color w:val="000000"/>
                <w:sz w:val="22"/>
                <w:szCs w:val="22"/>
              </w:rPr>
              <w:t>million</w:t>
            </w:r>
            <w:r w:rsidRPr="00A06EEC">
              <w:rPr>
                <w:rFonts w:cstheme="minorHAnsi"/>
                <w:color w:val="000000"/>
                <w:sz w:val="22"/>
                <w:szCs w:val="22"/>
              </w:rPr>
              <w:t xml:space="preserve"> </w:t>
            </w:r>
            <w:r>
              <w:rPr>
                <w:rFonts w:cstheme="minorHAnsi"/>
                <w:color w:val="000000"/>
                <w:sz w:val="22"/>
                <w:szCs w:val="22"/>
              </w:rPr>
              <w:t xml:space="preserve">from </w:t>
            </w:r>
            <w:r w:rsidRPr="00A06EEC">
              <w:rPr>
                <w:rFonts w:cstheme="minorHAnsi"/>
                <w:color w:val="000000"/>
                <w:sz w:val="22"/>
                <w:szCs w:val="22"/>
              </w:rPr>
              <w:t>G</w:t>
            </w:r>
            <w:r>
              <w:rPr>
                <w:rFonts w:cstheme="minorHAnsi"/>
                <w:color w:val="000000"/>
                <w:sz w:val="22"/>
                <w:szCs w:val="22"/>
              </w:rPr>
              <w:t xml:space="preserve">eneral </w:t>
            </w:r>
            <w:r w:rsidRPr="00A06EEC">
              <w:rPr>
                <w:rFonts w:cstheme="minorHAnsi"/>
                <w:color w:val="000000"/>
                <w:sz w:val="22"/>
                <w:szCs w:val="22"/>
              </w:rPr>
              <w:t>F</w:t>
            </w:r>
            <w:r>
              <w:rPr>
                <w:rFonts w:cstheme="minorHAnsi"/>
                <w:color w:val="000000"/>
                <w:sz w:val="22"/>
                <w:szCs w:val="22"/>
              </w:rPr>
              <w:t>und</w:t>
            </w:r>
            <w:r w:rsidRPr="00A06EEC">
              <w:rPr>
                <w:rFonts w:cstheme="minorHAnsi"/>
                <w:color w:val="000000"/>
                <w:sz w:val="22"/>
                <w:szCs w:val="22"/>
              </w:rPr>
              <w:t xml:space="preserve"> to pay State match of CCBHC expenses through </w:t>
            </w:r>
            <w:r>
              <w:rPr>
                <w:rFonts w:cstheme="minorHAnsi"/>
                <w:color w:val="000000"/>
                <w:sz w:val="22"/>
                <w:szCs w:val="22"/>
              </w:rPr>
              <w:t>remainder</w:t>
            </w:r>
            <w:r w:rsidRPr="00A06EEC">
              <w:rPr>
                <w:rFonts w:cstheme="minorHAnsi"/>
                <w:color w:val="000000"/>
                <w:sz w:val="22"/>
                <w:szCs w:val="22"/>
              </w:rPr>
              <w:t xml:space="preserve"> of bie</w:t>
            </w:r>
            <w:r>
              <w:rPr>
                <w:rFonts w:cstheme="minorHAnsi"/>
                <w:color w:val="000000"/>
                <w:sz w:val="22"/>
                <w:szCs w:val="22"/>
              </w:rPr>
              <w:t>n</w:t>
            </w:r>
            <w:r w:rsidRPr="00A06EEC">
              <w:rPr>
                <w:rFonts w:cstheme="minorHAnsi"/>
                <w:color w:val="000000"/>
                <w:sz w:val="22"/>
                <w:szCs w:val="22"/>
              </w:rPr>
              <w:t>nium</w:t>
            </w:r>
          </w:p>
        </w:tc>
        <w:tc>
          <w:tcPr>
            <w:tcW w:w="4675" w:type="dxa"/>
          </w:tcPr>
          <w:p w14:paraId="5CCDF478" w14:textId="77777777" w:rsidR="00A53095" w:rsidRDefault="00A53095" w:rsidP="00E72162">
            <w:pPr>
              <w:jc w:val="center"/>
              <w:rPr>
                <w:rFonts w:cstheme="minorHAnsi"/>
                <w:sz w:val="22"/>
                <w:szCs w:val="22"/>
              </w:rPr>
            </w:pPr>
            <w:r>
              <w:rPr>
                <w:rFonts w:cstheme="minorHAnsi"/>
                <w:color w:val="000000"/>
                <w:sz w:val="22"/>
                <w:szCs w:val="22"/>
              </w:rPr>
              <w:t>1/1/20</w:t>
            </w:r>
            <w:r w:rsidRPr="00A06EEC">
              <w:rPr>
                <w:rFonts w:cstheme="minorHAnsi"/>
                <w:color w:val="000000"/>
                <w:sz w:val="22"/>
                <w:szCs w:val="22"/>
              </w:rPr>
              <w:t>21</w:t>
            </w:r>
          </w:p>
        </w:tc>
      </w:tr>
    </w:tbl>
    <w:p w14:paraId="00F25B8D" w14:textId="77777777" w:rsidR="00A53095" w:rsidRDefault="00A53095" w:rsidP="00A53095">
      <w:pPr>
        <w:jc w:val="center"/>
        <w:rPr>
          <w:rFonts w:cstheme="minorHAnsi"/>
          <w:sz w:val="22"/>
          <w:szCs w:val="22"/>
        </w:rPr>
      </w:pPr>
    </w:p>
    <w:p w14:paraId="6CAEDCA7" w14:textId="77777777" w:rsidR="00A53095" w:rsidRDefault="00A53095" w:rsidP="00A53095">
      <w:pPr>
        <w:rPr>
          <w:rFonts w:cstheme="minorHAnsi"/>
          <w:sz w:val="22"/>
          <w:szCs w:val="22"/>
        </w:rPr>
      </w:pPr>
      <w:r>
        <w:rPr>
          <w:rFonts w:cstheme="minorHAnsi"/>
          <w:sz w:val="22"/>
          <w:szCs w:val="22"/>
        </w:rPr>
        <w:t>It is important to contextualize this funding timeline with the onset of COVID-19 in March 2020 and the resulting impact and social disruption.</w:t>
      </w:r>
    </w:p>
    <w:p w14:paraId="0B53E7DC" w14:textId="77777777" w:rsidR="00A53095" w:rsidRPr="006A22C8" w:rsidRDefault="00A53095" w:rsidP="00A53095">
      <w:pPr>
        <w:rPr>
          <w:rFonts w:cstheme="minorHAnsi"/>
          <w:sz w:val="22"/>
          <w:szCs w:val="22"/>
        </w:rPr>
      </w:pPr>
    </w:p>
    <w:p w14:paraId="5B3385E7" w14:textId="122E903D" w:rsidR="00E370FF" w:rsidRPr="00CF0229" w:rsidRDefault="00E370FF" w:rsidP="008F573D">
      <w:pPr>
        <w:pStyle w:val="Heading2"/>
        <w:spacing w:after="120"/>
        <w:rPr>
          <w:rFonts w:asciiTheme="minorHAnsi" w:hAnsiTheme="minorHAnsi" w:cstheme="minorHAnsi"/>
          <w:b/>
          <w:bCs/>
          <w:color w:val="6A7F0F"/>
        </w:rPr>
      </w:pPr>
      <w:bookmarkStart w:id="12" w:name="_Toc126068173"/>
      <w:r w:rsidRPr="00CF0229">
        <w:rPr>
          <w:rFonts w:asciiTheme="minorHAnsi" w:hAnsiTheme="minorHAnsi" w:cstheme="minorHAnsi"/>
          <w:b/>
          <w:bCs/>
          <w:color w:val="6A7F0F"/>
        </w:rPr>
        <w:t>CCBHC Sites</w:t>
      </w:r>
      <w:bookmarkEnd w:id="12"/>
    </w:p>
    <w:p w14:paraId="5999DDA3" w14:textId="783BF2AF" w:rsidR="00E370FF" w:rsidRDefault="005E44B0" w:rsidP="00E370FF">
      <w:pPr>
        <w:rPr>
          <w:sz w:val="22"/>
          <w:szCs w:val="22"/>
        </w:rPr>
      </w:pPr>
      <w:r w:rsidRPr="006B2BDA">
        <w:rPr>
          <w:rFonts w:cstheme="minorHAnsi"/>
          <w:sz w:val="22"/>
          <w:szCs w:val="22"/>
        </w:rPr>
        <w:t xml:space="preserve">Twelve clinics participated in the initial two-year demonstration phase </w:t>
      </w:r>
      <w:r>
        <w:rPr>
          <w:rFonts w:cstheme="minorHAnsi"/>
          <w:sz w:val="22"/>
          <w:szCs w:val="22"/>
        </w:rPr>
        <w:t xml:space="preserve">from </w:t>
      </w:r>
      <w:r w:rsidRPr="006B2BDA">
        <w:rPr>
          <w:rFonts w:cstheme="minorHAnsi"/>
          <w:sz w:val="22"/>
          <w:szCs w:val="22"/>
        </w:rPr>
        <w:t>April 1, 2017</w:t>
      </w:r>
      <w:r>
        <w:rPr>
          <w:rFonts w:cstheme="minorHAnsi"/>
          <w:sz w:val="22"/>
          <w:szCs w:val="22"/>
        </w:rPr>
        <w:t xml:space="preserve"> to</w:t>
      </w:r>
      <w:r w:rsidRPr="006B2BDA">
        <w:rPr>
          <w:rFonts w:cstheme="minorHAnsi"/>
          <w:sz w:val="22"/>
          <w:szCs w:val="22"/>
        </w:rPr>
        <w:t xml:space="preserve"> March 31, 2019. Three clinics left the demonstration at the end of the first demonstration period but returned to </w:t>
      </w:r>
      <w:r w:rsidRPr="00AC5028">
        <w:rPr>
          <w:rFonts w:cstheme="minorHAnsi"/>
          <w:sz w:val="22"/>
          <w:szCs w:val="22"/>
        </w:rPr>
        <w:t xml:space="preserve">the program in 2021 and 2022. </w:t>
      </w:r>
      <w:r w:rsidRPr="00AC5028">
        <w:rPr>
          <w:rFonts w:cstheme="minorHAnsi"/>
          <w:sz w:val="22"/>
          <w:szCs w:val="22"/>
          <w:lang w:bidi="th-TH"/>
        </w:rPr>
        <w:t xml:space="preserve">The CCBHC sites are listed in </w:t>
      </w:r>
      <w:r w:rsidRPr="00261B2D">
        <w:rPr>
          <w:rFonts w:cstheme="minorHAnsi"/>
          <w:color w:val="6A7F0F"/>
          <w:sz w:val="22"/>
          <w:szCs w:val="22"/>
          <w:lang w:bidi="th-TH"/>
        </w:rPr>
        <w:t>Table 2</w:t>
      </w:r>
      <w:r w:rsidRPr="00AC5028">
        <w:rPr>
          <w:rFonts w:cstheme="minorHAnsi"/>
          <w:sz w:val="22"/>
          <w:szCs w:val="22"/>
          <w:lang w:bidi="th-TH"/>
        </w:rPr>
        <w:t>,</w:t>
      </w:r>
      <w:r w:rsidRPr="000E1F88">
        <w:rPr>
          <w:rFonts w:cstheme="minorHAnsi"/>
          <w:sz w:val="22"/>
          <w:szCs w:val="22"/>
          <w:lang w:bidi="th-TH"/>
        </w:rPr>
        <w:t xml:space="preserve"> </w:t>
      </w:r>
      <w:r>
        <w:rPr>
          <w:rFonts w:cstheme="minorHAnsi"/>
          <w:sz w:val="22"/>
          <w:szCs w:val="22"/>
          <w:lang w:bidi="th-TH"/>
        </w:rPr>
        <w:t xml:space="preserve">grouped by the geographic designation (Urban, Rural, or Remote) of the Oregon Office of </w:t>
      </w:r>
      <w:r w:rsidR="00CF6C30">
        <w:rPr>
          <w:rFonts w:cstheme="minorHAnsi"/>
          <w:sz w:val="22"/>
          <w:szCs w:val="22"/>
          <w:lang w:bidi="th-TH"/>
        </w:rPr>
        <w:t xml:space="preserve">Rural Health </w:t>
      </w:r>
      <w:r>
        <w:rPr>
          <w:rFonts w:cstheme="minorHAnsi"/>
          <w:sz w:val="22"/>
          <w:szCs w:val="22"/>
          <w:lang w:bidi="th-TH"/>
        </w:rPr>
        <w:t>(ORH) (</w:t>
      </w:r>
      <w:r w:rsidRPr="002214D9">
        <w:rPr>
          <w:rStyle w:val="markedcontent"/>
          <w:rFonts w:cstheme="minorHAnsi"/>
          <w:color w:val="000000" w:themeColor="text1"/>
          <w:sz w:val="22"/>
          <w:szCs w:val="22"/>
        </w:rPr>
        <w:t>Oregon Office of Rural Health</w:t>
      </w:r>
      <w:r>
        <w:rPr>
          <w:rStyle w:val="markedcontent"/>
          <w:rFonts w:cstheme="minorHAnsi"/>
          <w:color w:val="000000" w:themeColor="text1"/>
          <w:sz w:val="22"/>
          <w:szCs w:val="22"/>
        </w:rPr>
        <w:t xml:space="preserve">, </w:t>
      </w:r>
      <w:r w:rsidRPr="002214D9">
        <w:rPr>
          <w:rStyle w:val="markedcontent"/>
          <w:rFonts w:cstheme="minorHAnsi"/>
          <w:color w:val="000000" w:themeColor="text1"/>
          <w:sz w:val="22"/>
          <w:szCs w:val="22"/>
        </w:rPr>
        <w:t>n.d.)</w:t>
      </w:r>
      <w:r>
        <w:rPr>
          <w:rFonts w:cstheme="minorHAnsi"/>
          <w:sz w:val="22"/>
          <w:szCs w:val="22"/>
          <w:lang w:bidi="th-TH"/>
        </w:rPr>
        <w:t xml:space="preserve"> and</w:t>
      </w:r>
      <w:r w:rsidRPr="00AC5028">
        <w:rPr>
          <w:rFonts w:cstheme="minorHAnsi"/>
          <w:sz w:val="22"/>
          <w:szCs w:val="22"/>
          <w:lang w:bidi="th-TH"/>
        </w:rPr>
        <w:t xml:space="preserve"> including locations, counties served, relevant CCOs, and CCBHC participation. </w:t>
      </w:r>
      <w:r>
        <w:rPr>
          <w:rFonts w:cstheme="minorHAnsi"/>
          <w:sz w:val="22"/>
          <w:szCs w:val="22"/>
          <w:lang w:bidi="th-TH"/>
        </w:rPr>
        <w:t xml:space="preserve">Site numbers correspond with the mapped locations in </w:t>
      </w:r>
      <w:r w:rsidRPr="00261B2D">
        <w:rPr>
          <w:rFonts w:cstheme="minorHAnsi"/>
          <w:color w:val="6A7F0F"/>
          <w:sz w:val="22"/>
          <w:szCs w:val="22"/>
          <w:lang w:bidi="th-TH"/>
        </w:rPr>
        <w:t>Figure 1</w:t>
      </w:r>
      <w:r>
        <w:rPr>
          <w:rFonts w:cstheme="minorHAnsi"/>
          <w:sz w:val="22"/>
          <w:szCs w:val="22"/>
          <w:lang w:bidi="th-TH"/>
        </w:rPr>
        <w:t xml:space="preserve">. </w:t>
      </w:r>
      <w:r w:rsidRPr="00AC5028">
        <w:rPr>
          <w:rFonts w:cstheme="minorHAnsi"/>
          <w:sz w:val="22"/>
          <w:szCs w:val="22"/>
          <w:lang w:bidi="th-TH"/>
        </w:rPr>
        <w:t xml:space="preserve">Nine CCBHCs </w:t>
      </w:r>
      <w:r>
        <w:rPr>
          <w:rFonts w:cstheme="minorHAnsi"/>
          <w:sz w:val="22"/>
          <w:szCs w:val="22"/>
          <w:lang w:bidi="th-TH"/>
        </w:rPr>
        <w:t>are</w:t>
      </w:r>
      <w:r w:rsidRPr="00AC5028">
        <w:rPr>
          <w:rFonts w:cstheme="minorHAnsi"/>
          <w:sz w:val="22"/>
          <w:szCs w:val="22"/>
          <w:lang w:bidi="th-TH"/>
        </w:rPr>
        <w:t xml:space="preserve"> also CMHPs</w:t>
      </w:r>
      <w:r>
        <w:rPr>
          <w:rFonts w:cstheme="minorHAnsi"/>
          <w:sz w:val="22"/>
          <w:szCs w:val="22"/>
          <w:lang w:bidi="th-TH"/>
        </w:rPr>
        <w:t xml:space="preserve"> (marked by an asterisk </w:t>
      </w:r>
      <w:r w:rsidR="00C71459">
        <w:rPr>
          <w:rFonts w:cstheme="minorHAnsi"/>
          <w:sz w:val="22"/>
          <w:szCs w:val="22"/>
          <w:lang w:bidi="th-TH"/>
        </w:rPr>
        <w:t xml:space="preserve">[*] </w:t>
      </w:r>
      <w:r>
        <w:rPr>
          <w:rFonts w:cstheme="minorHAnsi"/>
          <w:sz w:val="22"/>
          <w:szCs w:val="22"/>
          <w:lang w:bidi="th-TH"/>
        </w:rPr>
        <w:t xml:space="preserve">in </w:t>
      </w:r>
      <w:r w:rsidRPr="00261B2D">
        <w:rPr>
          <w:rFonts w:cstheme="minorHAnsi"/>
          <w:color w:val="6A7F0F"/>
          <w:sz w:val="22"/>
          <w:szCs w:val="22"/>
          <w:lang w:bidi="th-TH"/>
        </w:rPr>
        <w:t>Table 2</w:t>
      </w:r>
      <w:r>
        <w:rPr>
          <w:rFonts w:cstheme="minorHAnsi"/>
          <w:sz w:val="22"/>
          <w:szCs w:val="22"/>
          <w:lang w:bidi="th-TH"/>
        </w:rPr>
        <w:t>)</w:t>
      </w:r>
      <w:r w:rsidRPr="00AC5028">
        <w:rPr>
          <w:rFonts w:cstheme="minorHAnsi"/>
          <w:sz w:val="22"/>
          <w:szCs w:val="22"/>
          <w:lang w:bidi="th-TH"/>
        </w:rPr>
        <w:t xml:space="preserve">; </w:t>
      </w:r>
      <w:r w:rsidRPr="00493778">
        <w:rPr>
          <w:rFonts w:cstheme="minorHAnsi"/>
          <w:bCs/>
          <w:sz w:val="22"/>
          <w:szCs w:val="22"/>
        </w:rPr>
        <w:t>LifeWorks NW</w:t>
      </w:r>
      <w:r w:rsidRPr="00AC5028">
        <w:rPr>
          <w:sz w:val="22"/>
          <w:szCs w:val="22"/>
        </w:rPr>
        <w:t>, Cascadia</w:t>
      </w:r>
      <w:r>
        <w:rPr>
          <w:sz w:val="22"/>
          <w:szCs w:val="22"/>
        </w:rPr>
        <w:t xml:space="preserve"> Health</w:t>
      </w:r>
      <w:r w:rsidRPr="00AC5028">
        <w:rPr>
          <w:sz w:val="22"/>
          <w:szCs w:val="22"/>
        </w:rPr>
        <w:t xml:space="preserve">, and Peace Health </w:t>
      </w:r>
      <w:r w:rsidRPr="00493778">
        <w:rPr>
          <w:rFonts w:cstheme="minorHAnsi"/>
          <w:bCs/>
          <w:sz w:val="22"/>
          <w:szCs w:val="22"/>
        </w:rPr>
        <w:t>Medical Group</w:t>
      </w:r>
      <w:r w:rsidRPr="00AC5028">
        <w:rPr>
          <w:sz w:val="22"/>
          <w:szCs w:val="22"/>
        </w:rPr>
        <w:t xml:space="preserve"> </w:t>
      </w:r>
      <w:r>
        <w:rPr>
          <w:sz w:val="22"/>
          <w:szCs w:val="22"/>
        </w:rPr>
        <w:t>are</w:t>
      </w:r>
      <w:r w:rsidRPr="00AC5028">
        <w:rPr>
          <w:sz w:val="22"/>
          <w:szCs w:val="22"/>
        </w:rPr>
        <w:t xml:space="preserve"> not CMHPs.</w:t>
      </w:r>
    </w:p>
    <w:p w14:paraId="185FAF7C" w14:textId="77777777" w:rsidR="005E44B0" w:rsidRPr="00493778" w:rsidRDefault="005E44B0" w:rsidP="00E370FF">
      <w:pPr>
        <w:rPr>
          <w:rFonts w:cstheme="minorHAnsi"/>
          <w:sz w:val="22"/>
          <w:szCs w:val="22"/>
        </w:rPr>
      </w:pPr>
    </w:p>
    <w:p w14:paraId="0284307E" w14:textId="77777777" w:rsidR="00C71459" w:rsidRDefault="00C71459">
      <w:pPr>
        <w:rPr>
          <w:b/>
          <w:bCs/>
          <w:color w:val="6A7F0F"/>
          <w:sz w:val="22"/>
          <w:szCs w:val="22"/>
        </w:rPr>
      </w:pPr>
      <w:bookmarkStart w:id="13" w:name="_Toc125501668"/>
      <w:r>
        <w:rPr>
          <w:b/>
          <w:bCs/>
          <w:i/>
          <w:iCs/>
          <w:color w:val="6A7F0F"/>
          <w:sz w:val="22"/>
          <w:szCs w:val="22"/>
        </w:rPr>
        <w:br w:type="page"/>
      </w:r>
    </w:p>
    <w:p w14:paraId="5737A272" w14:textId="7B24605F" w:rsidR="00E370FF" w:rsidRDefault="00F66AE0" w:rsidP="00C71459">
      <w:pPr>
        <w:pStyle w:val="Caption"/>
        <w:keepNext/>
        <w:spacing w:after="0"/>
        <w:jc w:val="center"/>
        <w:rPr>
          <w:b/>
          <w:bCs/>
          <w:i w:val="0"/>
          <w:iCs w:val="0"/>
          <w:color w:val="6A7F0F"/>
          <w:sz w:val="22"/>
          <w:szCs w:val="22"/>
        </w:rPr>
      </w:pPr>
      <w:bookmarkStart w:id="14" w:name="_Toc125555783"/>
      <w:r w:rsidRPr="001173FB">
        <w:rPr>
          <w:b/>
          <w:bCs/>
          <w:i w:val="0"/>
          <w:iCs w:val="0"/>
          <w:color w:val="6A7F0F"/>
          <w:sz w:val="22"/>
          <w:szCs w:val="22"/>
        </w:rPr>
        <w:t xml:space="preserve">Table </w:t>
      </w:r>
      <w:r w:rsidR="00DE4F99" w:rsidRPr="001173FB">
        <w:rPr>
          <w:b/>
          <w:bCs/>
          <w:i w:val="0"/>
          <w:iCs w:val="0"/>
          <w:color w:val="6A7F0F"/>
          <w:sz w:val="22"/>
          <w:szCs w:val="22"/>
        </w:rPr>
        <w:fldChar w:fldCharType="begin"/>
      </w:r>
      <w:r w:rsidR="00DE4F99" w:rsidRPr="001173FB">
        <w:rPr>
          <w:b/>
          <w:bCs/>
          <w:i w:val="0"/>
          <w:iCs w:val="0"/>
          <w:color w:val="6A7F0F"/>
          <w:sz w:val="22"/>
          <w:szCs w:val="22"/>
        </w:rPr>
        <w:instrText xml:space="preserve"> SEQ Table \* ARABIC </w:instrText>
      </w:r>
      <w:r w:rsidR="00DE4F99" w:rsidRPr="001173FB">
        <w:rPr>
          <w:b/>
          <w:bCs/>
          <w:i w:val="0"/>
          <w:iCs w:val="0"/>
          <w:color w:val="6A7F0F"/>
          <w:sz w:val="22"/>
          <w:szCs w:val="22"/>
        </w:rPr>
        <w:fldChar w:fldCharType="separate"/>
      </w:r>
      <w:r w:rsidR="00DA018F">
        <w:rPr>
          <w:b/>
          <w:bCs/>
          <w:i w:val="0"/>
          <w:iCs w:val="0"/>
          <w:noProof/>
          <w:color w:val="6A7F0F"/>
          <w:sz w:val="22"/>
          <w:szCs w:val="22"/>
        </w:rPr>
        <w:t>2</w:t>
      </w:r>
      <w:r w:rsidR="00DE4F99" w:rsidRPr="001173FB">
        <w:rPr>
          <w:b/>
          <w:bCs/>
          <w:i w:val="0"/>
          <w:iCs w:val="0"/>
          <w:color w:val="6A7F0F"/>
          <w:sz w:val="22"/>
          <w:szCs w:val="22"/>
        </w:rPr>
        <w:fldChar w:fldCharType="end"/>
      </w:r>
      <w:r w:rsidRPr="001173FB">
        <w:rPr>
          <w:b/>
          <w:bCs/>
          <w:i w:val="0"/>
          <w:iCs w:val="0"/>
          <w:color w:val="6A7F0F"/>
          <w:sz w:val="22"/>
          <w:szCs w:val="22"/>
        </w:rPr>
        <w:t>: Oregon CCBHC Sites</w:t>
      </w:r>
      <w:bookmarkEnd w:id="14"/>
      <w:r w:rsidRPr="001173FB">
        <w:rPr>
          <w:b/>
          <w:bCs/>
          <w:i w:val="0"/>
          <w:iCs w:val="0"/>
          <w:color w:val="6A7F0F"/>
          <w:sz w:val="22"/>
          <w:szCs w:val="22"/>
        </w:rPr>
        <w:t xml:space="preserve"> </w:t>
      </w:r>
      <w:bookmarkEnd w:id="13"/>
    </w:p>
    <w:p w14:paraId="4F356508" w14:textId="77777777" w:rsidR="00C71459" w:rsidRPr="00C71459" w:rsidRDefault="00C71459" w:rsidP="00C71459"/>
    <w:tbl>
      <w:tblPr>
        <w:tblStyle w:val="TableGrid"/>
        <w:tblW w:w="9540" w:type="dxa"/>
        <w:tblInd w:w="-5" w:type="dxa"/>
        <w:tblLayout w:type="fixed"/>
        <w:tblLook w:val="04A0" w:firstRow="1" w:lastRow="0" w:firstColumn="1" w:lastColumn="0" w:noHBand="0" w:noVBand="1"/>
      </w:tblPr>
      <w:tblGrid>
        <w:gridCol w:w="630"/>
        <w:gridCol w:w="990"/>
        <w:gridCol w:w="1980"/>
        <w:gridCol w:w="1440"/>
        <w:gridCol w:w="1350"/>
        <w:gridCol w:w="1710"/>
        <w:gridCol w:w="1440"/>
      </w:tblGrid>
      <w:tr w:rsidR="00E370FF" w:rsidRPr="00493778" w14:paraId="6651C87F" w14:textId="77777777" w:rsidTr="00B738C1">
        <w:trPr>
          <w:trHeight w:val="440"/>
        </w:trPr>
        <w:tc>
          <w:tcPr>
            <w:tcW w:w="630" w:type="dxa"/>
            <w:shd w:val="clear" w:color="auto" w:fill="E7E6E6" w:themeFill="background2"/>
            <w:vAlign w:val="center"/>
          </w:tcPr>
          <w:p w14:paraId="0C5FC177" w14:textId="77777777" w:rsidR="00E370FF" w:rsidRPr="00493778" w:rsidRDefault="00E370FF" w:rsidP="00E72162">
            <w:pPr>
              <w:jc w:val="center"/>
              <w:rPr>
                <w:rFonts w:cstheme="minorHAnsi"/>
                <w:b/>
                <w:sz w:val="22"/>
                <w:szCs w:val="22"/>
              </w:rPr>
            </w:pPr>
            <w:r>
              <w:rPr>
                <w:rFonts w:cstheme="minorHAnsi"/>
                <w:b/>
                <w:sz w:val="22"/>
                <w:szCs w:val="22"/>
              </w:rPr>
              <w:t>Site #</w:t>
            </w:r>
          </w:p>
        </w:tc>
        <w:tc>
          <w:tcPr>
            <w:tcW w:w="990" w:type="dxa"/>
            <w:shd w:val="clear" w:color="auto" w:fill="E7E6E6" w:themeFill="background2"/>
            <w:vAlign w:val="center"/>
          </w:tcPr>
          <w:p w14:paraId="508DA1BC" w14:textId="77777777" w:rsidR="00E370FF" w:rsidRPr="00493778" w:rsidRDefault="00E370FF" w:rsidP="00E72162">
            <w:pPr>
              <w:jc w:val="center"/>
              <w:rPr>
                <w:rFonts w:cstheme="minorHAnsi"/>
                <w:b/>
                <w:sz w:val="22"/>
                <w:szCs w:val="22"/>
              </w:rPr>
            </w:pPr>
            <w:r>
              <w:rPr>
                <w:rFonts w:cstheme="minorHAnsi"/>
                <w:b/>
                <w:sz w:val="22"/>
                <w:szCs w:val="22"/>
              </w:rPr>
              <w:t>ORH Area</w:t>
            </w:r>
          </w:p>
        </w:tc>
        <w:tc>
          <w:tcPr>
            <w:tcW w:w="1980" w:type="dxa"/>
            <w:shd w:val="clear" w:color="auto" w:fill="E7E6E6" w:themeFill="background2"/>
            <w:vAlign w:val="center"/>
          </w:tcPr>
          <w:p w14:paraId="64828947" w14:textId="77777777" w:rsidR="00E370FF" w:rsidRPr="00493778" w:rsidRDefault="00E370FF" w:rsidP="00E72162">
            <w:pPr>
              <w:jc w:val="center"/>
              <w:rPr>
                <w:rFonts w:cstheme="minorHAnsi"/>
                <w:b/>
                <w:sz w:val="22"/>
                <w:szCs w:val="22"/>
              </w:rPr>
            </w:pPr>
            <w:r w:rsidRPr="00493778">
              <w:rPr>
                <w:rFonts w:cstheme="minorHAnsi"/>
                <w:b/>
                <w:sz w:val="22"/>
                <w:szCs w:val="22"/>
              </w:rPr>
              <w:t>Clinic</w:t>
            </w:r>
            <w:r>
              <w:rPr>
                <w:rFonts w:cstheme="minorHAnsi"/>
                <w:b/>
                <w:sz w:val="22"/>
                <w:szCs w:val="22"/>
              </w:rPr>
              <w:t xml:space="preserve"> Name</w:t>
            </w:r>
          </w:p>
        </w:tc>
        <w:tc>
          <w:tcPr>
            <w:tcW w:w="1440" w:type="dxa"/>
            <w:shd w:val="clear" w:color="auto" w:fill="E7E6E6" w:themeFill="background2"/>
            <w:vAlign w:val="center"/>
          </w:tcPr>
          <w:p w14:paraId="7ED95CC7" w14:textId="77777777" w:rsidR="00E370FF" w:rsidRPr="00493778" w:rsidRDefault="00E370FF" w:rsidP="00E72162">
            <w:pPr>
              <w:jc w:val="center"/>
              <w:rPr>
                <w:rFonts w:cstheme="minorHAnsi"/>
                <w:b/>
                <w:sz w:val="22"/>
                <w:szCs w:val="22"/>
              </w:rPr>
            </w:pPr>
            <w:r w:rsidRPr="00493778">
              <w:rPr>
                <w:rFonts w:cstheme="minorHAnsi"/>
                <w:b/>
                <w:sz w:val="22"/>
                <w:szCs w:val="22"/>
              </w:rPr>
              <w:t>CCBHC Locations</w:t>
            </w:r>
          </w:p>
        </w:tc>
        <w:tc>
          <w:tcPr>
            <w:tcW w:w="1350" w:type="dxa"/>
            <w:shd w:val="clear" w:color="auto" w:fill="E7E6E6" w:themeFill="background2"/>
            <w:vAlign w:val="center"/>
          </w:tcPr>
          <w:p w14:paraId="73C94563" w14:textId="77777777" w:rsidR="00E370FF" w:rsidRPr="00493778" w:rsidRDefault="00E370FF" w:rsidP="00E72162">
            <w:pPr>
              <w:jc w:val="center"/>
              <w:rPr>
                <w:rFonts w:cstheme="minorHAnsi"/>
                <w:b/>
                <w:sz w:val="22"/>
                <w:szCs w:val="22"/>
              </w:rPr>
            </w:pPr>
            <w:r w:rsidRPr="00493778">
              <w:rPr>
                <w:rFonts w:cstheme="minorHAnsi"/>
                <w:b/>
                <w:sz w:val="22"/>
                <w:szCs w:val="22"/>
              </w:rPr>
              <w:t>Counties Served</w:t>
            </w:r>
          </w:p>
        </w:tc>
        <w:tc>
          <w:tcPr>
            <w:tcW w:w="1710" w:type="dxa"/>
            <w:shd w:val="clear" w:color="auto" w:fill="E7E6E6" w:themeFill="background2"/>
            <w:vAlign w:val="center"/>
          </w:tcPr>
          <w:p w14:paraId="0B77D3FD" w14:textId="77777777" w:rsidR="00E370FF" w:rsidRPr="00493778" w:rsidRDefault="00E370FF" w:rsidP="00E72162">
            <w:pPr>
              <w:jc w:val="center"/>
              <w:rPr>
                <w:rFonts w:cstheme="minorHAnsi"/>
                <w:b/>
                <w:sz w:val="22"/>
                <w:szCs w:val="22"/>
              </w:rPr>
            </w:pPr>
            <w:r w:rsidRPr="00493778">
              <w:rPr>
                <w:rFonts w:cstheme="minorHAnsi"/>
                <w:b/>
                <w:sz w:val="22"/>
                <w:szCs w:val="22"/>
              </w:rPr>
              <w:t>Relevant CCOs</w:t>
            </w:r>
          </w:p>
        </w:tc>
        <w:tc>
          <w:tcPr>
            <w:tcW w:w="1440" w:type="dxa"/>
            <w:shd w:val="clear" w:color="auto" w:fill="E7E6E6" w:themeFill="background2"/>
            <w:vAlign w:val="center"/>
          </w:tcPr>
          <w:p w14:paraId="0F0C4F7B" w14:textId="77777777" w:rsidR="00E370FF" w:rsidRPr="00493778" w:rsidRDefault="00E370FF" w:rsidP="00E72162">
            <w:pPr>
              <w:jc w:val="center"/>
              <w:rPr>
                <w:rFonts w:cstheme="minorHAnsi"/>
                <w:b/>
                <w:sz w:val="22"/>
                <w:szCs w:val="22"/>
              </w:rPr>
            </w:pPr>
            <w:r w:rsidRPr="00493778">
              <w:rPr>
                <w:rFonts w:cstheme="minorHAnsi"/>
                <w:b/>
                <w:sz w:val="22"/>
                <w:szCs w:val="22"/>
              </w:rPr>
              <w:t>CCBHC Participation</w:t>
            </w:r>
          </w:p>
        </w:tc>
      </w:tr>
      <w:tr w:rsidR="00E370FF" w:rsidRPr="00493778" w14:paraId="370CC55A" w14:textId="77777777" w:rsidTr="00B738C1">
        <w:tc>
          <w:tcPr>
            <w:tcW w:w="630" w:type="dxa"/>
          </w:tcPr>
          <w:p w14:paraId="6A858D6C" w14:textId="77777777" w:rsidR="00E370FF" w:rsidRPr="00493778" w:rsidRDefault="00E370FF" w:rsidP="00E72162">
            <w:pPr>
              <w:jc w:val="center"/>
              <w:rPr>
                <w:rFonts w:cstheme="minorHAnsi"/>
                <w:bCs/>
                <w:sz w:val="22"/>
                <w:szCs w:val="22"/>
              </w:rPr>
            </w:pPr>
            <w:r>
              <w:rPr>
                <w:rFonts w:cstheme="minorHAnsi"/>
                <w:bCs/>
                <w:sz w:val="22"/>
                <w:szCs w:val="22"/>
              </w:rPr>
              <w:t>1</w:t>
            </w:r>
          </w:p>
        </w:tc>
        <w:tc>
          <w:tcPr>
            <w:tcW w:w="990" w:type="dxa"/>
            <w:shd w:val="clear" w:color="auto" w:fill="81ACD7"/>
          </w:tcPr>
          <w:p w14:paraId="208F478C" w14:textId="77777777" w:rsidR="00E370FF" w:rsidRPr="00493778" w:rsidRDefault="00E370FF" w:rsidP="00E72162">
            <w:pPr>
              <w:rPr>
                <w:rFonts w:cstheme="minorHAnsi"/>
                <w:bCs/>
                <w:sz w:val="22"/>
                <w:szCs w:val="22"/>
              </w:rPr>
            </w:pPr>
            <w:r>
              <w:rPr>
                <w:rFonts w:cstheme="minorHAnsi"/>
                <w:bCs/>
                <w:sz w:val="22"/>
                <w:szCs w:val="22"/>
              </w:rPr>
              <w:t>Urban</w:t>
            </w:r>
          </w:p>
        </w:tc>
        <w:tc>
          <w:tcPr>
            <w:tcW w:w="1980" w:type="dxa"/>
          </w:tcPr>
          <w:p w14:paraId="33B87B22" w14:textId="77777777" w:rsidR="00E370FF" w:rsidRPr="00493778" w:rsidRDefault="00E370FF" w:rsidP="00E72162">
            <w:pPr>
              <w:rPr>
                <w:rFonts w:cstheme="minorHAnsi"/>
                <w:bCs/>
                <w:sz w:val="22"/>
                <w:szCs w:val="22"/>
              </w:rPr>
            </w:pPr>
            <w:r w:rsidRPr="00493778">
              <w:rPr>
                <w:rFonts w:cstheme="minorHAnsi"/>
                <w:bCs/>
                <w:sz w:val="22"/>
                <w:szCs w:val="22"/>
              </w:rPr>
              <w:t xml:space="preserve">Cascadia Health </w:t>
            </w:r>
          </w:p>
        </w:tc>
        <w:tc>
          <w:tcPr>
            <w:tcW w:w="1440" w:type="dxa"/>
          </w:tcPr>
          <w:p w14:paraId="4758A6CF" w14:textId="77777777" w:rsidR="00E370FF" w:rsidRDefault="00E370FF" w:rsidP="00E72162">
            <w:pPr>
              <w:rPr>
                <w:rFonts w:cstheme="minorHAnsi"/>
                <w:bCs/>
                <w:sz w:val="22"/>
                <w:szCs w:val="22"/>
              </w:rPr>
            </w:pPr>
            <w:r w:rsidRPr="00493778">
              <w:rPr>
                <w:rFonts w:cstheme="minorHAnsi"/>
                <w:bCs/>
                <w:sz w:val="22"/>
                <w:szCs w:val="22"/>
              </w:rPr>
              <w:t xml:space="preserve">Portland </w:t>
            </w:r>
          </w:p>
          <w:p w14:paraId="2F043CC6" w14:textId="77777777" w:rsidR="00E370FF" w:rsidRPr="00493778" w:rsidRDefault="00E370FF" w:rsidP="00E72162">
            <w:pPr>
              <w:rPr>
                <w:rFonts w:cstheme="minorHAnsi"/>
                <w:bCs/>
                <w:sz w:val="22"/>
                <w:szCs w:val="22"/>
              </w:rPr>
            </w:pPr>
            <w:r>
              <w:rPr>
                <w:rFonts w:cstheme="minorHAnsi"/>
                <w:bCs/>
                <w:sz w:val="22"/>
                <w:szCs w:val="22"/>
              </w:rPr>
              <w:t>(3 sites)</w:t>
            </w:r>
          </w:p>
        </w:tc>
        <w:tc>
          <w:tcPr>
            <w:tcW w:w="1350" w:type="dxa"/>
          </w:tcPr>
          <w:p w14:paraId="509C4F25" w14:textId="77777777" w:rsidR="00E370FF" w:rsidRPr="00493778" w:rsidRDefault="00E370FF" w:rsidP="00E72162">
            <w:pPr>
              <w:rPr>
                <w:rFonts w:cstheme="minorHAnsi"/>
                <w:bCs/>
                <w:sz w:val="22"/>
                <w:szCs w:val="22"/>
              </w:rPr>
            </w:pPr>
            <w:r w:rsidRPr="00493778">
              <w:rPr>
                <w:rFonts w:cstheme="minorHAnsi"/>
                <w:bCs/>
                <w:sz w:val="22"/>
                <w:szCs w:val="22"/>
              </w:rPr>
              <w:t>Multnomah</w:t>
            </w:r>
          </w:p>
        </w:tc>
        <w:tc>
          <w:tcPr>
            <w:tcW w:w="1710" w:type="dxa"/>
          </w:tcPr>
          <w:p w14:paraId="179528C4" w14:textId="77777777" w:rsidR="00E370FF" w:rsidRPr="00493778" w:rsidRDefault="00E370FF" w:rsidP="00E72162">
            <w:pPr>
              <w:rPr>
                <w:rFonts w:cstheme="minorHAnsi"/>
                <w:bCs/>
                <w:sz w:val="22"/>
                <w:szCs w:val="22"/>
              </w:rPr>
            </w:pPr>
            <w:r w:rsidRPr="00493778">
              <w:rPr>
                <w:rFonts w:cstheme="minorHAnsi"/>
                <w:bCs/>
                <w:sz w:val="22"/>
                <w:szCs w:val="22"/>
              </w:rPr>
              <w:t>HealthShare of Oregon; Trillium Community Health Plan</w:t>
            </w:r>
          </w:p>
        </w:tc>
        <w:tc>
          <w:tcPr>
            <w:tcW w:w="1440" w:type="dxa"/>
          </w:tcPr>
          <w:p w14:paraId="5049B760"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70BE2FFE" w14:textId="77777777" w:rsidTr="00B738C1">
        <w:tc>
          <w:tcPr>
            <w:tcW w:w="630" w:type="dxa"/>
          </w:tcPr>
          <w:p w14:paraId="7FFBE19D" w14:textId="77777777" w:rsidR="00E370FF" w:rsidRPr="00493778" w:rsidRDefault="00E370FF" w:rsidP="00E72162">
            <w:pPr>
              <w:jc w:val="center"/>
              <w:rPr>
                <w:rFonts w:cstheme="minorHAnsi"/>
                <w:bCs/>
                <w:sz w:val="22"/>
                <w:szCs w:val="22"/>
              </w:rPr>
            </w:pPr>
            <w:r>
              <w:rPr>
                <w:rFonts w:cstheme="minorHAnsi"/>
                <w:bCs/>
                <w:sz w:val="22"/>
                <w:szCs w:val="22"/>
              </w:rPr>
              <w:t>2</w:t>
            </w:r>
          </w:p>
        </w:tc>
        <w:tc>
          <w:tcPr>
            <w:tcW w:w="990" w:type="dxa"/>
            <w:shd w:val="clear" w:color="auto" w:fill="EBBBB6"/>
          </w:tcPr>
          <w:p w14:paraId="7D0B2EA8"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3109CF27" w14:textId="77777777" w:rsidR="00E370FF" w:rsidRPr="00493778" w:rsidRDefault="00E370FF" w:rsidP="00E72162">
            <w:pPr>
              <w:rPr>
                <w:rFonts w:cstheme="minorHAnsi"/>
                <w:bCs/>
                <w:sz w:val="22"/>
                <w:szCs w:val="22"/>
              </w:rPr>
            </w:pPr>
            <w:r w:rsidRPr="00493778">
              <w:rPr>
                <w:rFonts w:cstheme="minorHAnsi"/>
                <w:bCs/>
                <w:sz w:val="22"/>
                <w:szCs w:val="22"/>
              </w:rPr>
              <w:t>Columbia Community Mental Health</w:t>
            </w:r>
            <w:r>
              <w:rPr>
                <w:rFonts w:cstheme="minorHAnsi"/>
                <w:bCs/>
                <w:sz w:val="22"/>
                <w:szCs w:val="22"/>
              </w:rPr>
              <w:t xml:space="preserve"> *</w:t>
            </w:r>
          </w:p>
        </w:tc>
        <w:tc>
          <w:tcPr>
            <w:tcW w:w="1440" w:type="dxa"/>
          </w:tcPr>
          <w:p w14:paraId="605CE934" w14:textId="77777777" w:rsidR="00E370FF" w:rsidRPr="00493778" w:rsidRDefault="00E370FF" w:rsidP="00E72162">
            <w:pPr>
              <w:rPr>
                <w:rFonts w:cstheme="minorHAnsi"/>
                <w:bCs/>
                <w:sz w:val="22"/>
                <w:szCs w:val="22"/>
              </w:rPr>
            </w:pPr>
            <w:r w:rsidRPr="00493778">
              <w:rPr>
                <w:rFonts w:cstheme="minorHAnsi"/>
                <w:bCs/>
                <w:sz w:val="22"/>
                <w:szCs w:val="22"/>
              </w:rPr>
              <w:t>St. Helens</w:t>
            </w:r>
          </w:p>
        </w:tc>
        <w:tc>
          <w:tcPr>
            <w:tcW w:w="1350" w:type="dxa"/>
          </w:tcPr>
          <w:p w14:paraId="676B4827" w14:textId="77777777" w:rsidR="00E370FF" w:rsidRPr="00493778" w:rsidRDefault="00E370FF" w:rsidP="00E72162">
            <w:pPr>
              <w:rPr>
                <w:rFonts w:cstheme="minorHAnsi"/>
                <w:bCs/>
                <w:sz w:val="22"/>
                <w:szCs w:val="22"/>
              </w:rPr>
            </w:pPr>
            <w:r w:rsidRPr="00493778">
              <w:rPr>
                <w:rFonts w:cstheme="minorHAnsi"/>
                <w:bCs/>
                <w:sz w:val="22"/>
                <w:szCs w:val="22"/>
              </w:rPr>
              <w:t>Columbia</w:t>
            </w:r>
          </w:p>
        </w:tc>
        <w:tc>
          <w:tcPr>
            <w:tcW w:w="1710" w:type="dxa"/>
          </w:tcPr>
          <w:p w14:paraId="19BBFF53" w14:textId="77777777" w:rsidR="00E370FF" w:rsidRPr="00493778" w:rsidRDefault="00E370FF" w:rsidP="00E72162">
            <w:pPr>
              <w:rPr>
                <w:rFonts w:cstheme="minorHAnsi"/>
                <w:bCs/>
                <w:sz w:val="22"/>
                <w:szCs w:val="22"/>
              </w:rPr>
            </w:pPr>
            <w:r w:rsidRPr="00493778">
              <w:rPr>
                <w:rFonts w:cstheme="minorHAnsi"/>
                <w:bCs/>
                <w:sz w:val="22"/>
                <w:szCs w:val="22"/>
              </w:rPr>
              <w:t>Columbia Pacific CCO</w:t>
            </w:r>
          </w:p>
        </w:tc>
        <w:tc>
          <w:tcPr>
            <w:tcW w:w="1440" w:type="dxa"/>
          </w:tcPr>
          <w:p w14:paraId="5C3ECFFE"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51DC4106" w14:textId="77777777" w:rsidTr="00B738C1">
        <w:tc>
          <w:tcPr>
            <w:tcW w:w="630" w:type="dxa"/>
          </w:tcPr>
          <w:p w14:paraId="4B44129E" w14:textId="77777777" w:rsidR="00E370FF" w:rsidRPr="00493778" w:rsidRDefault="00E370FF" w:rsidP="00E72162">
            <w:pPr>
              <w:jc w:val="center"/>
              <w:rPr>
                <w:rFonts w:cstheme="minorHAnsi"/>
                <w:bCs/>
                <w:sz w:val="22"/>
                <w:szCs w:val="22"/>
              </w:rPr>
            </w:pPr>
            <w:r>
              <w:rPr>
                <w:rFonts w:cstheme="minorHAnsi"/>
                <w:bCs/>
                <w:sz w:val="22"/>
                <w:szCs w:val="22"/>
              </w:rPr>
              <w:t>3</w:t>
            </w:r>
          </w:p>
        </w:tc>
        <w:tc>
          <w:tcPr>
            <w:tcW w:w="990" w:type="dxa"/>
            <w:shd w:val="clear" w:color="auto" w:fill="ED7972"/>
          </w:tcPr>
          <w:p w14:paraId="0D8B0E3E" w14:textId="77777777" w:rsidR="00E370FF" w:rsidRPr="00493778" w:rsidRDefault="00E370FF" w:rsidP="00E72162">
            <w:pPr>
              <w:rPr>
                <w:rFonts w:cstheme="minorHAnsi"/>
                <w:bCs/>
                <w:sz w:val="22"/>
                <w:szCs w:val="22"/>
              </w:rPr>
            </w:pPr>
            <w:r>
              <w:rPr>
                <w:rFonts w:cstheme="minorHAnsi"/>
                <w:bCs/>
                <w:sz w:val="22"/>
                <w:szCs w:val="22"/>
              </w:rPr>
              <w:t>Remote</w:t>
            </w:r>
          </w:p>
        </w:tc>
        <w:tc>
          <w:tcPr>
            <w:tcW w:w="1980" w:type="dxa"/>
          </w:tcPr>
          <w:p w14:paraId="2AAE2802" w14:textId="77777777" w:rsidR="00E370FF" w:rsidRPr="00493778" w:rsidRDefault="00E370FF" w:rsidP="00E72162">
            <w:pPr>
              <w:rPr>
                <w:rFonts w:cstheme="minorHAnsi"/>
                <w:bCs/>
                <w:sz w:val="22"/>
                <w:szCs w:val="22"/>
              </w:rPr>
            </w:pPr>
            <w:r w:rsidRPr="00493778">
              <w:rPr>
                <w:rFonts w:cstheme="minorHAnsi"/>
                <w:bCs/>
                <w:sz w:val="22"/>
                <w:szCs w:val="22"/>
              </w:rPr>
              <w:t>Community Counseling Solutions</w:t>
            </w:r>
            <w:r>
              <w:rPr>
                <w:rFonts w:cstheme="minorHAnsi"/>
                <w:bCs/>
                <w:sz w:val="22"/>
                <w:szCs w:val="22"/>
              </w:rPr>
              <w:t xml:space="preserve"> *</w:t>
            </w:r>
          </w:p>
        </w:tc>
        <w:tc>
          <w:tcPr>
            <w:tcW w:w="1440" w:type="dxa"/>
          </w:tcPr>
          <w:p w14:paraId="76419324" w14:textId="77777777" w:rsidR="00E370FF" w:rsidRPr="00493778" w:rsidRDefault="00E370FF" w:rsidP="00E72162">
            <w:pPr>
              <w:rPr>
                <w:rFonts w:cstheme="minorHAnsi"/>
                <w:bCs/>
                <w:sz w:val="22"/>
                <w:szCs w:val="22"/>
              </w:rPr>
            </w:pPr>
            <w:r w:rsidRPr="00493778">
              <w:rPr>
                <w:rFonts w:cstheme="minorHAnsi"/>
                <w:bCs/>
                <w:sz w:val="22"/>
                <w:szCs w:val="22"/>
              </w:rPr>
              <w:t>John Day</w:t>
            </w:r>
          </w:p>
        </w:tc>
        <w:tc>
          <w:tcPr>
            <w:tcW w:w="1350" w:type="dxa"/>
          </w:tcPr>
          <w:p w14:paraId="4CB6B1AE" w14:textId="77777777" w:rsidR="00E370FF" w:rsidRPr="00493778" w:rsidRDefault="00E370FF" w:rsidP="00E72162">
            <w:pPr>
              <w:rPr>
                <w:rFonts w:cstheme="minorHAnsi"/>
                <w:bCs/>
                <w:sz w:val="22"/>
                <w:szCs w:val="22"/>
              </w:rPr>
            </w:pPr>
            <w:r w:rsidRPr="00493778">
              <w:rPr>
                <w:rFonts w:cstheme="minorHAnsi"/>
                <w:bCs/>
                <w:sz w:val="22"/>
                <w:szCs w:val="22"/>
              </w:rPr>
              <w:t>Grant</w:t>
            </w:r>
          </w:p>
        </w:tc>
        <w:tc>
          <w:tcPr>
            <w:tcW w:w="1710" w:type="dxa"/>
          </w:tcPr>
          <w:p w14:paraId="17CB45BE" w14:textId="77777777" w:rsidR="00E370FF" w:rsidRPr="00493778" w:rsidRDefault="00E370FF" w:rsidP="00E72162">
            <w:pPr>
              <w:rPr>
                <w:rFonts w:cstheme="minorHAnsi"/>
                <w:bCs/>
                <w:sz w:val="22"/>
                <w:szCs w:val="22"/>
              </w:rPr>
            </w:pPr>
            <w:r w:rsidRPr="00493778">
              <w:rPr>
                <w:rFonts w:cstheme="minorHAnsi"/>
                <w:bCs/>
                <w:sz w:val="22"/>
                <w:szCs w:val="22"/>
              </w:rPr>
              <w:t>Eastern Oregon Coordinated Care Organization</w:t>
            </w:r>
          </w:p>
        </w:tc>
        <w:tc>
          <w:tcPr>
            <w:tcW w:w="1440" w:type="dxa"/>
          </w:tcPr>
          <w:p w14:paraId="6C3F4238" w14:textId="77777777" w:rsidR="00E370FF" w:rsidRPr="00493778" w:rsidRDefault="00E370FF" w:rsidP="00E72162">
            <w:pPr>
              <w:rPr>
                <w:rFonts w:cstheme="minorHAnsi"/>
                <w:bCs/>
                <w:sz w:val="22"/>
                <w:szCs w:val="22"/>
              </w:rPr>
            </w:pPr>
            <w:r w:rsidRPr="00493778">
              <w:rPr>
                <w:rFonts w:cstheme="minorHAnsi"/>
                <w:bCs/>
                <w:sz w:val="22"/>
                <w:szCs w:val="22"/>
              </w:rPr>
              <w:t xml:space="preserve">Exited </w:t>
            </w:r>
            <w:r>
              <w:rPr>
                <w:rFonts w:cstheme="minorHAnsi"/>
                <w:bCs/>
                <w:sz w:val="22"/>
                <w:szCs w:val="22"/>
              </w:rPr>
              <w:t>6/30/2019</w:t>
            </w:r>
            <w:r w:rsidRPr="00493778">
              <w:rPr>
                <w:rFonts w:cstheme="minorHAnsi"/>
                <w:bCs/>
                <w:sz w:val="22"/>
                <w:szCs w:val="22"/>
              </w:rPr>
              <w:t xml:space="preserve">; returned </w:t>
            </w:r>
            <w:r>
              <w:rPr>
                <w:rFonts w:cstheme="minorHAnsi"/>
                <w:bCs/>
                <w:sz w:val="22"/>
                <w:szCs w:val="22"/>
              </w:rPr>
              <w:t>6/1/</w:t>
            </w:r>
            <w:r w:rsidRPr="00493778">
              <w:rPr>
                <w:rFonts w:cstheme="minorHAnsi"/>
                <w:bCs/>
                <w:sz w:val="22"/>
                <w:szCs w:val="22"/>
              </w:rPr>
              <w:t>2022</w:t>
            </w:r>
          </w:p>
        </w:tc>
      </w:tr>
      <w:tr w:rsidR="00E370FF" w:rsidRPr="00493778" w14:paraId="19358043" w14:textId="77777777" w:rsidTr="00B738C1">
        <w:tc>
          <w:tcPr>
            <w:tcW w:w="630" w:type="dxa"/>
          </w:tcPr>
          <w:p w14:paraId="09B76590" w14:textId="77777777" w:rsidR="00E370FF" w:rsidRPr="00493778" w:rsidRDefault="00E370FF" w:rsidP="00E72162">
            <w:pPr>
              <w:jc w:val="center"/>
              <w:rPr>
                <w:rFonts w:cstheme="minorHAnsi"/>
                <w:bCs/>
                <w:sz w:val="22"/>
                <w:szCs w:val="22"/>
              </w:rPr>
            </w:pPr>
            <w:r>
              <w:rPr>
                <w:rFonts w:cstheme="minorHAnsi"/>
                <w:bCs/>
                <w:sz w:val="22"/>
                <w:szCs w:val="22"/>
              </w:rPr>
              <w:t>4</w:t>
            </w:r>
          </w:p>
        </w:tc>
        <w:tc>
          <w:tcPr>
            <w:tcW w:w="990" w:type="dxa"/>
            <w:shd w:val="clear" w:color="auto" w:fill="81ACD7"/>
          </w:tcPr>
          <w:p w14:paraId="5BC00BBE" w14:textId="77777777" w:rsidR="00E370FF" w:rsidRPr="00493778" w:rsidRDefault="00E370FF" w:rsidP="00E72162">
            <w:pPr>
              <w:rPr>
                <w:rFonts w:cstheme="minorHAnsi"/>
                <w:bCs/>
                <w:sz w:val="22"/>
                <w:szCs w:val="22"/>
              </w:rPr>
            </w:pPr>
            <w:r>
              <w:rPr>
                <w:rFonts w:cstheme="minorHAnsi"/>
                <w:bCs/>
                <w:sz w:val="22"/>
                <w:szCs w:val="22"/>
              </w:rPr>
              <w:t>Urban</w:t>
            </w:r>
          </w:p>
        </w:tc>
        <w:tc>
          <w:tcPr>
            <w:tcW w:w="1980" w:type="dxa"/>
          </w:tcPr>
          <w:p w14:paraId="718F6E55" w14:textId="77777777" w:rsidR="00E370FF" w:rsidRPr="00493778" w:rsidRDefault="00E370FF" w:rsidP="00E72162">
            <w:pPr>
              <w:rPr>
                <w:rFonts w:cstheme="minorHAnsi"/>
                <w:bCs/>
                <w:sz w:val="22"/>
                <w:szCs w:val="22"/>
              </w:rPr>
            </w:pPr>
            <w:r w:rsidRPr="00493778">
              <w:rPr>
                <w:rFonts w:cstheme="minorHAnsi"/>
                <w:bCs/>
                <w:sz w:val="22"/>
                <w:szCs w:val="22"/>
              </w:rPr>
              <w:t>Deschutes County Health Services</w:t>
            </w:r>
            <w:r>
              <w:rPr>
                <w:rFonts w:cstheme="minorHAnsi"/>
                <w:bCs/>
                <w:sz w:val="22"/>
                <w:szCs w:val="22"/>
              </w:rPr>
              <w:t xml:space="preserve"> *</w:t>
            </w:r>
          </w:p>
        </w:tc>
        <w:tc>
          <w:tcPr>
            <w:tcW w:w="1440" w:type="dxa"/>
          </w:tcPr>
          <w:p w14:paraId="2688ABD1" w14:textId="77777777" w:rsidR="00E370FF" w:rsidRDefault="00E370FF" w:rsidP="00E72162">
            <w:pPr>
              <w:rPr>
                <w:rFonts w:cstheme="minorHAnsi"/>
                <w:bCs/>
                <w:sz w:val="22"/>
                <w:szCs w:val="22"/>
              </w:rPr>
            </w:pPr>
            <w:r w:rsidRPr="00493778">
              <w:rPr>
                <w:rFonts w:cstheme="minorHAnsi"/>
                <w:bCs/>
                <w:sz w:val="22"/>
                <w:szCs w:val="22"/>
              </w:rPr>
              <w:t>Bend</w:t>
            </w:r>
            <w:r>
              <w:rPr>
                <w:rFonts w:cstheme="minorHAnsi"/>
                <w:bCs/>
                <w:sz w:val="22"/>
                <w:szCs w:val="22"/>
              </w:rPr>
              <w:t xml:space="preserve"> </w:t>
            </w:r>
          </w:p>
          <w:p w14:paraId="64342AFE" w14:textId="77777777" w:rsidR="00E370FF" w:rsidRPr="00493778" w:rsidRDefault="00E370FF" w:rsidP="00E72162">
            <w:pPr>
              <w:rPr>
                <w:rFonts w:cstheme="minorHAnsi"/>
                <w:bCs/>
                <w:sz w:val="22"/>
                <w:szCs w:val="22"/>
              </w:rPr>
            </w:pPr>
            <w:r>
              <w:rPr>
                <w:rFonts w:cstheme="minorHAnsi"/>
                <w:bCs/>
                <w:sz w:val="22"/>
                <w:szCs w:val="22"/>
              </w:rPr>
              <w:t>(2 sites)</w:t>
            </w:r>
          </w:p>
        </w:tc>
        <w:tc>
          <w:tcPr>
            <w:tcW w:w="1350" w:type="dxa"/>
          </w:tcPr>
          <w:p w14:paraId="406249B6" w14:textId="77777777" w:rsidR="00E370FF" w:rsidRPr="00493778" w:rsidRDefault="00E370FF" w:rsidP="00E72162">
            <w:pPr>
              <w:rPr>
                <w:rFonts w:cstheme="minorHAnsi"/>
                <w:bCs/>
                <w:sz w:val="22"/>
                <w:szCs w:val="22"/>
              </w:rPr>
            </w:pPr>
            <w:r w:rsidRPr="00493778">
              <w:rPr>
                <w:rFonts w:cstheme="minorHAnsi"/>
                <w:bCs/>
                <w:sz w:val="22"/>
                <w:szCs w:val="22"/>
              </w:rPr>
              <w:t>Deschutes</w:t>
            </w:r>
          </w:p>
        </w:tc>
        <w:tc>
          <w:tcPr>
            <w:tcW w:w="1710" w:type="dxa"/>
          </w:tcPr>
          <w:p w14:paraId="15B29320" w14:textId="77777777" w:rsidR="00E370FF" w:rsidRPr="00493778" w:rsidRDefault="00E370FF" w:rsidP="00E72162">
            <w:pPr>
              <w:rPr>
                <w:rFonts w:cstheme="minorHAnsi"/>
                <w:bCs/>
                <w:sz w:val="22"/>
                <w:szCs w:val="22"/>
              </w:rPr>
            </w:pPr>
            <w:r w:rsidRPr="00493778">
              <w:rPr>
                <w:rFonts w:cstheme="minorHAnsi"/>
                <w:bCs/>
                <w:sz w:val="22"/>
                <w:szCs w:val="22"/>
              </w:rPr>
              <w:t>PacificSource Community Solutions: Central Oregon</w:t>
            </w:r>
          </w:p>
        </w:tc>
        <w:tc>
          <w:tcPr>
            <w:tcW w:w="1440" w:type="dxa"/>
          </w:tcPr>
          <w:p w14:paraId="7EC2FB74"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318ED9D4" w14:textId="77777777" w:rsidTr="00B738C1">
        <w:tc>
          <w:tcPr>
            <w:tcW w:w="630" w:type="dxa"/>
          </w:tcPr>
          <w:p w14:paraId="34864C34" w14:textId="77777777" w:rsidR="00E370FF" w:rsidRPr="00493778" w:rsidRDefault="00E370FF" w:rsidP="00E72162">
            <w:pPr>
              <w:jc w:val="center"/>
              <w:rPr>
                <w:rFonts w:cstheme="minorHAnsi"/>
                <w:bCs/>
                <w:sz w:val="22"/>
                <w:szCs w:val="22"/>
              </w:rPr>
            </w:pPr>
            <w:r>
              <w:rPr>
                <w:rFonts w:cstheme="minorHAnsi"/>
                <w:bCs/>
                <w:sz w:val="22"/>
                <w:szCs w:val="22"/>
              </w:rPr>
              <w:t>4</w:t>
            </w:r>
          </w:p>
        </w:tc>
        <w:tc>
          <w:tcPr>
            <w:tcW w:w="990" w:type="dxa"/>
            <w:shd w:val="clear" w:color="auto" w:fill="EBBBB6"/>
          </w:tcPr>
          <w:p w14:paraId="1F2633C5"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179CCDFB" w14:textId="77777777" w:rsidR="00E370FF" w:rsidRPr="00493778" w:rsidRDefault="00E370FF" w:rsidP="00E72162">
            <w:pPr>
              <w:rPr>
                <w:rFonts w:cstheme="minorHAnsi"/>
                <w:bCs/>
                <w:sz w:val="22"/>
                <w:szCs w:val="22"/>
              </w:rPr>
            </w:pPr>
            <w:r w:rsidRPr="00493778">
              <w:rPr>
                <w:rFonts w:cstheme="minorHAnsi"/>
                <w:bCs/>
                <w:sz w:val="22"/>
                <w:szCs w:val="22"/>
              </w:rPr>
              <w:t>Deschutes County Health Services</w:t>
            </w:r>
            <w:r>
              <w:rPr>
                <w:rFonts w:cstheme="minorHAnsi"/>
                <w:bCs/>
                <w:sz w:val="22"/>
                <w:szCs w:val="22"/>
              </w:rPr>
              <w:t xml:space="preserve"> *</w:t>
            </w:r>
          </w:p>
        </w:tc>
        <w:tc>
          <w:tcPr>
            <w:tcW w:w="1440" w:type="dxa"/>
          </w:tcPr>
          <w:p w14:paraId="7596DF9C" w14:textId="77777777" w:rsidR="00E370FF" w:rsidRPr="00493778" w:rsidRDefault="00E370FF" w:rsidP="00E72162">
            <w:pPr>
              <w:rPr>
                <w:rFonts w:cstheme="minorHAnsi"/>
                <w:bCs/>
                <w:sz w:val="22"/>
                <w:szCs w:val="22"/>
              </w:rPr>
            </w:pPr>
            <w:r>
              <w:rPr>
                <w:rFonts w:cstheme="minorHAnsi"/>
                <w:bCs/>
                <w:sz w:val="22"/>
                <w:szCs w:val="22"/>
              </w:rPr>
              <w:t>La Pine, Redmond</w:t>
            </w:r>
          </w:p>
        </w:tc>
        <w:tc>
          <w:tcPr>
            <w:tcW w:w="1350" w:type="dxa"/>
          </w:tcPr>
          <w:p w14:paraId="380D642D" w14:textId="77777777" w:rsidR="00E370FF" w:rsidRPr="00493778" w:rsidRDefault="00E370FF" w:rsidP="00E72162">
            <w:pPr>
              <w:rPr>
                <w:rFonts w:cstheme="minorHAnsi"/>
                <w:bCs/>
                <w:sz w:val="22"/>
                <w:szCs w:val="22"/>
              </w:rPr>
            </w:pPr>
            <w:r w:rsidRPr="00493778">
              <w:rPr>
                <w:rFonts w:cstheme="minorHAnsi"/>
                <w:bCs/>
                <w:sz w:val="22"/>
                <w:szCs w:val="22"/>
              </w:rPr>
              <w:t>Deschutes</w:t>
            </w:r>
          </w:p>
        </w:tc>
        <w:tc>
          <w:tcPr>
            <w:tcW w:w="1710" w:type="dxa"/>
          </w:tcPr>
          <w:p w14:paraId="74C8D99A" w14:textId="77777777" w:rsidR="00E370FF" w:rsidRPr="00493778" w:rsidRDefault="00E370FF" w:rsidP="00E72162">
            <w:pPr>
              <w:rPr>
                <w:rFonts w:cstheme="minorHAnsi"/>
                <w:bCs/>
                <w:sz w:val="22"/>
                <w:szCs w:val="22"/>
              </w:rPr>
            </w:pPr>
            <w:r w:rsidRPr="00493778">
              <w:rPr>
                <w:rFonts w:cstheme="minorHAnsi"/>
                <w:bCs/>
                <w:sz w:val="22"/>
                <w:szCs w:val="22"/>
              </w:rPr>
              <w:t>PacificSource Community Solutions: Central Oregon</w:t>
            </w:r>
          </w:p>
        </w:tc>
        <w:tc>
          <w:tcPr>
            <w:tcW w:w="1440" w:type="dxa"/>
          </w:tcPr>
          <w:p w14:paraId="5850DF2E" w14:textId="77777777" w:rsidR="00E370FF" w:rsidRPr="00493778" w:rsidRDefault="00E370FF" w:rsidP="00E72162">
            <w:pPr>
              <w:rPr>
                <w:rFonts w:cstheme="minorHAnsi"/>
                <w:bCs/>
                <w:sz w:val="22"/>
                <w:szCs w:val="22"/>
              </w:rPr>
            </w:pPr>
            <w:r>
              <w:rPr>
                <w:rFonts w:cstheme="minorHAnsi"/>
                <w:bCs/>
                <w:sz w:val="22"/>
                <w:szCs w:val="22"/>
              </w:rPr>
              <w:t>Continuing</w:t>
            </w:r>
          </w:p>
        </w:tc>
      </w:tr>
      <w:tr w:rsidR="00E370FF" w:rsidRPr="00493778" w14:paraId="3EB94C99" w14:textId="77777777" w:rsidTr="00B738C1">
        <w:tc>
          <w:tcPr>
            <w:tcW w:w="630" w:type="dxa"/>
          </w:tcPr>
          <w:p w14:paraId="504765FE" w14:textId="77777777" w:rsidR="00E370FF" w:rsidRPr="00493778" w:rsidRDefault="00E370FF" w:rsidP="00E72162">
            <w:pPr>
              <w:jc w:val="center"/>
              <w:rPr>
                <w:rFonts w:cstheme="minorHAnsi"/>
                <w:bCs/>
                <w:sz w:val="22"/>
                <w:szCs w:val="22"/>
              </w:rPr>
            </w:pPr>
            <w:r>
              <w:rPr>
                <w:rFonts w:cstheme="minorHAnsi"/>
                <w:bCs/>
                <w:sz w:val="22"/>
                <w:szCs w:val="22"/>
              </w:rPr>
              <w:t>5</w:t>
            </w:r>
          </w:p>
        </w:tc>
        <w:tc>
          <w:tcPr>
            <w:tcW w:w="990" w:type="dxa"/>
            <w:shd w:val="clear" w:color="auto" w:fill="EBBBB6"/>
          </w:tcPr>
          <w:p w14:paraId="5E20A227"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24F9AD0D" w14:textId="77777777" w:rsidR="00E370FF" w:rsidRPr="00493778" w:rsidRDefault="00E370FF" w:rsidP="00E72162">
            <w:pPr>
              <w:rPr>
                <w:rFonts w:cstheme="minorHAnsi"/>
                <w:bCs/>
                <w:sz w:val="22"/>
                <w:szCs w:val="22"/>
              </w:rPr>
            </w:pPr>
            <w:r w:rsidRPr="00493778">
              <w:rPr>
                <w:rFonts w:cstheme="minorHAnsi"/>
                <w:bCs/>
                <w:sz w:val="22"/>
                <w:szCs w:val="22"/>
              </w:rPr>
              <w:t>Klamath Child and Family Treatment Center</w:t>
            </w:r>
            <w:r>
              <w:rPr>
                <w:rFonts w:cstheme="minorHAnsi"/>
                <w:bCs/>
                <w:sz w:val="22"/>
                <w:szCs w:val="22"/>
              </w:rPr>
              <w:t xml:space="preserve"> *</w:t>
            </w:r>
            <w:r w:rsidRPr="00493778">
              <w:rPr>
                <w:rFonts w:cstheme="minorHAnsi"/>
                <w:bCs/>
                <w:sz w:val="22"/>
                <w:szCs w:val="22"/>
              </w:rPr>
              <w:t xml:space="preserve"> </w:t>
            </w:r>
            <w:r>
              <w:rPr>
                <w:rFonts w:cstheme="minorHAnsi"/>
                <w:bCs/>
                <w:sz w:val="22"/>
                <w:szCs w:val="22"/>
              </w:rPr>
              <w:t>(DBA</w:t>
            </w:r>
            <w:r w:rsidRPr="00493778">
              <w:rPr>
                <w:rFonts w:cstheme="minorHAnsi"/>
                <w:bCs/>
                <w:sz w:val="22"/>
                <w:szCs w:val="22"/>
              </w:rPr>
              <w:t xml:space="preserve"> Klamath Basin Behavioral Health</w:t>
            </w:r>
            <w:r>
              <w:rPr>
                <w:rFonts w:cstheme="minorHAnsi"/>
                <w:bCs/>
                <w:sz w:val="22"/>
                <w:szCs w:val="22"/>
              </w:rPr>
              <w:t xml:space="preserve">) </w:t>
            </w:r>
          </w:p>
        </w:tc>
        <w:tc>
          <w:tcPr>
            <w:tcW w:w="1440" w:type="dxa"/>
          </w:tcPr>
          <w:p w14:paraId="1970A15E" w14:textId="77777777" w:rsidR="00E370FF" w:rsidRPr="00493778" w:rsidRDefault="00E370FF" w:rsidP="00E72162">
            <w:pPr>
              <w:rPr>
                <w:rFonts w:cstheme="minorHAnsi"/>
                <w:bCs/>
                <w:sz w:val="22"/>
                <w:szCs w:val="22"/>
              </w:rPr>
            </w:pPr>
            <w:r w:rsidRPr="00493778">
              <w:rPr>
                <w:rFonts w:cstheme="minorHAnsi"/>
                <w:bCs/>
                <w:sz w:val="22"/>
                <w:szCs w:val="22"/>
              </w:rPr>
              <w:t>Klamath Falls</w:t>
            </w:r>
          </w:p>
        </w:tc>
        <w:tc>
          <w:tcPr>
            <w:tcW w:w="1350" w:type="dxa"/>
          </w:tcPr>
          <w:p w14:paraId="10EB5E3B" w14:textId="77777777" w:rsidR="00E370FF" w:rsidRPr="00493778" w:rsidRDefault="00E370FF" w:rsidP="00E72162">
            <w:pPr>
              <w:rPr>
                <w:rFonts w:cstheme="minorHAnsi"/>
                <w:bCs/>
                <w:sz w:val="22"/>
                <w:szCs w:val="22"/>
              </w:rPr>
            </w:pPr>
            <w:r w:rsidRPr="00493778">
              <w:rPr>
                <w:rFonts w:cstheme="minorHAnsi"/>
                <w:bCs/>
                <w:sz w:val="22"/>
                <w:szCs w:val="22"/>
              </w:rPr>
              <w:t>Klamath</w:t>
            </w:r>
          </w:p>
        </w:tc>
        <w:tc>
          <w:tcPr>
            <w:tcW w:w="1710" w:type="dxa"/>
          </w:tcPr>
          <w:p w14:paraId="308AB10F" w14:textId="77777777" w:rsidR="00E370FF" w:rsidRPr="00493778" w:rsidRDefault="00E370FF" w:rsidP="00E72162">
            <w:pPr>
              <w:rPr>
                <w:rFonts w:cstheme="minorHAnsi"/>
                <w:bCs/>
                <w:sz w:val="22"/>
                <w:szCs w:val="22"/>
              </w:rPr>
            </w:pPr>
            <w:r w:rsidRPr="00493778">
              <w:rPr>
                <w:rFonts w:cstheme="minorHAnsi"/>
                <w:bCs/>
                <w:sz w:val="22"/>
                <w:szCs w:val="22"/>
              </w:rPr>
              <w:t xml:space="preserve">Cascade Health Alliance </w:t>
            </w:r>
          </w:p>
        </w:tc>
        <w:tc>
          <w:tcPr>
            <w:tcW w:w="1440" w:type="dxa"/>
          </w:tcPr>
          <w:p w14:paraId="53B76C0F"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239CAC8E" w14:textId="77777777" w:rsidTr="00B738C1">
        <w:tc>
          <w:tcPr>
            <w:tcW w:w="630" w:type="dxa"/>
          </w:tcPr>
          <w:p w14:paraId="65BC588E" w14:textId="77777777" w:rsidR="00E370FF" w:rsidRPr="00493778" w:rsidRDefault="00E370FF" w:rsidP="00E72162">
            <w:pPr>
              <w:jc w:val="center"/>
              <w:rPr>
                <w:rFonts w:cstheme="minorHAnsi"/>
                <w:bCs/>
                <w:sz w:val="22"/>
                <w:szCs w:val="22"/>
              </w:rPr>
            </w:pPr>
            <w:r>
              <w:rPr>
                <w:rFonts w:cstheme="minorHAnsi"/>
                <w:bCs/>
                <w:sz w:val="22"/>
                <w:szCs w:val="22"/>
              </w:rPr>
              <w:t>6</w:t>
            </w:r>
          </w:p>
        </w:tc>
        <w:tc>
          <w:tcPr>
            <w:tcW w:w="990" w:type="dxa"/>
            <w:shd w:val="clear" w:color="auto" w:fill="81ACD7"/>
          </w:tcPr>
          <w:p w14:paraId="059E2AAA" w14:textId="77777777" w:rsidR="00E370FF" w:rsidRPr="00493778" w:rsidRDefault="00E370FF" w:rsidP="00E72162">
            <w:pPr>
              <w:rPr>
                <w:rFonts w:cstheme="minorHAnsi"/>
                <w:bCs/>
                <w:sz w:val="22"/>
                <w:szCs w:val="22"/>
              </w:rPr>
            </w:pPr>
            <w:r>
              <w:rPr>
                <w:rFonts w:cstheme="minorHAnsi"/>
                <w:bCs/>
                <w:sz w:val="22"/>
                <w:szCs w:val="22"/>
              </w:rPr>
              <w:t>Urban</w:t>
            </w:r>
          </w:p>
        </w:tc>
        <w:tc>
          <w:tcPr>
            <w:tcW w:w="1980" w:type="dxa"/>
          </w:tcPr>
          <w:p w14:paraId="1FD75E87" w14:textId="77777777" w:rsidR="00E370FF" w:rsidRPr="00493778" w:rsidRDefault="00E370FF" w:rsidP="00E72162">
            <w:pPr>
              <w:rPr>
                <w:rFonts w:cstheme="minorHAnsi"/>
                <w:bCs/>
                <w:sz w:val="22"/>
                <w:szCs w:val="22"/>
              </w:rPr>
            </w:pPr>
            <w:r w:rsidRPr="00493778">
              <w:rPr>
                <w:rFonts w:cstheme="minorHAnsi"/>
                <w:bCs/>
                <w:sz w:val="22"/>
                <w:szCs w:val="22"/>
              </w:rPr>
              <w:t>LifeWorks NW</w:t>
            </w:r>
          </w:p>
        </w:tc>
        <w:tc>
          <w:tcPr>
            <w:tcW w:w="1440" w:type="dxa"/>
          </w:tcPr>
          <w:p w14:paraId="24521F4F" w14:textId="77777777" w:rsidR="00E370FF" w:rsidRDefault="00E370FF" w:rsidP="00E72162">
            <w:pPr>
              <w:rPr>
                <w:rFonts w:cstheme="minorHAnsi"/>
                <w:bCs/>
                <w:sz w:val="22"/>
                <w:szCs w:val="22"/>
              </w:rPr>
            </w:pPr>
            <w:r w:rsidRPr="00493778">
              <w:rPr>
                <w:rFonts w:cstheme="minorHAnsi"/>
                <w:bCs/>
                <w:sz w:val="22"/>
                <w:szCs w:val="22"/>
              </w:rPr>
              <w:t>Beaverton, Hillsboro, Portland</w:t>
            </w:r>
            <w:r>
              <w:rPr>
                <w:rFonts w:cstheme="minorHAnsi"/>
                <w:bCs/>
                <w:sz w:val="22"/>
                <w:szCs w:val="22"/>
              </w:rPr>
              <w:t xml:space="preserve"> </w:t>
            </w:r>
          </w:p>
          <w:p w14:paraId="7D87F15D" w14:textId="77777777" w:rsidR="00E370FF" w:rsidRPr="00493778" w:rsidRDefault="00E370FF" w:rsidP="00E72162">
            <w:pPr>
              <w:rPr>
                <w:rFonts w:cstheme="minorHAnsi"/>
                <w:bCs/>
                <w:sz w:val="22"/>
                <w:szCs w:val="22"/>
              </w:rPr>
            </w:pPr>
            <w:r>
              <w:rPr>
                <w:rFonts w:cstheme="minorHAnsi"/>
                <w:bCs/>
                <w:sz w:val="22"/>
                <w:szCs w:val="22"/>
              </w:rPr>
              <w:t>(4 sites)</w:t>
            </w:r>
          </w:p>
        </w:tc>
        <w:tc>
          <w:tcPr>
            <w:tcW w:w="1350" w:type="dxa"/>
          </w:tcPr>
          <w:p w14:paraId="63436A8E" w14:textId="77777777" w:rsidR="00E370FF" w:rsidRPr="00493778" w:rsidRDefault="00E370FF" w:rsidP="00E72162">
            <w:pPr>
              <w:rPr>
                <w:rFonts w:cstheme="minorHAnsi"/>
                <w:bCs/>
                <w:sz w:val="22"/>
                <w:szCs w:val="22"/>
              </w:rPr>
            </w:pPr>
            <w:r w:rsidRPr="00493778">
              <w:rPr>
                <w:rFonts w:cstheme="minorHAnsi"/>
                <w:bCs/>
                <w:sz w:val="22"/>
                <w:szCs w:val="22"/>
              </w:rPr>
              <w:t>Multnomah, Washington</w:t>
            </w:r>
          </w:p>
        </w:tc>
        <w:tc>
          <w:tcPr>
            <w:tcW w:w="1710" w:type="dxa"/>
          </w:tcPr>
          <w:p w14:paraId="2C5BA779" w14:textId="77777777" w:rsidR="00E370FF" w:rsidRPr="00493778" w:rsidRDefault="00E370FF" w:rsidP="00E72162">
            <w:pPr>
              <w:rPr>
                <w:rFonts w:cstheme="minorHAnsi"/>
                <w:bCs/>
                <w:sz w:val="22"/>
                <w:szCs w:val="22"/>
              </w:rPr>
            </w:pPr>
            <w:r w:rsidRPr="00493778">
              <w:rPr>
                <w:rFonts w:cstheme="minorHAnsi"/>
                <w:bCs/>
                <w:sz w:val="22"/>
                <w:szCs w:val="22"/>
              </w:rPr>
              <w:t xml:space="preserve">HealthShare of Oregon; Trillium Community Health Plan; Yamhill Community Care </w:t>
            </w:r>
          </w:p>
        </w:tc>
        <w:tc>
          <w:tcPr>
            <w:tcW w:w="1440" w:type="dxa"/>
          </w:tcPr>
          <w:p w14:paraId="53349749"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42E68FE0" w14:textId="77777777" w:rsidTr="00B738C1">
        <w:tc>
          <w:tcPr>
            <w:tcW w:w="630" w:type="dxa"/>
          </w:tcPr>
          <w:p w14:paraId="4C947FAE" w14:textId="77777777" w:rsidR="00E370FF" w:rsidRPr="00493778" w:rsidRDefault="00E370FF" w:rsidP="00E72162">
            <w:pPr>
              <w:jc w:val="center"/>
              <w:rPr>
                <w:rFonts w:cstheme="minorHAnsi"/>
                <w:bCs/>
                <w:sz w:val="22"/>
                <w:szCs w:val="22"/>
              </w:rPr>
            </w:pPr>
            <w:r>
              <w:rPr>
                <w:rFonts w:cstheme="minorHAnsi"/>
                <w:bCs/>
                <w:sz w:val="22"/>
                <w:szCs w:val="22"/>
              </w:rPr>
              <w:t>7</w:t>
            </w:r>
          </w:p>
        </w:tc>
        <w:tc>
          <w:tcPr>
            <w:tcW w:w="990" w:type="dxa"/>
            <w:shd w:val="clear" w:color="auto" w:fill="EBBBB6"/>
          </w:tcPr>
          <w:p w14:paraId="77F3039C"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40DE69DD" w14:textId="77777777" w:rsidR="00E370FF" w:rsidRPr="00493778" w:rsidRDefault="00E370FF" w:rsidP="00E72162">
            <w:pPr>
              <w:rPr>
                <w:rFonts w:cstheme="minorHAnsi"/>
                <w:bCs/>
                <w:sz w:val="22"/>
                <w:szCs w:val="22"/>
              </w:rPr>
            </w:pPr>
            <w:r w:rsidRPr="00493778">
              <w:rPr>
                <w:rFonts w:cstheme="minorHAnsi"/>
                <w:bCs/>
                <w:sz w:val="22"/>
                <w:szCs w:val="22"/>
              </w:rPr>
              <w:t>Mid-Columbia Center for Living</w:t>
            </w:r>
            <w:r>
              <w:rPr>
                <w:rFonts w:cstheme="minorHAnsi"/>
                <w:bCs/>
                <w:sz w:val="22"/>
                <w:szCs w:val="22"/>
              </w:rPr>
              <w:t xml:space="preserve"> *</w:t>
            </w:r>
          </w:p>
        </w:tc>
        <w:tc>
          <w:tcPr>
            <w:tcW w:w="1440" w:type="dxa"/>
          </w:tcPr>
          <w:p w14:paraId="2F90163B" w14:textId="77777777" w:rsidR="00E370FF" w:rsidRPr="00493778" w:rsidRDefault="00E370FF" w:rsidP="00E72162">
            <w:pPr>
              <w:rPr>
                <w:rFonts w:cstheme="minorHAnsi"/>
                <w:bCs/>
                <w:sz w:val="22"/>
                <w:szCs w:val="22"/>
              </w:rPr>
            </w:pPr>
            <w:r w:rsidRPr="00493778">
              <w:rPr>
                <w:rFonts w:cstheme="minorHAnsi"/>
                <w:bCs/>
                <w:sz w:val="22"/>
                <w:szCs w:val="22"/>
              </w:rPr>
              <w:t>Hood River, The Dalles</w:t>
            </w:r>
          </w:p>
        </w:tc>
        <w:tc>
          <w:tcPr>
            <w:tcW w:w="1350" w:type="dxa"/>
          </w:tcPr>
          <w:p w14:paraId="45B1B232" w14:textId="77777777" w:rsidR="00E370FF" w:rsidRPr="00493778" w:rsidRDefault="00E370FF" w:rsidP="00E72162">
            <w:pPr>
              <w:rPr>
                <w:rFonts w:cstheme="minorHAnsi"/>
                <w:bCs/>
                <w:sz w:val="22"/>
                <w:szCs w:val="22"/>
              </w:rPr>
            </w:pPr>
            <w:r w:rsidRPr="00493778">
              <w:rPr>
                <w:rFonts w:cstheme="minorHAnsi"/>
                <w:bCs/>
                <w:sz w:val="22"/>
                <w:szCs w:val="22"/>
              </w:rPr>
              <w:t xml:space="preserve">Hood River, Wasco </w:t>
            </w:r>
          </w:p>
        </w:tc>
        <w:tc>
          <w:tcPr>
            <w:tcW w:w="1710" w:type="dxa"/>
          </w:tcPr>
          <w:p w14:paraId="4D0DFD0F" w14:textId="77777777" w:rsidR="00E370FF" w:rsidRPr="00493778" w:rsidRDefault="00E370FF" w:rsidP="00E72162">
            <w:pPr>
              <w:rPr>
                <w:rFonts w:cstheme="minorHAnsi"/>
                <w:bCs/>
                <w:sz w:val="22"/>
                <w:szCs w:val="22"/>
              </w:rPr>
            </w:pPr>
            <w:r w:rsidRPr="00493778">
              <w:rPr>
                <w:rFonts w:cstheme="minorHAnsi"/>
                <w:bCs/>
                <w:sz w:val="22"/>
                <w:szCs w:val="22"/>
              </w:rPr>
              <w:t>Pacific Source Community Solutions: Columbia Gorge</w:t>
            </w:r>
          </w:p>
        </w:tc>
        <w:tc>
          <w:tcPr>
            <w:tcW w:w="1440" w:type="dxa"/>
          </w:tcPr>
          <w:p w14:paraId="2CB1FA92" w14:textId="77777777" w:rsidR="00E370FF" w:rsidRPr="00493778" w:rsidRDefault="00E370FF" w:rsidP="00E72162">
            <w:pPr>
              <w:rPr>
                <w:rFonts w:cstheme="minorHAnsi"/>
                <w:bCs/>
                <w:sz w:val="22"/>
                <w:szCs w:val="22"/>
              </w:rPr>
            </w:pPr>
            <w:r w:rsidRPr="00493778">
              <w:rPr>
                <w:rFonts w:cstheme="minorHAnsi"/>
                <w:bCs/>
                <w:sz w:val="22"/>
                <w:szCs w:val="22"/>
              </w:rPr>
              <w:t xml:space="preserve">Exited </w:t>
            </w:r>
            <w:r>
              <w:rPr>
                <w:rFonts w:cstheme="minorHAnsi"/>
                <w:bCs/>
                <w:sz w:val="22"/>
                <w:szCs w:val="22"/>
              </w:rPr>
              <w:t>6/30/</w:t>
            </w:r>
            <w:r w:rsidRPr="00493778">
              <w:rPr>
                <w:rFonts w:cstheme="minorHAnsi"/>
                <w:bCs/>
                <w:sz w:val="22"/>
                <w:szCs w:val="22"/>
              </w:rPr>
              <w:t xml:space="preserve">2019; returned </w:t>
            </w:r>
            <w:r>
              <w:rPr>
                <w:rFonts w:cstheme="minorHAnsi"/>
                <w:bCs/>
                <w:sz w:val="22"/>
                <w:szCs w:val="22"/>
              </w:rPr>
              <w:t>6/1/</w:t>
            </w:r>
            <w:r w:rsidRPr="00493778">
              <w:rPr>
                <w:rFonts w:cstheme="minorHAnsi"/>
                <w:bCs/>
                <w:sz w:val="22"/>
                <w:szCs w:val="22"/>
              </w:rPr>
              <w:t>2021</w:t>
            </w:r>
          </w:p>
        </w:tc>
      </w:tr>
      <w:tr w:rsidR="00E370FF" w:rsidRPr="00493778" w14:paraId="12F06E0C" w14:textId="77777777" w:rsidTr="00B738C1">
        <w:tc>
          <w:tcPr>
            <w:tcW w:w="630" w:type="dxa"/>
          </w:tcPr>
          <w:p w14:paraId="222A603D" w14:textId="77777777" w:rsidR="00E370FF" w:rsidRDefault="00E370FF" w:rsidP="00E72162">
            <w:pPr>
              <w:jc w:val="center"/>
              <w:rPr>
                <w:rFonts w:cstheme="minorHAnsi"/>
                <w:bCs/>
                <w:sz w:val="22"/>
                <w:szCs w:val="22"/>
              </w:rPr>
            </w:pPr>
            <w:r>
              <w:rPr>
                <w:rFonts w:cstheme="minorHAnsi"/>
                <w:bCs/>
                <w:sz w:val="22"/>
                <w:szCs w:val="22"/>
              </w:rPr>
              <w:t>7</w:t>
            </w:r>
          </w:p>
        </w:tc>
        <w:tc>
          <w:tcPr>
            <w:tcW w:w="990" w:type="dxa"/>
            <w:shd w:val="clear" w:color="auto" w:fill="ED7972"/>
          </w:tcPr>
          <w:p w14:paraId="4EBAD229" w14:textId="77777777" w:rsidR="00E370FF" w:rsidRPr="00493778" w:rsidRDefault="00E370FF" w:rsidP="00E72162">
            <w:pPr>
              <w:rPr>
                <w:rFonts w:cstheme="minorHAnsi"/>
                <w:bCs/>
                <w:sz w:val="22"/>
                <w:szCs w:val="22"/>
              </w:rPr>
            </w:pPr>
            <w:r>
              <w:rPr>
                <w:rFonts w:cstheme="minorHAnsi"/>
                <w:bCs/>
                <w:sz w:val="22"/>
                <w:szCs w:val="22"/>
              </w:rPr>
              <w:t>Remote</w:t>
            </w:r>
          </w:p>
        </w:tc>
        <w:tc>
          <w:tcPr>
            <w:tcW w:w="1980" w:type="dxa"/>
          </w:tcPr>
          <w:p w14:paraId="701D4C1A" w14:textId="77777777" w:rsidR="00E370FF" w:rsidRPr="00493778" w:rsidRDefault="00E370FF" w:rsidP="00E72162">
            <w:pPr>
              <w:rPr>
                <w:rFonts w:cstheme="minorHAnsi"/>
                <w:bCs/>
                <w:sz w:val="22"/>
                <w:szCs w:val="22"/>
              </w:rPr>
            </w:pPr>
            <w:r w:rsidRPr="00493778">
              <w:rPr>
                <w:rFonts w:cstheme="minorHAnsi"/>
                <w:bCs/>
                <w:sz w:val="22"/>
                <w:szCs w:val="22"/>
              </w:rPr>
              <w:t>Mid-Columbia Center for Living</w:t>
            </w:r>
            <w:r>
              <w:rPr>
                <w:rFonts w:cstheme="minorHAnsi"/>
                <w:bCs/>
                <w:sz w:val="22"/>
                <w:szCs w:val="22"/>
              </w:rPr>
              <w:t xml:space="preserve"> *</w:t>
            </w:r>
          </w:p>
        </w:tc>
        <w:tc>
          <w:tcPr>
            <w:tcW w:w="1440" w:type="dxa"/>
          </w:tcPr>
          <w:p w14:paraId="2EFD8027" w14:textId="77777777" w:rsidR="00E370FF" w:rsidRPr="00493778" w:rsidRDefault="00E370FF" w:rsidP="00E72162">
            <w:pPr>
              <w:rPr>
                <w:rFonts w:cstheme="minorHAnsi"/>
                <w:bCs/>
                <w:sz w:val="22"/>
                <w:szCs w:val="22"/>
              </w:rPr>
            </w:pPr>
            <w:r>
              <w:rPr>
                <w:rFonts w:cstheme="minorHAnsi"/>
                <w:bCs/>
                <w:sz w:val="22"/>
                <w:szCs w:val="22"/>
              </w:rPr>
              <w:t>Wasco</w:t>
            </w:r>
          </w:p>
        </w:tc>
        <w:tc>
          <w:tcPr>
            <w:tcW w:w="1350" w:type="dxa"/>
          </w:tcPr>
          <w:p w14:paraId="4E2A11A3" w14:textId="77777777" w:rsidR="00E370FF" w:rsidRPr="00493778" w:rsidRDefault="00E370FF" w:rsidP="00E72162">
            <w:pPr>
              <w:rPr>
                <w:rFonts w:cstheme="minorHAnsi"/>
                <w:bCs/>
                <w:sz w:val="22"/>
                <w:szCs w:val="22"/>
              </w:rPr>
            </w:pPr>
            <w:r>
              <w:rPr>
                <w:rFonts w:cstheme="minorHAnsi"/>
                <w:bCs/>
                <w:sz w:val="22"/>
                <w:szCs w:val="22"/>
              </w:rPr>
              <w:t>Sherman</w:t>
            </w:r>
          </w:p>
        </w:tc>
        <w:tc>
          <w:tcPr>
            <w:tcW w:w="1710" w:type="dxa"/>
          </w:tcPr>
          <w:p w14:paraId="3EF38044" w14:textId="77777777" w:rsidR="00E370FF" w:rsidRPr="00493778" w:rsidRDefault="00E370FF" w:rsidP="00E72162">
            <w:pPr>
              <w:rPr>
                <w:rFonts w:cstheme="minorHAnsi"/>
                <w:bCs/>
                <w:sz w:val="22"/>
                <w:szCs w:val="22"/>
              </w:rPr>
            </w:pPr>
            <w:r w:rsidRPr="00493778">
              <w:rPr>
                <w:rFonts w:cstheme="minorHAnsi"/>
                <w:bCs/>
                <w:sz w:val="22"/>
                <w:szCs w:val="22"/>
              </w:rPr>
              <w:t>Eastern Oregon Coordinated Care Organization</w:t>
            </w:r>
          </w:p>
        </w:tc>
        <w:tc>
          <w:tcPr>
            <w:tcW w:w="1440" w:type="dxa"/>
          </w:tcPr>
          <w:p w14:paraId="1E8C99AE" w14:textId="77777777" w:rsidR="00E370FF" w:rsidRPr="00493778" w:rsidRDefault="00E370FF" w:rsidP="00E72162">
            <w:pPr>
              <w:rPr>
                <w:rFonts w:cstheme="minorHAnsi"/>
                <w:bCs/>
                <w:sz w:val="22"/>
                <w:szCs w:val="22"/>
              </w:rPr>
            </w:pPr>
            <w:r w:rsidRPr="00493778">
              <w:rPr>
                <w:rFonts w:cstheme="minorHAnsi"/>
                <w:bCs/>
                <w:sz w:val="22"/>
                <w:szCs w:val="22"/>
              </w:rPr>
              <w:t xml:space="preserve">Exited </w:t>
            </w:r>
            <w:r>
              <w:rPr>
                <w:rFonts w:cstheme="minorHAnsi"/>
                <w:bCs/>
                <w:sz w:val="22"/>
                <w:szCs w:val="22"/>
              </w:rPr>
              <w:t>6/30/</w:t>
            </w:r>
            <w:r w:rsidRPr="00493778">
              <w:rPr>
                <w:rFonts w:cstheme="minorHAnsi"/>
                <w:bCs/>
                <w:sz w:val="22"/>
                <w:szCs w:val="22"/>
              </w:rPr>
              <w:t xml:space="preserve">2019; returned </w:t>
            </w:r>
            <w:r>
              <w:rPr>
                <w:rFonts w:cstheme="minorHAnsi"/>
                <w:bCs/>
                <w:sz w:val="22"/>
                <w:szCs w:val="22"/>
              </w:rPr>
              <w:t>6/2/2021</w:t>
            </w:r>
          </w:p>
        </w:tc>
      </w:tr>
      <w:tr w:rsidR="00E370FF" w:rsidRPr="00493778" w14:paraId="13EF44A0" w14:textId="77777777" w:rsidTr="00B738C1">
        <w:tc>
          <w:tcPr>
            <w:tcW w:w="630" w:type="dxa"/>
          </w:tcPr>
          <w:p w14:paraId="2CBA80ED" w14:textId="77777777" w:rsidR="00E370FF" w:rsidRPr="00493778" w:rsidRDefault="00E370FF" w:rsidP="00E72162">
            <w:pPr>
              <w:jc w:val="center"/>
              <w:rPr>
                <w:rFonts w:cstheme="minorHAnsi"/>
                <w:bCs/>
                <w:sz w:val="22"/>
                <w:szCs w:val="22"/>
              </w:rPr>
            </w:pPr>
            <w:r>
              <w:rPr>
                <w:rFonts w:cstheme="minorHAnsi"/>
                <w:bCs/>
                <w:sz w:val="22"/>
                <w:szCs w:val="22"/>
              </w:rPr>
              <w:t>8</w:t>
            </w:r>
          </w:p>
        </w:tc>
        <w:tc>
          <w:tcPr>
            <w:tcW w:w="990" w:type="dxa"/>
            <w:shd w:val="clear" w:color="auto" w:fill="EBBBB6"/>
          </w:tcPr>
          <w:p w14:paraId="09F0D147"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769947B6" w14:textId="2659EC55" w:rsidR="00E370FF" w:rsidRPr="00493778" w:rsidRDefault="00E370FF" w:rsidP="00E72162">
            <w:pPr>
              <w:rPr>
                <w:rFonts w:cstheme="minorHAnsi"/>
                <w:bCs/>
                <w:sz w:val="22"/>
                <w:szCs w:val="22"/>
              </w:rPr>
            </w:pPr>
            <w:r w:rsidRPr="00493778">
              <w:rPr>
                <w:rFonts w:cstheme="minorHAnsi"/>
                <w:bCs/>
                <w:sz w:val="22"/>
                <w:szCs w:val="22"/>
              </w:rPr>
              <w:t>Options for Southern Oregon</w:t>
            </w:r>
            <w:r w:rsidR="00B738C1">
              <w:rPr>
                <w:rFonts w:cstheme="minorHAnsi"/>
                <w:bCs/>
                <w:sz w:val="22"/>
                <w:szCs w:val="22"/>
              </w:rPr>
              <w:t xml:space="preserve"> </w:t>
            </w:r>
            <w:r>
              <w:rPr>
                <w:rFonts w:cstheme="minorHAnsi"/>
                <w:bCs/>
                <w:sz w:val="22"/>
                <w:szCs w:val="22"/>
              </w:rPr>
              <w:t>*</w:t>
            </w:r>
          </w:p>
        </w:tc>
        <w:tc>
          <w:tcPr>
            <w:tcW w:w="1440" w:type="dxa"/>
          </w:tcPr>
          <w:p w14:paraId="716116C9" w14:textId="77777777" w:rsidR="00E370FF" w:rsidRPr="00493778" w:rsidRDefault="00E370FF" w:rsidP="00E72162">
            <w:pPr>
              <w:rPr>
                <w:rFonts w:cstheme="minorHAnsi"/>
                <w:bCs/>
                <w:sz w:val="22"/>
                <w:szCs w:val="22"/>
              </w:rPr>
            </w:pPr>
            <w:r w:rsidRPr="00493778">
              <w:rPr>
                <w:rFonts w:cstheme="minorHAnsi"/>
                <w:bCs/>
                <w:sz w:val="22"/>
                <w:szCs w:val="22"/>
              </w:rPr>
              <w:t>Grants Pass</w:t>
            </w:r>
            <w:r>
              <w:rPr>
                <w:rFonts w:cstheme="minorHAnsi"/>
                <w:bCs/>
                <w:sz w:val="22"/>
                <w:szCs w:val="22"/>
              </w:rPr>
              <w:t xml:space="preserve"> (2 sites)</w:t>
            </w:r>
          </w:p>
        </w:tc>
        <w:tc>
          <w:tcPr>
            <w:tcW w:w="1350" w:type="dxa"/>
          </w:tcPr>
          <w:p w14:paraId="34B41F05" w14:textId="77777777" w:rsidR="00E370FF" w:rsidRPr="00493778" w:rsidRDefault="00E370FF" w:rsidP="00E72162">
            <w:pPr>
              <w:rPr>
                <w:rFonts w:cstheme="minorHAnsi"/>
                <w:bCs/>
                <w:sz w:val="22"/>
                <w:szCs w:val="22"/>
              </w:rPr>
            </w:pPr>
            <w:r w:rsidRPr="00493778">
              <w:rPr>
                <w:rFonts w:cstheme="minorHAnsi"/>
                <w:bCs/>
                <w:sz w:val="22"/>
                <w:szCs w:val="22"/>
              </w:rPr>
              <w:t>Josephine</w:t>
            </w:r>
          </w:p>
        </w:tc>
        <w:tc>
          <w:tcPr>
            <w:tcW w:w="1710" w:type="dxa"/>
          </w:tcPr>
          <w:p w14:paraId="7D16E259" w14:textId="77777777" w:rsidR="00E370FF" w:rsidRPr="00493778" w:rsidRDefault="00E370FF" w:rsidP="00E72162">
            <w:pPr>
              <w:rPr>
                <w:rFonts w:cstheme="minorHAnsi"/>
                <w:bCs/>
                <w:sz w:val="22"/>
                <w:szCs w:val="22"/>
              </w:rPr>
            </w:pPr>
            <w:r w:rsidRPr="00493778">
              <w:rPr>
                <w:rFonts w:cstheme="minorHAnsi"/>
                <w:bCs/>
                <w:sz w:val="22"/>
                <w:szCs w:val="22"/>
              </w:rPr>
              <w:t>AllCare CCO</w:t>
            </w:r>
          </w:p>
        </w:tc>
        <w:tc>
          <w:tcPr>
            <w:tcW w:w="1440" w:type="dxa"/>
          </w:tcPr>
          <w:p w14:paraId="71F660DF"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1FE00019" w14:textId="77777777" w:rsidTr="00B738C1">
        <w:tc>
          <w:tcPr>
            <w:tcW w:w="630" w:type="dxa"/>
          </w:tcPr>
          <w:p w14:paraId="5D285A1B" w14:textId="77777777" w:rsidR="00E370FF" w:rsidRPr="00493778" w:rsidRDefault="00E370FF" w:rsidP="00E72162">
            <w:pPr>
              <w:jc w:val="center"/>
              <w:rPr>
                <w:rFonts w:cstheme="minorHAnsi"/>
                <w:bCs/>
                <w:sz w:val="22"/>
                <w:szCs w:val="22"/>
              </w:rPr>
            </w:pPr>
            <w:r>
              <w:rPr>
                <w:rFonts w:cstheme="minorHAnsi"/>
                <w:bCs/>
                <w:sz w:val="22"/>
                <w:szCs w:val="22"/>
              </w:rPr>
              <w:t>9</w:t>
            </w:r>
          </w:p>
        </w:tc>
        <w:tc>
          <w:tcPr>
            <w:tcW w:w="990" w:type="dxa"/>
            <w:shd w:val="clear" w:color="auto" w:fill="EBBBB6"/>
          </w:tcPr>
          <w:p w14:paraId="7015AF8C"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0AFC83BA" w14:textId="77777777" w:rsidR="00E370FF" w:rsidRPr="00493778" w:rsidRDefault="00E370FF" w:rsidP="00E72162">
            <w:pPr>
              <w:rPr>
                <w:rFonts w:cstheme="minorHAnsi"/>
                <w:bCs/>
                <w:sz w:val="22"/>
                <w:szCs w:val="22"/>
              </w:rPr>
            </w:pPr>
            <w:r w:rsidRPr="00493778">
              <w:rPr>
                <w:rFonts w:cstheme="minorHAnsi"/>
                <w:bCs/>
                <w:sz w:val="22"/>
                <w:szCs w:val="22"/>
              </w:rPr>
              <w:t>PeaceHealth Medical Group, Oregon West Network</w:t>
            </w:r>
          </w:p>
        </w:tc>
        <w:tc>
          <w:tcPr>
            <w:tcW w:w="1440" w:type="dxa"/>
          </w:tcPr>
          <w:p w14:paraId="14561F69" w14:textId="77777777" w:rsidR="00E370FF" w:rsidRPr="00493778" w:rsidRDefault="00E370FF" w:rsidP="00E72162">
            <w:pPr>
              <w:rPr>
                <w:rFonts w:cstheme="minorHAnsi"/>
                <w:bCs/>
                <w:sz w:val="22"/>
                <w:szCs w:val="22"/>
              </w:rPr>
            </w:pPr>
            <w:r w:rsidRPr="00493778">
              <w:rPr>
                <w:rFonts w:cstheme="minorHAnsi"/>
                <w:bCs/>
                <w:sz w:val="22"/>
                <w:szCs w:val="22"/>
              </w:rPr>
              <w:t>Cottage Grove</w:t>
            </w:r>
          </w:p>
        </w:tc>
        <w:tc>
          <w:tcPr>
            <w:tcW w:w="1350" w:type="dxa"/>
          </w:tcPr>
          <w:p w14:paraId="46FFB265" w14:textId="77777777" w:rsidR="00E370FF" w:rsidRPr="00493778" w:rsidRDefault="00E370FF" w:rsidP="00E72162">
            <w:pPr>
              <w:rPr>
                <w:rFonts w:cstheme="minorHAnsi"/>
                <w:bCs/>
                <w:sz w:val="22"/>
                <w:szCs w:val="22"/>
              </w:rPr>
            </w:pPr>
            <w:r w:rsidRPr="00493778">
              <w:rPr>
                <w:rFonts w:cstheme="minorHAnsi"/>
                <w:bCs/>
                <w:sz w:val="22"/>
                <w:szCs w:val="22"/>
              </w:rPr>
              <w:t xml:space="preserve">Lane </w:t>
            </w:r>
          </w:p>
        </w:tc>
        <w:tc>
          <w:tcPr>
            <w:tcW w:w="1710" w:type="dxa"/>
          </w:tcPr>
          <w:p w14:paraId="5A6BAFD2" w14:textId="77777777" w:rsidR="00E370FF" w:rsidRPr="00493778" w:rsidRDefault="00E370FF" w:rsidP="00E72162">
            <w:pPr>
              <w:rPr>
                <w:rFonts w:cstheme="minorHAnsi"/>
                <w:bCs/>
                <w:sz w:val="22"/>
                <w:szCs w:val="22"/>
              </w:rPr>
            </w:pPr>
            <w:r w:rsidRPr="00493778">
              <w:rPr>
                <w:rFonts w:cstheme="minorHAnsi"/>
                <w:bCs/>
                <w:sz w:val="22"/>
                <w:szCs w:val="22"/>
              </w:rPr>
              <w:t>Pacific Source Community Solutions: Lane</w:t>
            </w:r>
          </w:p>
        </w:tc>
        <w:tc>
          <w:tcPr>
            <w:tcW w:w="1440" w:type="dxa"/>
          </w:tcPr>
          <w:p w14:paraId="7044F10A" w14:textId="77777777" w:rsidR="00E370FF" w:rsidRPr="00493778" w:rsidRDefault="00E370FF" w:rsidP="00E72162">
            <w:pPr>
              <w:rPr>
                <w:rFonts w:cstheme="minorHAnsi"/>
                <w:bCs/>
                <w:sz w:val="22"/>
                <w:szCs w:val="22"/>
              </w:rPr>
            </w:pPr>
            <w:r w:rsidRPr="00493778">
              <w:rPr>
                <w:rFonts w:cstheme="minorHAnsi"/>
                <w:bCs/>
                <w:sz w:val="22"/>
                <w:szCs w:val="22"/>
              </w:rPr>
              <w:t xml:space="preserve">Exited </w:t>
            </w:r>
            <w:r>
              <w:rPr>
                <w:rFonts w:cstheme="minorHAnsi"/>
                <w:bCs/>
                <w:sz w:val="22"/>
                <w:szCs w:val="22"/>
              </w:rPr>
              <w:t>6/30/</w:t>
            </w:r>
            <w:r w:rsidRPr="00493778">
              <w:rPr>
                <w:rFonts w:cstheme="minorHAnsi"/>
                <w:bCs/>
                <w:sz w:val="22"/>
                <w:szCs w:val="22"/>
              </w:rPr>
              <w:t xml:space="preserve">2019; </w:t>
            </w:r>
            <w:r>
              <w:rPr>
                <w:rFonts w:cstheme="minorHAnsi"/>
                <w:bCs/>
                <w:sz w:val="22"/>
                <w:szCs w:val="22"/>
              </w:rPr>
              <w:t>returned 7/1/</w:t>
            </w:r>
            <w:r w:rsidRPr="00493778">
              <w:rPr>
                <w:rFonts w:cstheme="minorHAnsi"/>
                <w:bCs/>
                <w:sz w:val="22"/>
                <w:szCs w:val="22"/>
              </w:rPr>
              <w:t xml:space="preserve">2022 </w:t>
            </w:r>
          </w:p>
        </w:tc>
      </w:tr>
      <w:tr w:rsidR="00E370FF" w:rsidRPr="00493778" w14:paraId="70D5C410" w14:textId="77777777" w:rsidTr="00B738C1">
        <w:tc>
          <w:tcPr>
            <w:tcW w:w="630" w:type="dxa"/>
          </w:tcPr>
          <w:p w14:paraId="6F709579" w14:textId="77777777" w:rsidR="00E370FF" w:rsidRPr="00493778" w:rsidRDefault="00E370FF" w:rsidP="00E72162">
            <w:pPr>
              <w:jc w:val="center"/>
              <w:rPr>
                <w:rFonts w:cstheme="minorHAnsi"/>
                <w:bCs/>
                <w:sz w:val="22"/>
                <w:szCs w:val="22"/>
              </w:rPr>
            </w:pPr>
            <w:r>
              <w:rPr>
                <w:rFonts w:cstheme="minorHAnsi"/>
                <w:bCs/>
                <w:sz w:val="22"/>
                <w:szCs w:val="22"/>
              </w:rPr>
              <w:t>10</w:t>
            </w:r>
          </w:p>
        </w:tc>
        <w:tc>
          <w:tcPr>
            <w:tcW w:w="990" w:type="dxa"/>
            <w:shd w:val="clear" w:color="auto" w:fill="ED7972"/>
          </w:tcPr>
          <w:p w14:paraId="4D232D5B" w14:textId="77777777" w:rsidR="00E370FF" w:rsidRPr="00493778" w:rsidRDefault="00E370FF" w:rsidP="00E72162">
            <w:pPr>
              <w:rPr>
                <w:rFonts w:cstheme="minorHAnsi"/>
                <w:bCs/>
                <w:sz w:val="22"/>
                <w:szCs w:val="22"/>
              </w:rPr>
            </w:pPr>
            <w:r>
              <w:rPr>
                <w:rFonts w:cstheme="minorHAnsi"/>
                <w:bCs/>
                <w:sz w:val="22"/>
                <w:szCs w:val="22"/>
              </w:rPr>
              <w:t>Remote</w:t>
            </w:r>
          </w:p>
        </w:tc>
        <w:tc>
          <w:tcPr>
            <w:tcW w:w="1980" w:type="dxa"/>
          </w:tcPr>
          <w:p w14:paraId="01058F4C" w14:textId="77777777" w:rsidR="00C71686" w:rsidRDefault="00E370FF" w:rsidP="00E72162">
            <w:pPr>
              <w:rPr>
                <w:rFonts w:cstheme="minorHAnsi"/>
                <w:bCs/>
                <w:sz w:val="22"/>
                <w:szCs w:val="22"/>
              </w:rPr>
            </w:pPr>
            <w:r w:rsidRPr="00493778">
              <w:rPr>
                <w:rFonts w:cstheme="minorHAnsi"/>
                <w:bCs/>
                <w:sz w:val="22"/>
                <w:szCs w:val="22"/>
              </w:rPr>
              <w:t xml:space="preserve">Symmetry Care </w:t>
            </w:r>
          </w:p>
          <w:p w14:paraId="598FD333" w14:textId="112CDC21" w:rsidR="00E370FF" w:rsidRPr="00493778" w:rsidRDefault="00E370FF" w:rsidP="00E72162">
            <w:pPr>
              <w:rPr>
                <w:rFonts w:cstheme="minorHAnsi"/>
                <w:bCs/>
                <w:sz w:val="22"/>
                <w:szCs w:val="22"/>
              </w:rPr>
            </w:pPr>
            <w:r w:rsidRPr="00493778">
              <w:rPr>
                <w:rFonts w:cstheme="minorHAnsi"/>
                <w:bCs/>
                <w:sz w:val="22"/>
                <w:szCs w:val="22"/>
              </w:rPr>
              <w:t>Inc.</w:t>
            </w:r>
            <w:r>
              <w:rPr>
                <w:rFonts w:cstheme="minorHAnsi"/>
                <w:bCs/>
                <w:sz w:val="22"/>
                <w:szCs w:val="22"/>
              </w:rPr>
              <w:t xml:space="preserve"> *</w:t>
            </w:r>
          </w:p>
        </w:tc>
        <w:tc>
          <w:tcPr>
            <w:tcW w:w="1440" w:type="dxa"/>
          </w:tcPr>
          <w:p w14:paraId="7DA62EE1" w14:textId="77777777" w:rsidR="00E370FF" w:rsidRPr="00493778" w:rsidRDefault="00E370FF" w:rsidP="00E72162">
            <w:pPr>
              <w:rPr>
                <w:rFonts w:cstheme="minorHAnsi"/>
                <w:bCs/>
                <w:sz w:val="22"/>
                <w:szCs w:val="22"/>
              </w:rPr>
            </w:pPr>
            <w:r w:rsidRPr="00493778">
              <w:rPr>
                <w:rFonts w:cstheme="minorHAnsi"/>
                <w:bCs/>
                <w:sz w:val="22"/>
                <w:szCs w:val="22"/>
              </w:rPr>
              <w:t>Burns</w:t>
            </w:r>
          </w:p>
        </w:tc>
        <w:tc>
          <w:tcPr>
            <w:tcW w:w="1350" w:type="dxa"/>
          </w:tcPr>
          <w:p w14:paraId="6B616865" w14:textId="77777777" w:rsidR="00E370FF" w:rsidRPr="00493778" w:rsidRDefault="00E370FF" w:rsidP="00E72162">
            <w:pPr>
              <w:rPr>
                <w:rFonts w:cstheme="minorHAnsi"/>
                <w:bCs/>
                <w:sz w:val="22"/>
                <w:szCs w:val="22"/>
              </w:rPr>
            </w:pPr>
            <w:r w:rsidRPr="00493778">
              <w:rPr>
                <w:rFonts w:cstheme="minorHAnsi"/>
                <w:bCs/>
                <w:sz w:val="22"/>
                <w:szCs w:val="22"/>
              </w:rPr>
              <w:t>Harney</w:t>
            </w:r>
          </w:p>
        </w:tc>
        <w:tc>
          <w:tcPr>
            <w:tcW w:w="1710" w:type="dxa"/>
          </w:tcPr>
          <w:p w14:paraId="12EED1DF" w14:textId="77777777" w:rsidR="00E370FF" w:rsidRPr="00493778" w:rsidRDefault="00E370FF" w:rsidP="00E72162">
            <w:pPr>
              <w:rPr>
                <w:rFonts w:cstheme="minorHAnsi"/>
                <w:bCs/>
                <w:sz w:val="22"/>
                <w:szCs w:val="22"/>
              </w:rPr>
            </w:pPr>
            <w:r w:rsidRPr="00493778">
              <w:rPr>
                <w:rFonts w:cstheme="minorHAnsi"/>
                <w:bCs/>
                <w:sz w:val="22"/>
                <w:szCs w:val="22"/>
              </w:rPr>
              <w:t>Eastern Oregon Coordinated Care Organization</w:t>
            </w:r>
          </w:p>
        </w:tc>
        <w:tc>
          <w:tcPr>
            <w:tcW w:w="1440" w:type="dxa"/>
          </w:tcPr>
          <w:p w14:paraId="6EF61021"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632CE368" w14:textId="77777777" w:rsidTr="00B738C1">
        <w:tc>
          <w:tcPr>
            <w:tcW w:w="630" w:type="dxa"/>
          </w:tcPr>
          <w:p w14:paraId="53CF803D" w14:textId="77777777" w:rsidR="00E370FF" w:rsidRPr="00493778" w:rsidRDefault="00E370FF" w:rsidP="00E72162">
            <w:pPr>
              <w:jc w:val="center"/>
              <w:rPr>
                <w:rFonts w:cstheme="minorHAnsi"/>
                <w:bCs/>
                <w:sz w:val="22"/>
                <w:szCs w:val="22"/>
              </w:rPr>
            </w:pPr>
            <w:r>
              <w:rPr>
                <w:rFonts w:cstheme="minorHAnsi"/>
                <w:bCs/>
                <w:sz w:val="22"/>
                <w:szCs w:val="22"/>
              </w:rPr>
              <w:t>11</w:t>
            </w:r>
          </w:p>
        </w:tc>
        <w:tc>
          <w:tcPr>
            <w:tcW w:w="990" w:type="dxa"/>
            <w:shd w:val="clear" w:color="auto" w:fill="ED7972"/>
          </w:tcPr>
          <w:p w14:paraId="5A7789B0" w14:textId="77777777" w:rsidR="00E370FF" w:rsidRPr="00493778" w:rsidRDefault="00E370FF" w:rsidP="00E72162">
            <w:pPr>
              <w:rPr>
                <w:rFonts w:cstheme="minorHAnsi"/>
                <w:bCs/>
                <w:sz w:val="22"/>
                <w:szCs w:val="22"/>
              </w:rPr>
            </w:pPr>
            <w:r>
              <w:rPr>
                <w:rFonts w:cstheme="minorHAnsi"/>
                <w:bCs/>
                <w:sz w:val="22"/>
                <w:szCs w:val="22"/>
              </w:rPr>
              <w:t>Remote</w:t>
            </w:r>
          </w:p>
        </w:tc>
        <w:tc>
          <w:tcPr>
            <w:tcW w:w="1980" w:type="dxa"/>
          </w:tcPr>
          <w:p w14:paraId="36EA037F" w14:textId="77777777" w:rsidR="00E370FF" w:rsidRPr="00493778" w:rsidRDefault="00E370FF" w:rsidP="00E72162">
            <w:pPr>
              <w:rPr>
                <w:rFonts w:cstheme="minorHAnsi"/>
                <w:bCs/>
                <w:sz w:val="22"/>
                <w:szCs w:val="22"/>
              </w:rPr>
            </w:pPr>
            <w:r w:rsidRPr="00493778">
              <w:rPr>
                <w:rFonts w:cstheme="minorHAnsi"/>
                <w:bCs/>
                <w:sz w:val="22"/>
                <w:szCs w:val="22"/>
              </w:rPr>
              <w:t>Wallowa Valley Center for Wellness</w:t>
            </w:r>
            <w:r>
              <w:rPr>
                <w:rFonts w:cstheme="minorHAnsi"/>
                <w:bCs/>
                <w:sz w:val="22"/>
                <w:szCs w:val="22"/>
              </w:rPr>
              <w:t xml:space="preserve"> *</w:t>
            </w:r>
          </w:p>
        </w:tc>
        <w:tc>
          <w:tcPr>
            <w:tcW w:w="1440" w:type="dxa"/>
          </w:tcPr>
          <w:p w14:paraId="4A9501D1" w14:textId="77777777" w:rsidR="00E370FF" w:rsidRDefault="00E370FF" w:rsidP="00E72162">
            <w:pPr>
              <w:rPr>
                <w:rFonts w:cstheme="minorHAnsi"/>
                <w:bCs/>
                <w:sz w:val="22"/>
                <w:szCs w:val="22"/>
              </w:rPr>
            </w:pPr>
            <w:r w:rsidRPr="00493778">
              <w:rPr>
                <w:rFonts w:cstheme="minorHAnsi"/>
                <w:bCs/>
                <w:sz w:val="22"/>
                <w:szCs w:val="22"/>
              </w:rPr>
              <w:t>Enterprise</w:t>
            </w:r>
            <w:r>
              <w:rPr>
                <w:rFonts w:cstheme="minorHAnsi"/>
                <w:bCs/>
                <w:sz w:val="22"/>
                <w:szCs w:val="22"/>
              </w:rPr>
              <w:t>, Wallowa</w:t>
            </w:r>
          </w:p>
          <w:p w14:paraId="5173913B" w14:textId="77777777" w:rsidR="00E370FF" w:rsidRPr="00493778" w:rsidRDefault="00E370FF" w:rsidP="00E72162">
            <w:pPr>
              <w:rPr>
                <w:rFonts w:cstheme="minorHAnsi"/>
                <w:bCs/>
                <w:sz w:val="22"/>
                <w:szCs w:val="22"/>
              </w:rPr>
            </w:pPr>
            <w:r>
              <w:rPr>
                <w:rFonts w:cstheme="minorHAnsi"/>
                <w:bCs/>
                <w:sz w:val="22"/>
                <w:szCs w:val="22"/>
              </w:rPr>
              <w:t>(2 sites)</w:t>
            </w:r>
          </w:p>
        </w:tc>
        <w:tc>
          <w:tcPr>
            <w:tcW w:w="1350" w:type="dxa"/>
          </w:tcPr>
          <w:p w14:paraId="59976A43" w14:textId="77777777" w:rsidR="00E370FF" w:rsidRPr="00493778" w:rsidRDefault="00E370FF" w:rsidP="00E72162">
            <w:pPr>
              <w:rPr>
                <w:rFonts w:cstheme="minorHAnsi"/>
                <w:bCs/>
                <w:sz w:val="22"/>
                <w:szCs w:val="22"/>
              </w:rPr>
            </w:pPr>
            <w:r w:rsidRPr="00493778">
              <w:rPr>
                <w:rFonts w:cstheme="minorHAnsi"/>
                <w:bCs/>
                <w:sz w:val="22"/>
                <w:szCs w:val="22"/>
              </w:rPr>
              <w:t>Wallowa</w:t>
            </w:r>
          </w:p>
        </w:tc>
        <w:tc>
          <w:tcPr>
            <w:tcW w:w="1710" w:type="dxa"/>
          </w:tcPr>
          <w:p w14:paraId="20D46069" w14:textId="77777777" w:rsidR="00E370FF" w:rsidRPr="00493778" w:rsidRDefault="00E370FF" w:rsidP="00E72162">
            <w:pPr>
              <w:rPr>
                <w:rFonts w:cstheme="minorHAnsi"/>
                <w:bCs/>
                <w:sz w:val="22"/>
                <w:szCs w:val="22"/>
              </w:rPr>
            </w:pPr>
            <w:r w:rsidRPr="00493778">
              <w:rPr>
                <w:rFonts w:cstheme="minorHAnsi"/>
                <w:bCs/>
                <w:sz w:val="22"/>
                <w:szCs w:val="22"/>
              </w:rPr>
              <w:t>Eastern Oregon Coordinated Care Organization</w:t>
            </w:r>
          </w:p>
        </w:tc>
        <w:tc>
          <w:tcPr>
            <w:tcW w:w="1440" w:type="dxa"/>
          </w:tcPr>
          <w:p w14:paraId="0E836E58"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r w:rsidR="00E370FF" w:rsidRPr="00493778" w14:paraId="33A2D7F9" w14:textId="77777777" w:rsidTr="00B738C1">
        <w:tc>
          <w:tcPr>
            <w:tcW w:w="630" w:type="dxa"/>
          </w:tcPr>
          <w:p w14:paraId="4C1D0AE3" w14:textId="77777777" w:rsidR="00E370FF" w:rsidRPr="00493778" w:rsidRDefault="00E370FF" w:rsidP="00E72162">
            <w:pPr>
              <w:jc w:val="center"/>
              <w:rPr>
                <w:rFonts w:cstheme="minorHAnsi"/>
                <w:bCs/>
                <w:sz w:val="22"/>
                <w:szCs w:val="22"/>
              </w:rPr>
            </w:pPr>
            <w:r>
              <w:rPr>
                <w:rFonts w:cstheme="minorHAnsi"/>
                <w:bCs/>
                <w:sz w:val="22"/>
                <w:szCs w:val="22"/>
              </w:rPr>
              <w:t>12</w:t>
            </w:r>
          </w:p>
        </w:tc>
        <w:tc>
          <w:tcPr>
            <w:tcW w:w="990" w:type="dxa"/>
            <w:shd w:val="clear" w:color="auto" w:fill="EBBBB6"/>
          </w:tcPr>
          <w:p w14:paraId="113774D8" w14:textId="77777777" w:rsidR="00E370FF" w:rsidRPr="00493778" w:rsidRDefault="00E370FF" w:rsidP="00E72162">
            <w:pPr>
              <w:rPr>
                <w:rFonts w:cstheme="minorHAnsi"/>
                <w:bCs/>
                <w:sz w:val="22"/>
                <w:szCs w:val="22"/>
              </w:rPr>
            </w:pPr>
            <w:r>
              <w:rPr>
                <w:rFonts w:cstheme="minorHAnsi"/>
                <w:bCs/>
                <w:sz w:val="22"/>
                <w:szCs w:val="22"/>
              </w:rPr>
              <w:t>Rural</w:t>
            </w:r>
          </w:p>
        </w:tc>
        <w:tc>
          <w:tcPr>
            <w:tcW w:w="1980" w:type="dxa"/>
          </w:tcPr>
          <w:p w14:paraId="178A35CC" w14:textId="77777777" w:rsidR="00E370FF" w:rsidRPr="00493778" w:rsidRDefault="00E370FF" w:rsidP="00E72162">
            <w:pPr>
              <w:rPr>
                <w:rFonts w:cstheme="minorHAnsi"/>
                <w:bCs/>
                <w:sz w:val="22"/>
                <w:szCs w:val="22"/>
              </w:rPr>
            </w:pPr>
            <w:r w:rsidRPr="00493778">
              <w:rPr>
                <w:rFonts w:cstheme="minorHAnsi"/>
                <w:bCs/>
                <w:sz w:val="22"/>
                <w:szCs w:val="22"/>
              </w:rPr>
              <w:t>Yamhill County Health and Human Services</w:t>
            </w:r>
            <w:r>
              <w:rPr>
                <w:rFonts w:cstheme="minorHAnsi"/>
                <w:bCs/>
                <w:sz w:val="22"/>
                <w:szCs w:val="22"/>
              </w:rPr>
              <w:t xml:space="preserve"> *</w:t>
            </w:r>
          </w:p>
        </w:tc>
        <w:tc>
          <w:tcPr>
            <w:tcW w:w="1440" w:type="dxa"/>
          </w:tcPr>
          <w:p w14:paraId="2C3E96D9" w14:textId="7B7DA512" w:rsidR="00E370FF" w:rsidRPr="00493778" w:rsidRDefault="00E370FF" w:rsidP="00E72162">
            <w:pPr>
              <w:rPr>
                <w:rFonts w:cstheme="minorHAnsi"/>
                <w:bCs/>
                <w:sz w:val="22"/>
                <w:szCs w:val="22"/>
              </w:rPr>
            </w:pPr>
            <w:r w:rsidRPr="00493778">
              <w:rPr>
                <w:rFonts w:cstheme="minorHAnsi"/>
                <w:bCs/>
                <w:sz w:val="22"/>
                <w:szCs w:val="22"/>
              </w:rPr>
              <w:t>McMinnville</w:t>
            </w:r>
            <w:r>
              <w:rPr>
                <w:rFonts w:cstheme="minorHAnsi"/>
                <w:bCs/>
                <w:sz w:val="22"/>
                <w:szCs w:val="22"/>
              </w:rPr>
              <w:t>, Newberg</w:t>
            </w:r>
          </w:p>
        </w:tc>
        <w:tc>
          <w:tcPr>
            <w:tcW w:w="1350" w:type="dxa"/>
          </w:tcPr>
          <w:p w14:paraId="782DBE19" w14:textId="77777777" w:rsidR="00E370FF" w:rsidRPr="00493778" w:rsidRDefault="00E370FF" w:rsidP="00E72162">
            <w:pPr>
              <w:rPr>
                <w:rFonts w:cstheme="minorHAnsi"/>
                <w:bCs/>
                <w:sz w:val="22"/>
                <w:szCs w:val="22"/>
              </w:rPr>
            </w:pPr>
            <w:r w:rsidRPr="00493778">
              <w:rPr>
                <w:rFonts w:cstheme="minorHAnsi"/>
                <w:bCs/>
                <w:sz w:val="22"/>
                <w:szCs w:val="22"/>
              </w:rPr>
              <w:t>Yamhill</w:t>
            </w:r>
          </w:p>
        </w:tc>
        <w:tc>
          <w:tcPr>
            <w:tcW w:w="1710" w:type="dxa"/>
          </w:tcPr>
          <w:p w14:paraId="0DE2B8ED" w14:textId="77777777" w:rsidR="00E370FF" w:rsidRPr="00493778" w:rsidRDefault="00E370FF" w:rsidP="00E72162">
            <w:pPr>
              <w:rPr>
                <w:rFonts w:cstheme="minorHAnsi"/>
                <w:bCs/>
                <w:sz w:val="22"/>
                <w:szCs w:val="22"/>
              </w:rPr>
            </w:pPr>
            <w:r w:rsidRPr="00493778">
              <w:rPr>
                <w:rFonts w:cstheme="minorHAnsi"/>
                <w:bCs/>
                <w:sz w:val="22"/>
                <w:szCs w:val="22"/>
              </w:rPr>
              <w:t>Yamhill Community Care</w:t>
            </w:r>
          </w:p>
        </w:tc>
        <w:tc>
          <w:tcPr>
            <w:tcW w:w="1440" w:type="dxa"/>
          </w:tcPr>
          <w:p w14:paraId="4DDD08AE" w14:textId="77777777" w:rsidR="00E370FF" w:rsidRPr="00493778" w:rsidRDefault="00E370FF" w:rsidP="00E72162">
            <w:pPr>
              <w:rPr>
                <w:rFonts w:cstheme="minorHAnsi"/>
                <w:bCs/>
                <w:sz w:val="22"/>
                <w:szCs w:val="22"/>
              </w:rPr>
            </w:pPr>
            <w:r w:rsidRPr="00493778">
              <w:rPr>
                <w:rFonts w:cstheme="minorHAnsi"/>
                <w:bCs/>
                <w:sz w:val="22"/>
                <w:szCs w:val="22"/>
              </w:rPr>
              <w:t>Continuing</w:t>
            </w:r>
          </w:p>
        </w:tc>
      </w:tr>
    </w:tbl>
    <w:p w14:paraId="0944405B" w14:textId="6331A165" w:rsidR="00E370FF" w:rsidRPr="003B0D7C" w:rsidRDefault="00E370FF" w:rsidP="00E370FF">
      <w:pPr>
        <w:rPr>
          <w:rFonts w:cstheme="minorHAnsi"/>
          <w:sz w:val="13"/>
          <w:szCs w:val="13"/>
          <w:lang w:bidi="th-TH"/>
        </w:rPr>
      </w:pPr>
    </w:p>
    <w:p w14:paraId="020998DB" w14:textId="4D3B933C" w:rsidR="003B0D7C" w:rsidRPr="003B0D7C" w:rsidRDefault="003B0D7C" w:rsidP="003B0D7C">
      <w:pPr>
        <w:jc w:val="center"/>
        <w:rPr>
          <w:color w:val="000000" w:themeColor="text1"/>
          <w:sz w:val="20"/>
          <w:szCs w:val="20"/>
        </w:rPr>
      </w:pPr>
      <w:r w:rsidRPr="003B0D7C">
        <w:rPr>
          <w:color w:val="000000" w:themeColor="text1"/>
          <w:sz w:val="20"/>
          <w:szCs w:val="20"/>
        </w:rPr>
        <w:t>* = CMHP</w:t>
      </w:r>
    </w:p>
    <w:p w14:paraId="3501E704" w14:textId="77777777" w:rsidR="003B0D7C" w:rsidRDefault="003B0D7C" w:rsidP="00E370FF">
      <w:pPr>
        <w:rPr>
          <w:rFonts w:cstheme="minorHAnsi"/>
          <w:sz w:val="22"/>
          <w:szCs w:val="22"/>
          <w:lang w:bidi="th-TH"/>
        </w:rPr>
      </w:pPr>
    </w:p>
    <w:p w14:paraId="1A658ED2" w14:textId="1B072465" w:rsidR="00E370FF" w:rsidRPr="006B2BDA" w:rsidRDefault="005E44B0" w:rsidP="00E370FF">
      <w:pPr>
        <w:rPr>
          <w:rFonts w:cstheme="minorHAnsi"/>
          <w:sz w:val="22"/>
          <w:szCs w:val="22"/>
        </w:rPr>
      </w:pPr>
      <w:r w:rsidRPr="00261B2D">
        <w:rPr>
          <w:rFonts w:cstheme="minorHAnsi"/>
          <w:color w:val="6A7F0F"/>
          <w:sz w:val="22"/>
          <w:szCs w:val="22"/>
        </w:rPr>
        <w:t xml:space="preserve">Figure 1 </w:t>
      </w:r>
      <w:r>
        <w:rPr>
          <w:rFonts w:cstheme="minorHAnsi"/>
          <w:sz w:val="22"/>
          <w:szCs w:val="22"/>
        </w:rPr>
        <w:t>illustrates</w:t>
      </w:r>
      <w:r w:rsidRPr="006B2BDA">
        <w:rPr>
          <w:rFonts w:cstheme="minorHAnsi"/>
          <w:sz w:val="22"/>
          <w:szCs w:val="22"/>
        </w:rPr>
        <w:t xml:space="preserve"> the geographic location of the CCBHC sites throughout the state of Oregon</w:t>
      </w:r>
      <w:r>
        <w:rPr>
          <w:rFonts w:cstheme="minorHAnsi"/>
          <w:sz w:val="22"/>
          <w:szCs w:val="22"/>
        </w:rPr>
        <w:t>. ORH defines urban areas being less than 10 miles from a population center of 40,000 or more people, rural areas as being located greater than 10 miles from a population center of 40,000 or more people, and remote (ORH uses “frontier”) areas as counties having 6 or fewer people per square mile (Oregon Office of Rural Health, n.d.).</w:t>
      </w:r>
    </w:p>
    <w:p w14:paraId="4524C4C3" w14:textId="77777777" w:rsidR="00E370FF" w:rsidRDefault="00E370FF" w:rsidP="00E370FF">
      <w:pPr>
        <w:rPr>
          <w:rFonts w:cstheme="minorHAnsi"/>
          <w:sz w:val="22"/>
          <w:szCs w:val="22"/>
        </w:rPr>
      </w:pPr>
    </w:p>
    <w:p w14:paraId="26FE8EA5" w14:textId="7A06085A" w:rsidR="008F573D" w:rsidRPr="00501B06" w:rsidRDefault="00E370FF" w:rsidP="00501B06">
      <w:pPr>
        <w:pStyle w:val="Caption"/>
        <w:keepNext/>
        <w:spacing w:after="0"/>
        <w:jc w:val="center"/>
        <w:rPr>
          <w:b/>
          <w:bCs/>
          <w:i w:val="0"/>
          <w:iCs w:val="0"/>
          <w:color w:val="6A7F0F"/>
          <w:sz w:val="22"/>
          <w:szCs w:val="22"/>
        </w:rPr>
      </w:pPr>
      <w:bookmarkStart w:id="15" w:name="_Toc125504946"/>
      <w:r w:rsidRPr="001173FB">
        <w:rPr>
          <w:b/>
          <w:bCs/>
          <w:i w:val="0"/>
          <w:iCs w:val="0"/>
          <w:color w:val="6A7F0F"/>
          <w:sz w:val="22"/>
          <w:szCs w:val="22"/>
        </w:rPr>
        <w:t xml:space="preserve">Figure </w:t>
      </w:r>
      <w:r w:rsidRPr="001173FB">
        <w:rPr>
          <w:b/>
          <w:bCs/>
          <w:i w:val="0"/>
          <w:iCs w:val="0"/>
          <w:color w:val="6A7F0F"/>
          <w:sz w:val="22"/>
          <w:szCs w:val="22"/>
        </w:rPr>
        <w:fldChar w:fldCharType="begin"/>
      </w:r>
      <w:r w:rsidRPr="001173FB">
        <w:rPr>
          <w:b/>
          <w:bCs/>
          <w:i w:val="0"/>
          <w:iCs w:val="0"/>
          <w:color w:val="6A7F0F"/>
          <w:sz w:val="22"/>
          <w:szCs w:val="22"/>
        </w:rPr>
        <w:instrText xml:space="preserve"> SEQ Figure \* ARABIC </w:instrText>
      </w:r>
      <w:r w:rsidRPr="001173FB">
        <w:rPr>
          <w:b/>
          <w:bCs/>
          <w:i w:val="0"/>
          <w:iCs w:val="0"/>
          <w:color w:val="6A7F0F"/>
          <w:sz w:val="22"/>
          <w:szCs w:val="22"/>
        </w:rPr>
        <w:fldChar w:fldCharType="separate"/>
      </w:r>
      <w:r w:rsidR="00DA018F">
        <w:rPr>
          <w:b/>
          <w:bCs/>
          <w:i w:val="0"/>
          <w:iCs w:val="0"/>
          <w:noProof/>
          <w:color w:val="6A7F0F"/>
          <w:sz w:val="22"/>
          <w:szCs w:val="22"/>
        </w:rPr>
        <w:t>1</w:t>
      </w:r>
      <w:r w:rsidRPr="001173FB">
        <w:rPr>
          <w:b/>
          <w:bCs/>
          <w:i w:val="0"/>
          <w:iCs w:val="0"/>
          <w:color w:val="6A7F0F"/>
          <w:sz w:val="22"/>
          <w:szCs w:val="22"/>
        </w:rPr>
        <w:fldChar w:fldCharType="end"/>
      </w:r>
      <w:r w:rsidRPr="001173FB">
        <w:rPr>
          <w:b/>
          <w:bCs/>
          <w:i w:val="0"/>
          <w:iCs w:val="0"/>
          <w:color w:val="6A7F0F"/>
          <w:sz w:val="22"/>
          <w:szCs w:val="22"/>
        </w:rPr>
        <w:t>: Oregon CCBHC Sites</w:t>
      </w:r>
      <w:bookmarkEnd w:id="15"/>
    </w:p>
    <w:p w14:paraId="0B537203" w14:textId="205C5B1A" w:rsidR="00501B06" w:rsidRDefault="00501B06" w:rsidP="003B0D7C">
      <w:pPr>
        <w:jc w:val="center"/>
        <w:textAlignment w:val="baseline"/>
        <w:rPr>
          <w:rFonts w:cstheme="minorHAnsi"/>
          <w:color w:val="000000" w:themeColor="text1"/>
          <w:sz w:val="20"/>
          <w:szCs w:val="20"/>
        </w:rPr>
      </w:pPr>
      <w:r>
        <w:rPr>
          <w:noProof/>
        </w:rPr>
        <w:drawing>
          <wp:inline distT="0" distB="0" distL="0" distR="0" wp14:anchorId="121FB8EF" wp14:editId="072BC737">
            <wp:extent cx="5759606" cy="2596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7169" cy="2613154"/>
                    </a:xfrm>
                    <a:prstGeom prst="rect">
                      <a:avLst/>
                    </a:prstGeom>
                  </pic:spPr>
                </pic:pic>
              </a:graphicData>
            </a:graphic>
          </wp:inline>
        </w:drawing>
      </w:r>
    </w:p>
    <w:p w14:paraId="5FA2BDEC" w14:textId="51462703" w:rsidR="003B0D7C" w:rsidRDefault="003B0D7C" w:rsidP="003B0D7C">
      <w:pPr>
        <w:jc w:val="center"/>
        <w:textAlignment w:val="baseline"/>
        <w:rPr>
          <w:rFonts w:cstheme="minorHAnsi"/>
          <w:color w:val="000000" w:themeColor="text1"/>
          <w:sz w:val="20"/>
          <w:szCs w:val="20"/>
        </w:rPr>
      </w:pPr>
      <w:r w:rsidRPr="00F935D1">
        <w:rPr>
          <w:rFonts w:cstheme="minorHAnsi"/>
          <w:color w:val="000000" w:themeColor="text1"/>
          <w:sz w:val="20"/>
          <w:szCs w:val="20"/>
        </w:rPr>
        <w:t xml:space="preserve">Source: </w:t>
      </w:r>
      <w:r>
        <w:rPr>
          <w:rFonts w:cstheme="minorHAnsi"/>
          <w:color w:val="000000" w:themeColor="text1"/>
          <w:sz w:val="20"/>
          <w:szCs w:val="20"/>
        </w:rPr>
        <w:t>Oregon Office of Rural Health</w:t>
      </w:r>
      <w:r w:rsidRPr="00F935D1">
        <w:rPr>
          <w:rFonts w:cstheme="minorHAnsi"/>
          <w:color w:val="000000" w:themeColor="text1"/>
          <w:sz w:val="20"/>
          <w:szCs w:val="20"/>
        </w:rPr>
        <w:t>, 2022</w:t>
      </w:r>
    </w:p>
    <w:p w14:paraId="4A2DC64C" w14:textId="77777777" w:rsidR="00C71459" w:rsidRPr="00F935D1" w:rsidRDefault="00C71459" w:rsidP="003B0D7C">
      <w:pPr>
        <w:jc w:val="center"/>
        <w:textAlignment w:val="baseline"/>
        <w:rPr>
          <w:rFonts w:cstheme="minorHAnsi"/>
          <w:sz w:val="20"/>
          <w:szCs w:val="20"/>
        </w:rPr>
      </w:pPr>
    </w:p>
    <w:p w14:paraId="76583189" w14:textId="1C387007" w:rsidR="003C684B" w:rsidRPr="001173FB" w:rsidRDefault="003C684B" w:rsidP="00580A99">
      <w:pPr>
        <w:pStyle w:val="Heading1"/>
        <w:spacing w:before="0" w:after="120"/>
        <w:rPr>
          <w:rFonts w:asciiTheme="minorHAnsi" w:hAnsiTheme="minorHAnsi" w:cstheme="minorHAnsi"/>
          <w:b/>
          <w:bCs/>
          <w:color w:val="6A7F0F"/>
          <w:sz w:val="40"/>
          <w:szCs w:val="40"/>
        </w:rPr>
      </w:pPr>
      <w:bookmarkStart w:id="16" w:name="_Toc126068174"/>
      <w:r w:rsidRPr="001173FB">
        <w:rPr>
          <w:rFonts w:asciiTheme="minorHAnsi" w:hAnsiTheme="minorHAnsi" w:cstheme="minorHAnsi"/>
          <w:b/>
          <w:bCs/>
          <w:color w:val="6A7F0F"/>
          <w:sz w:val="40"/>
          <w:szCs w:val="40"/>
        </w:rPr>
        <w:t>Centering Equity in the CCBHC Evaluation</w:t>
      </w:r>
      <w:bookmarkEnd w:id="16"/>
    </w:p>
    <w:p w14:paraId="4C0F6704" w14:textId="77777777" w:rsidR="005E44B0" w:rsidRPr="0071678D" w:rsidRDefault="005E44B0" w:rsidP="005E44B0">
      <w:pPr>
        <w:rPr>
          <w:rFonts w:eastAsia="Calibri" w:cstheme="minorHAnsi"/>
          <w:sz w:val="22"/>
          <w:szCs w:val="22"/>
        </w:rPr>
      </w:pPr>
      <w:r w:rsidRPr="00BA3FC0">
        <w:rPr>
          <w:rFonts w:eastAsia="Calibri" w:cstheme="minorHAnsi"/>
          <w:sz w:val="22"/>
          <w:szCs w:val="22"/>
        </w:rPr>
        <w:t>According to Yearby</w:t>
      </w:r>
      <w:r>
        <w:rPr>
          <w:rFonts w:eastAsia="Calibri" w:cstheme="minorHAnsi"/>
          <w:sz w:val="22"/>
          <w:szCs w:val="22"/>
        </w:rPr>
        <w:t xml:space="preserve"> (2020):</w:t>
      </w:r>
      <w:r w:rsidRPr="00BA3FC0">
        <w:rPr>
          <w:rFonts w:eastAsia="Calibri" w:cstheme="minorHAnsi"/>
          <w:sz w:val="22"/>
          <w:szCs w:val="22"/>
        </w:rPr>
        <w:t xml:space="preserve"> “</w:t>
      </w:r>
      <w:r>
        <w:rPr>
          <w:rFonts w:eastAsia="Calibri" w:cstheme="minorHAnsi"/>
          <w:sz w:val="22"/>
          <w:szCs w:val="22"/>
        </w:rPr>
        <w:t>S</w:t>
      </w:r>
      <w:r w:rsidRPr="00BA3FC0">
        <w:rPr>
          <w:rFonts w:eastAsia="Calibri" w:cstheme="minorHAnsi"/>
          <w:sz w:val="22"/>
          <w:szCs w:val="22"/>
        </w:rPr>
        <w:t>tructural racism is the way our systems (</w:t>
      </w:r>
      <w:r>
        <w:rPr>
          <w:rFonts w:eastAsia="Calibri" w:cstheme="minorHAnsi"/>
          <w:sz w:val="22"/>
          <w:szCs w:val="22"/>
        </w:rPr>
        <w:t>healthcare</w:t>
      </w:r>
      <w:r w:rsidRPr="00BA3FC0">
        <w:rPr>
          <w:rFonts w:eastAsia="Calibri" w:cstheme="minorHAnsi"/>
          <w:sz w:val="22"/>
          <w:szCs w:val="22"/>
        </w:rPr>
        <w:t xml:space="preserve">, education, employment, housing, and public health) are structured to advantage the majority and disadvantage racial and ethnic minorities. More specifically, it produces differential conditions between </w:t>
      </w:r>
      <w:r>
        <w:rPr>
          <w:rFonts w:eastAsia="Calibri" w:cstheme="minorHAnsi"/>
          <w:sz w:val="22"/>
          <w:szCs w:val="22"/>
        </w:rPr>
        <w:t>w</w:t>
      </w:r>
      <w:r w:rsidRPr="00BA3FC0">
        <w:rPr>
          <w:rFonts w:eastAsia="Calibri" w:cstheme="minorHAnsi"/>
          <w:sz w:val="22"/>
          <w:szCs w:val="22"/>
        </w:rPr>
        <w:t>hites and racial and ethnic minorities in the five key areas of the SDOH</w:t>
      </w:r>
      <w:r>
        <w:rPr>
          <w:rFonts w:eastAsia="Calibri" w:cstheme="minorHAnsi"/>
          <w:sz w:val="22"/>
          <w:szCs w:val="22"/>
        </w:rPr>
        <w:t xml:space="preserve"> [social determinants of health]</w:t>
      </w:r>
      <w:r w:rsidRPr="00BA3FC0">
        <w:rPr>
          <w:rFonts w:eastAsia="Calibri" w:cstheme="minorHAnsi"/>
          <w:sz w:val="22"/>
          <w:szCs w:val="22"/>
        </w:rPr>
        <w:t>, leading to racial health disparities.</w:t>
      </w:r>
      <w:r>
        <w:rPr>
          <w:rFonts w:eastAsia="Calibri" w:cstheme="minorHAnsi"/>
          <w:sz w:val="22"/>
          <w:szCs w:val="22"/>
        </w:rPr>
        <w:t>”</w:t>
      </w:r>
      <w:r w:rsidRPr="00BA3FC0">
        <w:rPr>
          <w:rFonts w:eastAsia="Calibri" w:cstheme="minorHAnsi"/>
          <w:sz w:val="22"/>
          <w:szCs w:val="22"/>
        </w:rPr>
        <w:t xml:space="preserve"> Leading with race recognizes </w:t>
      </w:r>
      <w:r w:rsidRPr="00BA3FC0">
        <w:rPr>
          <w:rFonts w:eastAsia="Calibri" w:cstheme="minorHAnsi"/>
          <w:color w:val="000000"/>
          <w:sz w:val="22"/>
          <w:szCs w:val="22"/>
          <w:highlight w:val="white"/>
        </w:rPr>
        <w:t xml:space="preserve">that </w:t>
      </w:r>
      <w:r w:rsidRPr="00BA3FC0">
        <w:rPr>
          <w:rFonts w:eastAsia="Calibri" w:cstheme="minorHAnsi"/>
          <w:color w:val="000000"/>
          <w:sz w:val="22"/>
          <w:szCs w:val="22"/>
        </w:rPr>
        <w:t xml:space="preserve">racism operates at </w:t>
      </w:r>
      <w:r>
        <w:rPr>
          <w:rFonts w:eastAsia="Calibri" w:cstheme="minorHAnsi"/>
          <w:color w:val="000000"/>
          <w:sz w:val="22"/>
          <w:szCs w:val="22"/>
        </w:rPr>
        <w:t xml:space="preserve">the </w:t>
      </w:r>
      <w:r w:rsidRPr="00BA3FC0">
        <w:rPr>
          <w:rFonts w:eastAsia="Calibri" w:cstheme="minorHAnsi"/>
          <w:color w:val="000000"/>
          <w:sz w:val="22"/>
          <w:szCs w:val="22"/>
        </w:rPr>
        <w:t>individual, institutional, and structural levels in the behavioral health system</w:t>
      </w:r>
      <w:r>
        <w:rPr>
          <w:rFonts w:eastAsia="Calibri" w:cstheme="minorHAnsi"/>
          <w:color w:val="000000"/>
          <w:sz w:val="22"/>
          <w:szCs w:val="22"/>
        </w:rPr>
        <w:t xml:space="preserve"> but </w:t>
      </w:r>
      <w:r w:rsidRPr="00BA3FC0">
        <w:rPr>
          <w:rFonts w:eastAsia="Calibri" w:cstheme="minorHAnsi"/>
          <w:color w:val="000000"/>
          <w:sz w:val="22"/>
          <w:szCs w:val="22"/>
        </w:rPr>
        <w:t xml:space="preserve">does not mean that other identities are not recognized. </w:t>
      </w:r>
      <w:r>
        <w:rPr>
          <w:rFonts w:eastAsia="Calibri" w:cstheme="minorHAnsi"/>
          <w:color w:val="000000"/>
          <w:sz w:val="22"/>
          <w:szCs w:val="22"/>
        </w:rPr>
        <w:t>This</w:t>
      </w:r>
      <w:r w:rsidRPr="00BA3FC0">
        <w:rPr>
          <w:rFonts w:eastAsia="Calibri" w:cstheme="minorHAnsi"/>
          <w:color w:val="000000"/>
          <w:sz w:val="22"/>
          <w:szCs w:val="22"/>
        </w:rPr>
        <w:t xml:space="preserve"> allows an intersectional exploration and acknowledges that within other dimensions of identity, such as gender, sexual orientation, ability, social class, and age, race inequities exist. Advancing health equity requires acknowledging the interconnectedness of oppression and explicit and intentional action to eliminate all areas of marginalization. </w:t>
      </w:r>
    </w:p>
    <w:p w14:paraId="05EFE138" w14:textId="77777777" w:rsidR="005E44B0" w:rsidRDefault="005E44B0" w:rsidP="005E44B0">
      <w:pPr>
        <w:rPr>
          <w:rFonts w:cstheme="minorHAnsi"/>
          <w:sz w:val="22"/>
          <w:szCs w:val="22"/>
        </w:rPr>
      </w:pPr>
    </w:p>
    <w:p w14:paraId="4F710F58" w14:textId="00CAC7D2" w:rsidR="00F1409B" w:rsidRPr="00C71459" w:rsidRDefault="005E44B0" w:rsidP="00C71459">
      <w:pPr>
        <w:rPr>
          <w:rStyle w:val="color11"/>
          <w:rFonts w:cstheme="minorHAnsi"/>
          <w:sz w:val="22"/>
          <w:szCs w:val="22"/>
        </w:rPr>
      </w:pPr>
      <w:r w:rsidRPr="002F3032">
        <w:rPr>
          <w:rFonts w:cstheme="minorHAnsi"/>
          <w:sz w:val="22"/>
          <w:szCs w:val="22"/>
        </w:rPr>
        <w:t xml:space="preserve">Based upon a review of </w:t>
      </w:r>
      <w:r>
        <w:rPr>
          <w:rFonts w:cstheme="minorHAnsi"/>
          <w:sz w:val="22"/>
          <w:szCs w:val="22"/>
        </w:rPr>
        <w:t xml:space="preserve">equity frameworks in the </w:t>
      </w:r>
      <w:r w:rsidRPr="002F3032">
        <w:rPr>
          <w:rFonts w:cstheme="minorHAnsi"/>
          <w:sz w:val="22"/>
          <w:szCs w:val="22"/>
        </w:rPr>
        <w:t xml:space="preserve">published and grey literature, as well as OHA sources, </w:t>
      </w:r>
      <w:r w:rsidRPr="0071678D">
        <w:rPr>
          <w:rFonts w:cstheme="minorHAnsi"/>
          <w:sz w:val="22"/>
          <w:szCs w:val="22"/>
        </w:rPr>
        <w:t xml:space="preserve">the evaluation team created an equity framework for this evaluation to frame the analysis of the impact of CCBHCs on addressing behavioral health treatment for Oregon residents </w:t>
      </w:r>
      <w:r>
        <w:rPr>
          <w:rFonts w:cstheme="minorHAnsi"/>
          <w:sz w:val="22"/>
          <w:szCs w:val="22"/>
        </w:rPr>
        <w:t xml:space="preserve">(Equitable Evaluation Initiative, n.d.; Oregon Health Authority, 2021b; W.K. Kellogg Foundation, 2021; Yearby, 2020). </w:t>
      </w:r>
      <w:r w:rsidRPr="0071678D">
        <w:rPr>
          <w:rFonts w:cstheme="minorHAnsi"/>
          <w:sz w:val="22"/>
          <w:szCs w:val="22"/>
        </w:rPr>
        <w:t>This approach</w:t>
      </w:r>
      <w:r>
        <w:rPr>
          <w:rFonts w:cstheme="minorHAnsi"/>
          <w:sz w:val="22"/>
          <w:szCs w:val="22"/>
        </w:rPr>
        <w:t>,</w:t>
      </w:r>
      <w:r w:rsidRPr="0071678D">
        <w:rPr>
          <w:rFonts w:cstheme="minorHAnsi"/>
          <w:sz w:val="22"/>
          <w:szCs w:val="22"/>
        </w:rPr>
        <w:t xml:space="preserve"> derived from OHA’s emphasis in the evaluation scope of work on centering equity in this evaluation</w:t>
      </w:r>
      <w:r>
        <w:rPr>
          <w:rFonts w:cstheme="minorHAnsi"/>
          <w:sz w:val="22"/>
          <w:szCs w:val="22"/>
        </w:rPr>
        <w:t xml:space="preserve">, </w:t>
      </w:r>
      <w:r w:rsidRPr="0071678D">
        <w:rPr>
          <w:rFonts w:cstheme="minorHAnsi"/>
          <w:sz w:val="22"/>
          <w:szCs w:val="22"/>
        </w:rPr>
        <w:t xml:space="preserve">reflects </w:t>
      </w:r>
      <w:r w:rsidRPr="0071678D">
        <w:rPr>
          <w:rFonts w:cstheme="minorHAnsi"/>
          <w:color w:val="000000"/>
          <w:sz w:val="22"/>
          <w:szCs w:val="22"/>
        </w:rPr>
        <w:t xml:space="preserve">OHA’s commitment to health equity at </w:t>
      </w:r>
      <w:r>
        <w:rPr>
          <w:rFonts w:cstheme="minorHAnsi"/>
          <w:color w:val="000000"/>
          <w:sz w:val="22"/>
          <w:szCs w:val="22"/>
        </w:rPr>
        <w:t>a system</w:t>
      </w:r>
      <w:r w:rsidRPr="0071678D">
        <w:rPr>
          <w:rFonts w:cstheme="minorHAnsi"/>
          <w:color w:val="000000"/>
          <w:sz w:val="22"/>
          <w:szCs w:val="22"/>
        </w:rPr>
        <w:t xml:space="preserve"> level</w:t>
      </w:r>
      <w:r>
        <w:rPr>
          <w:rFonts w:cstheme="minorHAnsi"/>
          <w:color w:val="000000"/>
          <w:sz w:val="22"/>
          <w:szCs w:val="22"/>
        </w:rPr>
        <w:t>,</w:t>
      </w:r>
      <w:r w:rsidRPr="0071678D">
        <w:rPr>
          <w:rFonts w:cstheme="minorHAnsi"/>
          <w:color w:val="000000"/>
          <w:sz w:val="22"/>
          <w:szCs w:val="22"/>
        </w:rPr>
        <w:t xml:space="preserve"> </w:t>
      </w:r>
      <w:r>
        <w:rPr>
          <w:rFonts w:cstheme="minorHAnsi"/>
          <w:color w:val="000000"/>
          <w:sz w:val="22"/>
          <w:szCs w:val="22"/>
        </w:rPr>
        <w:t>as well as a central</w:t>
      </w:r>
      <w:r w:rsidRPr="0071678D">
        <w:rPr>
          <w:rFonts w:cstheme="minorHAnsi"/>
          <w:color w:val="000000"/>
          <w:sz w:val="22"/>
          <w:szCs w:val="22"/>
        </w:rPr>
        <w:t xml:space="preserve"> </w:t>
      </w:r>
      <w:r>
        <w:rPr>
          <w:rFonts w:cstheme="minorHAnsi"/>
          <w:color w:val="000000"/>
          <w:sz w:val="22"/>
          <w:szCs w:val="22"/>
        </w:rPr>
        <w:t>theme of</w:t>
      </w:r>
      <w:r w:rsidRPr="0071678D">
        <w:rPr>
          <w:rFonts w:cstheme="minorHAnsi"/>
          <w:color w:val="000000"/>
          <w:sz w:val="22"/>
          <w:szCs w:val="22"/>
        </w:rPr>
        <w:t xml:space="preserve"> the CCBHC program</w:t>
      </w:r>
      <w:r w:rsidRPr="0071678D">
        <w:rPr>
          <w:rFonts w:cstheme="minorHAnsi"/>
          <w:sz w:val="22"/>
          <w:szCs w:val="22"/>
        </w:rPr>
        <w:t>. The o</w:t>
      </w:r>
      <w:r w:rsidRPr="0071678D">
        <w:rPr>
          <w:rStyle w:val="color11"/>
          <w:rFonts w:cstheme="minorHAnsi"/>
          <w:sz w:val="22"/>
          <w:szCs w:val="22"/>
        </w:rPr>
        <w:t>verarching question for this evaluation is:</w:t>
      </w:r>
      <w:r w:rsidR="00C71459">
        <w:rPr>
          <w:rStyle w:val="color11"/>
          <w:rFonts w:cstheme="minorHAnsi"/>
          <w:sz w:val="22"/>
          <w:szCs w:val="22"/>
        </w:rPr>
        <w:t xml:space="preserve"> </w:t>
      </w:r>
      <w:r w:rsidR="00F1409B" w:rsidRPr="00C71459">
        <w:rPr>
          <w:rStyle w:val="color11"/>
          <w:rFonts w:cstheme="minorHAnsi"/>
          <w:sz w:val="22"/>
          <w:szCs w:val="22"/>
        </w:rPr>
        <w:t xml:space="preserve">What is the effect of the CCBHC model on different populations and underlying systemic drivers of inequity? </w:t>
      </w:r>
    </w:p>
    <w:p w14:paraId="3F668E1E" w14:textId="77777777" w:rsidR="00F1409B" w:rsidRDefault="00F1409B" w:rsidP="00F1409B">
      <w:pPr>
        <w:rPr>
          <w:rFonts w:cstheme="minorHAnsi"/>
          <w:sz w:val="22"/>
          <w:szCs w:val="22"/>
        </w:rPr>
      </w:pPr>
    </w:p>
    <w:p w14:paraId="5C66E4FF" w14:textId="2F53C4E5" w:rsidR="00F1409B" w:rsidRDefault="00F1409B" w:rsidP="00F1409B">
      <w:pPr>
        <w:rPr>
          <w:rFonts w:cstheme="minorHAnsi"/>
          <w:sz w:val="22"/>
          <w:szCs w:val="22"/>
        </w:rPr>
      </w:pPr>
      <w:r>
        <w:rPr>
          <w:rFonts w:cstheme="minorHAnsi"/>
          <w:sz w:val="22"/>
          <w:szCs w:val="22"/>
        </w:rPr>
        <w:t>The s</w:t>
      </w:r>
      <w:r w:rsidRPr="002F3032">
        <w:rPr>
          <w:rFonts w:cstheme="minorHAnsi"/>
          <w:sz w:val="22"/>
          <w:szCs w:val="22"/>
        </w:rPr>
        <w:t>pecific</w:t>
      </w:r>
      <w:r>
        <w:rPr>
          <w:rFonts w:cstheme="minorHAnsi"/>
          <w:sz w:val="22"/>
          <w:szCs w:val="22"/>
        </w:rPr>
        <w:t xml:space="preserve"> questions that informed the design of data collection and subsequent analysis are</w:t>
      </w:r>
      <w:r w:rsidRPr="002F3032">
        <w:rPr>
          <w:rFonts w:cstheme="minorHAnsi"/>
          <w:sz w:val="22"/>
          <w:szCs w:val="22"/>
        </w:rPr>
        <w:t>:</w:t>
      </w:r>
    </w:p>
    <w:p w14:paraId="726BEB24" w14:textId="77777777" w:rsidR="00F1409B" w:rsidRPr="00747551" w:rsidRDefault="00F1409B">
      <w:pPr>
        <w:pStyle w:val="ListParagraph"/>
        <w:numPr>
          <w:ilvl w:val="0"/>
          <w:numId w:val="8"/>
        </w:numPr>
        <w:ind w:left="720"/>
        <w:rPr>
          <w:sz w:val="22"/>
          <w:szCs w:val="22"/>
        </w:rPr>
      </w:pPr>
      <w:r>
        <w:rPr>
          <w:sz w:val="22"/>
          <w:szCs w:val="22"/>
        </w:rPr>
        <w:t xml:space="preserve">How do the CCBHCs define and identify </w:t>
      </w:r>
      <w:r w:rsidRPr="00747551">
        <w:rPr>
          <w:sz w:val="22"/>
          <w:szCs w:val="22"/>
        </w:rPr>
        <w:t xml:space="preserve">communities that are experiencing health inequities in their service areas? </w:t>
      </w:r>
      <w:r>
        <w:rPr>
          <w:sz w:val="22"/>
          <w:szCs w:val="22"/>
        </w:rPr>
        <w:t>How does this align with OHA’s definition of equity?</w:t>
      </w:r>
    </w:p>
    <w:p w14:paraId="3128C27C" w14:textId="77777777" w:rsidR="00F1409B" w:rsidRDefault="00F1409B">
      <w:pPr>
        <w:pStyle w:val="ListParagraph"/>
        <w:numPr>
          <w:ilvl w:val="0"/>
          <w:numId w:val="8"/>
        </w:numPr>
        <w:ind w:left="720"/>
        <w:rPr>
          <w:sz w:val="22"/>
          <w:szCs w:val="22"/>
        </w:rPr>
      </w:pPr>
      <w:r>
        <w:rPr>
          <w:sz w:val="22"/>
          <w:szCs w:val="22"/>
        </w:rPr>
        <w:t xml:space="preserve">How have community voices been invited into the development and operation of CCBHCs? How are they invited to provide feedback to the CCBHCs? </w:t>
      </w:r>
    </w:p>
    <w:p w14:paraId="03B9D303" w14:textId="77777777" w:rsidR="00F1409B" w:rsidRPr="00D816FF" w:rsidRDefault="00F1409B">
      <w:pPr>
        <w:pStyle w:val="ListParagraph"/>
        <w:numPr>
          <w:ilvl w:val="0"/>
          <w:numId w:val="8"/>
        </w:numPr>
        <w:ind w:left="720"/>
        <w:rPr>
          <w:sz w:val="22"/>
          <w:szCs w:val="22"/>
        </w:rPr>
      </w:pPr>
      <w:r>
        <w:rPr>
          <w:sz w:val="22"/>
          <w:szCs w:val="22"/>
        </w:rPr>
        <w:t xml:space="preserve">What are the outcomes for service users of accessing the CCBHCs? What were the community responses to the CCBHC program? Do the outcomes and responses vary by community? </w:t>
      </w:r>
    </w:p>
    <w:p w14:paraId="0AE0C3E7" w14:textId="77777777" w:rsidR="00F1409B" w:rsidRDefault="00F1409B">
      <w:pPr>
        <w:pStyle w:val="ListParagraph"/>
        <w:numPr>
          <w:ilvl w:val="0"/>
          <w:numId w:val="8"/>
        </w:numPr>
        <w:ind w:left="720"/>
        <w:rPr>
          <w:sz w:val="22"/>
          <w:szCs w:val="22"/>
        </w:rPr>
      </w:pPr>
      <w:r>
        <w:rPr>
          <w:sz w:val="22"/>
          <w:szCs w:val="22"/>
        </w:rPr>
        <w:t xml:space="preserve">What strategies could be modified or enhanced to ensure the needs of potential CCBHC service users are met? </w:t>
      </w:r>
    </w:p>
    <w:p w14:paraId="6BC83607" w14:textId="77777777" w:rsidR="00F1409B" w:rsidRDefault="00F1409B">
      <w:pPr>
        <w:pStyle w:val="ListParagraph"/>
        <w:numPr>
          <w:ilvl w:val="0"/>
          <w:numId w:val="8"/>
        </w:numPr>
        <w:ind w:left="720"/>
        <w:rPr>
          <w:sz w:val="22"/>
          <w:szCs w:val="22"/>
        </w:rPr>
      </w:pPr>
      <w:r>
        <w:rPr>
          <w:sz w:val="22"/>
          <w:szCs w:val="22"/>
        </w:rPr>
        <w:t>What resources could be invested</w:t>
      </w:r>
      <w:r w:rsidRPr="00745B1A">
        <w:rPr>
          <w:sz w:val="22"/>
          <w:szCs w:val="22"/>
        </w:rPr>
        <w:t xml:space="preserve"> to enhance community collaborations and partnerships among CCBHCs and CBOs to ensure the needs of potential CCBHC service users are met? </w:t>
      </w:r>
    </w:p>
    <w:p w14:paraId="7ACDA4D3" w14:textId="77777777" w:rsidR="00F1409B" w:rsidRDefault="00F1409B" w:rsidP="00F1409B">
      <w:pPr>
        <w:rPr>
          <w:sz w:val="22"/>
          <w:szCs w:val="22"/>
        </w:rPr>
      </w:pPr>
    </w:p>
    <w:p w14:paraId="5E90FC32" w14:textId="77777777" w:rsidR="005E44B0" w:rsidRPr="00593473" w:rsidRDefault="005E44B0" w:rsidP="005E44B0">
      <w:pPr>
        <w:rPr>
          <w:sz w:val="22"/>
          <w:szCs w:val="22"/>
        </w:rPr>
      </w:pPr>
      <w:r>
        <w:rPr>
          <w:sz w:val="22"/>
          <w:szCs w:val="22"/>
        </w:rPr>
        <w:t>T</w:t>
      </w:r>
      <w:r w:rsidRPr="00593473">
        <w:rPr>
          <w:sz w:val="22"/>
          <w:szCs w:val="22"/>
        </w:rPr>
        <w:t>his report is organized to respond directly to the legislative mandate</w:t>
      </w:r>
      <w:r>
        <w:rPr>
          <w:sz w:val="22"/>
          <w:szCs w:val="22"/>
        </w:rPr>
        <w:t xml:space="preserve"> and OHA scope of work; </w:t>
      </w:r>
      <w:r w:rsidRPr="00593473">
        <w:rPr>
          <w:sz w:val="22"/>
          <w:szCs w:val="22"/>
        </w:rPr>
        <w:t>these questions informed the analytic process, development of recommendations, and discussion of the key findings</w:t>
      </w:r>
      <w:r>
        <w:rPr>
          <w:sz w:val="22"/>
          <w:szCs w:val="22"/>
        </w:rPr>
        <w:t xml:space="preserve">, but are not necessarily answered explicitly. </w:t>
      </w:r>
    </w:p>
    <w:p w14:paraId="7B27E772" w14:textId="77777777" w:rsidR="005E44B0" w:rsidRPr="001F5A4A" w:rsidRDefault="005E44B0" w:rsidP="005E44B0">
      <w:pPr>
        <w:rPr>
          <w:rFonts w:cstheme="minorHAnsi"/>
          <w:sz w:val="22"/>
          <w:szCs w:val="22"/>
        </w:rPr>
      </w:pPr>
    </w:p>
    <w:p w14:paraId="44E70616" w14:textId="04A3E814" w:rsidR="005E44B0" w:rsidRDefault="005E44B0" w:rsidP="005E44B0">
      <w:pPr>
        <w:rPr>
          <w:rFonts w:cstheme="minorHAnsi"/>
          <w:sz w:val="22"/>
          <w:szCs w:val="22"/>
        </w:rPr>
      </w:pPr>
      <w:r w:rsidRPr="00AC2B6A">
        <w:rPr>
          <w:rFonts w:cstheme="minorHAnsi"/>
          <w:sz w:val="22"/>
          <w:szCs w:val="22"/>
        </w:rPr>
        <w:t>In order to provide contex</w:t>
      </w:r>
      <w:r>
        <w:rPr>
          <w:rFonts w:cstheme="minorHAnsi"/>
          <w:sz w:val="22"/>
          <w:szCs w:val="22"/>
        </w:rPr>
        <w:t xml:space="preserve">tual background information </w:t>
      </w:r>
      <w:r w:rsidRPr="00AC2B6A">
        <w:rPr>
          <w:rFonts w:cstheme="minorHAnsi"/>
          <w:sz w:val="22"/>
          <w:szCs w:val="22"/>
        </w:rPr>
        <w:t xml:space="preserve">to </w:t>
      </w:r>
      <w:r>
        <w:rPr>
          <w:rFonts w:cstheme="minorHAnsi"/>
          <w:sz w:val="22"/>
          <w:szCs w:val="22"/>
        </w:rPr>
        <w:t xml:space="preserve">support </w:t>
      </w:r>
      <w:r w:rsidRPr="00AC2B6A">
        <w:rPr>
          <w:rFonts w:cstheme="minorHAnsi"/>
          <w:sz w:val="22"/>
          <w:szCs w:val="22"/>
        </w:rPr>
        <w:t xml:space="preserve">the analysis that follows </w:t>
      </w:r>
      <w:r>
        <w:rPr>
          <w:rFonts w:cstheme="minorHAnsi"/>
          <w:sz w:val="22"/>
          <w:szCs w:val="22"/>
        </w:rPr>
        <w:t>and</w:t>
      </w:r>
      <w:r w:rsidRPr="00AC2B6A">
        <w:rPr>
          <w:rFonts w:cstheme="minorHAnsi"/>
          <w:sz w:val="22"/>
          <w:szCs w:val="22"/>
        </w:rPr>
        <w:t xml:space="preserve"> </w:t>
      </w:r>
      <w:r>
        <w:rPr>
          <w:rFonts w:cstheme="minorHAnsi"/>
          <w:sz w:val="22"/>
          <w:szCs w:val="22"/>
        </w:rPr>
        <w:t>highlight in</w:t>
      </w:r>
      <w:r w:rsidRPr="00AC2B6A">
        <w:rPr>
          <w:rFonts w:cstheme="minorHAnsi"/>
          <w:sz w:val="22"/>
          <w:szCs w:val="22"/>
        </w:rPr>
        <w:t>equit</w:t>
      </w:r>
      <w:r>
        <w:rPr>
          <w:rFonts w:cstheme="minorHAnsi"/>
          <w:sz w:val="22"/>
          <w:szCs w:val="22"/>
        </w:rPr>
        <w:t>ies</w:t>
      </w:r>
      <w:r w:rsidRPr="00AC2B6A">
        <w:rPr>
          <w:rFonts w:cstheme="minorHAnsi"/>
          <w:sz w:val="22"/>
          <w:szCs w:val="22"/>
        </w:rPr>
        <w:t>, the following maps were prepared t</w:t>
      </w:r>
      <w:r>
        <w:rPr>
          <w:rFonts w:cstheme="minorHAnsi"/>
          <w:sz w:val="22"/>
          <w:szCs w:val="22"/>
        </w:rPr>
        <w:t>o</w:t>
      </w:r>
      <w:r w:rsidRPr="00AC2B6A">
        <w:rPr>
          <w:rFonts w:cstheme="minorHAnsi"/>
          <w:sz w:val="22"/>
          <w:szCs w:val="22"/>
        </w:rPr>
        <w:t xml:space="preserve"> illustrate population distributions by Oregon census tract, with the CCBHC sites i</w:t>
      </w:r>
      <w:r>
        <w:rPr>
          <w:rFonts w:cstheme="minorHAnsi"/>
          <w:sz w:val="22"/>
          <w:szCs w:val="22"/>
        </w:rPr>
        <w:t>dentifi</w:t>
      </w:r>
      <w:r w:rsidRPr="00AC2B6A">
        <w:rPr>
          <w:rFonts w:cstheme="minorHAnsi"/>
          <w:sz w:val="22"/>
          <w:szCs w:val="22"/>
        </w:rPr>
        <w:t xml:space="preserve">ed on each map. </w:t>
      </w:r>
    </w:p>
    <w:p w14:paraId="6DE155A1" w14:textId="77777777" w:rsidR="005E44B0" w:rsidRDefault="005E44B0" w:rsidP="005E44B0">
      <w:pPr>
        <w:rPr>
          <w:rFonts w:cstheme="minorHAnsi"/>
          <w:sz w:val="22"/>
          <w:szCs w:val="22"/>
        </w:rPr>
      </w:pPr>
    </w:p>
    <w:p w14:paraId="4FB6F66C" w14:textId="789EE0F2" w:rsidR="00F1409B" w:rsidRPr="00AD2ACF" w:rsidRDefault="005E44B0" w:rsidP="005E44B0">
      <w:pPr>
        <w:textAlignment w:val="baseline"/>
        <w:rPr>
          <w:rFonts w:cstheme="minorHAnsi"/>
          <w:color w:val="242424"/>
          <w:sz w:val="22"/>
          <w:szCs w:val="22"/>
        </w:rPr>
      </w:pPr>
      <w:r w:rsidRPr="00261B2D">
        <w:rPr>
          <w:rFonts w:cstheme="minorHAnsi"/>
          <w:color w:val="6A7F0F"/>
          <w:sz w:val="22"/>
          <w:szCs w:val="22"/>
        </w:rPr>
        <w:t xml:space="preserve">Figure 2 </w:t>
      </w:r>
      <w:r w:rsidRPr="00AC2B6A">
        <w:rPr>
          <w:rFonts w:cstheme="minorHAnsi"/>
          <w:sz w:val="22"/>
          <w:szCs w:val="22"/>
        </w:rPr>
        <w:t xml:space="preserve">illustrates the </w:t>
      </w:r>
      <w:r>
        <w:rPr>
          <w:rFonts w:cstheme="minorHAnsi"/>
          <w:sz w:val="22"/>
          <w:szCs w:val="22"/>
        </w:rPr>
        <w:t xml:space="preserve">aggregate self-reported racial/ethnic </w:t>
      </w:r>
      <w:r w:rsidRPr="00AC2B6A">
        <w:rPr>
          <w:rFonts w:cstheme="minorHAnsi"/>
          <w:sz w:val="22"/>
          <w:szCs w:val="22"/>
        </w:rPr>
        <w:t>distribution of</w:t>
      </w:r>
      <w:r>
        <w:rPr>
          <w:rFonts w:cstheme="minorHAnsi"/>
          <w:sz w:val="22"/>
          <w:szCs w:val="22"/>
        </w:rPr>
        <w:t xml:space="preserve"> Oregon’s</w:t>
      </w:r>
      <w:r w:rsidRPr="00AC2B6A">
        <w:rPr>
          <w:rFonts w:cstheme="minorHAnsi"/>
          <w:sz w:val="22"/>
          <w:szCs w:val="22"/>
        </w:rPr>
        <w:t xml:space="preserve"> population </w:t>
      </w:r>
      <w:r>
        <w:rPr>
          <w:rFonts w:cstheme="minorHAnsi"/>
          <w:sz w:val="22"/>
          <w:szCs w:val="22"/>
        </w:rPr>
        <w:t xml:space="preserve">by census tract </w:t>
      </w:r>
      <w:r w:rsidRPr="00AC2B6A">
        <w:rPr>
          <w:rFonts w:cstheme="minorHAnsi"/>
          <w:sz w:val="22"/>
          <w:szCs w:val="22"/>
        </w:rPr>
        <w:t xml:space="preserve">as defined by </w:t>
      </w:r>
      <w:r>
        <w:rPr>
          <w:rFonts w:cstheme="minorHAnsi"/>
          <w:sz w:val="22"/>
          <w:szCs w:val="22"/>
        </w:rPr>
        <w:t xml:space="preserve">the 2020 5-Year American Community Survey </w:t>
      </w:r>
      <w:r w:rsidRPr="005D5939">
        <w:rPr>
          <w:rFonts w:cstheme="minorHAnsi"/>
          <w:sz w:val="22"/>
          <w:szCs w:val="22"/>
        </w:rPr>
        <w:t>(</w:t>
      </w:r>
      <w:r>
        <w:rPr>
          <w:rFonts w:cstheme="minorHAnsi"/>
          <w:sz w:val="22"/>
          <w:szCs w:val="22"/>
        </w:rPr>
        <w:t>U.S. Census Bureau, 2022</w:t>
      </w:r>
      <w:r w:rsidRPr="005D5939">
        <w:rPr>
          <w:rFonts w:cstheme="minorHAnsi"/>
          <w:sz w:val="22"/>
          <w:szCs w:val="22"/>
        </w:rPr>
        <w:t xml:space="preserve">). </w:t>
      </w:r>
      <w:r w:rsidRPr="00AC2B6A">
        <w:rPr>
          <w:rFonts w:cstheme="minorHAnsi"/>
          <w:sz w:val="22"/>
          <w:szCs w:val="22"/>
        </w:rPr>
        <w:t xml:space="preserve">The CCBHC sites are designated (as in Figure 1). </w:t>
      </w:r>
      <w:r>
        <w:rPr>
          <w:rFonts w:cstheme="minorHAnsi"/>
          <w:color w:val="242424"/>
          <w:sz w:val="22"/>
          <w:szCs w:val="22"/>
        </w:rPr>
        <w:t xml:space="preserve">Figure 2 provides evidence of the population concentrations of individuals self-reporting race/ethnicity relative to the location of the CCBHCs. </w:t>
      </w:r>
      <w:r w:rsidRPr="00AC2B6A">
        <w:rPr>
          <w:rFonts w:cstheme="minorHAnsi"/>
          <w:sz w:val="22"/>
          <w:szCs w:val="22"/>
        </w:rPr>
        <w:t xml:space="preserve">Specific maps </w:t>
      </w:r>
      <w:r>
        <w:rPr>
          <w:rFonts w:cstheme="minorHAnsi"/>
          <w:sz w:val="22"/>
          <w:szCs w:val="22"/>
        </w:rPr>
        <w:t xml:space="preserve">illustrating distribution </w:t>
      </w:r>
      <w:r w:rsidRPr="00AC2B6A">
        <w:rPr>
          <w:rFonts w:cstheme="minorHAnsi"/>
          <w:sz w:val="22"/>
          <w:szCs w:val="22"/>
        </w:rPr>
        <w:t xml:space="preserve">by </w:t>
      </w:r>
      <w:r>
        <w:rPr>
          <w:rFonts w:cstheme="minorHAnsi"/>
          <w:sz w:val="22"/>
          <w:szCs w:val="22"/>
        </w:rPr>
        <w:t>racial/ethnic</w:t>
      </w:r>
      <w:r w:rsidRPr="00AC2B6A">
        <w:rPr>
          <w:rFonts w:cstheme="minorHAnsi"/>
          <w:sz w:val="22"/>
          <w:szCs w:val="22"/>
        </w:rPr>
        <w:t xml:space="preserve"> group are presented in</w:t>
      </w:r>
      <w:r w:rsidR="00F1409B" w:rsidRPr="00DF2CAB">
        <w:rPr>
          <w:rFonts w:cstheme="minorHAnsi"/>
          <w:sz w:val="22"/>
          <w:szCs w:val="22"/>
        </w:rPr>
        <w:t xml:space="preserve"> </w:t>
      </w:r>
      <w:hyperlink w:anchor="_Appendix_2:_Maps" w:history="1">
        <w:r w:rsidR="00F1409B" w:rsidRPr="00DF2CAB">
          <w:rPr>
            <w:rStyle w:val="Hyperlink"/>
            <w:rFonts w:cstheme="minorHAnsi"/>
            <w:sz w:val="22"/>
            <w:szCs w:val="22"/>
          </w:rPr>
          <w:t>Appendix 2</w:t>
        </w:r>
      </w:hyperlink>
      <w:r w:rsidR="00F1409B" w:rsidRPr="00DF2CAB">
        <w:rPr>
          <w:rFonts w:cstheme="minorHAnsi"/>
          <w:sz w:val="22"/>
          <w:szCs w:val="22"/>
        </w:rPr>
        <w:t>.</w:t>
      </w:r>
      <w:r w:rsidR="00F1409B" w:rsidRPr="00AC2B6A">
        <w:rPr>
          <w:rFonts w:cstheme="minorHAnsi"/>
          <w:sz w:val="22"/>
          <w:szCs w:val="22"/>
        </w:rPr>
        <w:t xml:space="preserve"> </w:t>
      </w:r>
    </w:p>
    <w:p w14:paraId="39187011" w14:textId="77777777" w:rsidR="00F1409B" w:rsidRDefault="00F1409B" w:rsidP="00F1409B">
      <w:pPr>
        <w:rPr>
          <w:rFonts w:cstheme="minorHAnsi"/>
          <w:sz w:val="22"/>
          <w:szCs w:val="22"/>
        </w:rPr>
      </w:pPr>
    </w:p>
    <w:p w14:paraId="254524AC" w14:textId="4A71566E" w:rsidR="00F1409B" w:rsidRPr="001173FB" w:rsidRDefault="00F66AE0" w:rsidP="00C71459">
      <w:pPr>
        <w:pStyle w:val="Caption"/>
        <w:keepNext/>
        <w:spacing w:after="0"/>
        <w:jc w:val="center"/>
        <w:rPr>
          <w:b/>
          <w:bCs/>
          <w:i w:val="0"/>
          <w:iCs w:val="0"/>
          <w:color w:val="6A7F0F"/>
          <w:sz w:val="22"/>
          <w:szCs w:val="22"/>
        </w:rPr>
      </w:pPr>
      <w:bookmarkStart w:id="17" w:name="_Toc125504947"/>
      <w:r w:rsidRPr="001173FB">
        <w:rPr>
          <w:b/>
          <w:bCs/>
          <w:i w:val="0"/>
          <w:iCs w:val="0"/>
          <w:color w:val="6A7F0F"/>
          <w:sz w:val="22"/>
          <w:szCs w:val="22"/>
        </w:rPr>
        <w:t xml:space="preserve">Figure </w:t>
      </w:r>
      <w:r w:rsidRPr="001173FB">
        <w:rPr>
          <w:b/>
          <w:bCs/>
          <w:i w:val="0"/>
          <w:iCs w:val="0"/>
          <w:color w:val="6A7F0F"/>
          <w:sz w:val="22"/>
          <w:szCs w:val="22"/>
        </w:rPr>
        <w:fldChar w:fldCharType="begin"/>
      </w:r>
      <w:r w:rsidRPr="001173FB">
        <w:rPr>
          <w:b/>
          <w:bCs/>
          <w:i w:val="0"/>
          <w:iCs w:val="0"/>
          <w:color w:val="6A7F0F"/>
          <w:sz w:val="22"/>
          <w:szCs w:val="22"/>
        </w:rPr>
        <w:instrText xml:space="preserve"> SEQ Figure \* ARABIC </w:instrText>
      </w:r>
      <w:r w:rsidRPr="001173FB">
        <w:rPr>
          <w:b/>
          <w:bCs/>
          <w:i w:val="0"/>
          <w:iCs w:val="0"/>
          <w:color w:val="6A7F0F"/>
          <w:sz w:val="22"/>
          <w:szCs w:val="22"/>
        </w:rPr>
        <w:fldChar w:fldCharType="separate"/>
      </w:r>
      <w:r w:rsidR="00DA018F">
        <w:rPr>
          <w:b/>
          <w:bCs/>
          <w:i w:val="0"/>
          <w:iCs w:val="0"/>
          <w:noProof/>
          <w:color w:val="6A7F0F"/>
          <w:sz w:val="22"/>
          <w:szCs w:val="22"/>
        </w:rPr>
        <w:t>2</w:t>
      </w:r>
      <w:r w:rsidRPr="001173FB">
        <w:rPr>
          <w:b/>
          <w:bCs/>
          <w:i w:val="0"/>
          <w:iCs w:val="0"/>
          <w:color w:val="6A7F0F"/>
          <w:sz w:val="22"/>
          <w:szCs w:val="22"/>
        </w:rPr>
        <w:fldChar w:fldCharType="end"/>
      </w:r>
      <w:r w:rsidR="00E9071F" w:rsidRPr="001173FB">
        <w:rPr>
          <w:b/>
          <w:bCs/>
          <w:i w:val="0"/>
          <w:iCs w:val="0"/>
          <w:color w:val="6A7F0F"/>
          <w:sz w:val="22"/>
          <w:szCs w:val="22"/>
        </w:rPr>
        <w:t>:</w:t>
      </w:r>
      <w:r w:rsidRPr="001173FB">
        <w:rPr>
          <w:b/>
          <w:bCs/>
          <w:i w:val="0"/>
          <w:iCs w:val="0"/>
          <w:color w:val="6A7F0F"/>
          <w:sz w:val="22"/>
          <w:szCs w:val="22"/>
        </w:rPr>
        <w:t xml:space="preserve"> Self-Reported Racial/Ethnic Distribution of Oregon’s Population</w:t>
      </w:r>
      <w:bookmarkEnd w:id="17"/>
    </w:p>
    <w:p w14:paraId="689CAF60" w14:textId="58A22FEB" w:rsidR="00F1409B" w:rsidRPr="004D58DD" w:rsidRDefault="003B0D7C" w:rsidP="00F1409B">
      <w:pPr>
        <w:rPr>
          <w:rFonts w:cstheme="minorHAnsi"/>
          <w:sz w:val="22"/>
          <w:szCs w:val="22"/>
          <w:u w:val="single"/>
        </w:rPr>
      </w:pPr>
      <w:r>
        <w:rPr>
          <w:noProof/>
          <w:sz w:val="22"/>
          <w:szCs w:val="22"/>
        </w:rPr>
        <w:drawing>
          <wp:inline distT="0" distB="0" distL="0" distR="0" wp14:anchorId="6115251C" wp14:editId="5418717A">
            <wp:extent cx="5761408" cy="269866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3037" cy="2708791"/>
                    </a:xfrm>
                    <a:prstGeom prst="rect">
                      <a:avLst/>
                    </a:prstGeom>
                  </pic:spPr>
                </pic:pic>
              </a:graphicData>
            </a:graphic>
          </wp:inline>
        </w:drawing>
      </w:r>
    </w:p>
    <w:p w14:paraId="77BCF3F0" w14:textId="77777777" w:rsidR="003B0D7C" w:rsidRPr="00F935D1" w:rsidRDefault="003B0D7C" w:rsidP="003B0D7C">
      <w:pPr>
        <w:jc w:val="center"/>
        <w:textAlignment w:val="baseline"/>
        <w:rPr>
          <w:rFonts w:cstheme="minorHAnsi"/>
          <w:sz w:val="20"/>
          <w:szCs w:val="20"/>
        </w:rPr>
      </w:pPr>
      <w:r w:rsidRPr="00F935D1">
        <w:rPr>
          <w:rFonts w:cstheme="minorHAnsi"/>
          <w:color w:val="000000" w:themeColor="text1"/>
          <w:sz w:val="20"/>
          <w:szCs w:val="20"/>
        </w:rPr>
        <w:t xml:space="preserve">Source: </w:t>
      </w:r>
      <w:r>
        <w:rPr>
          <w:rFonts w:cstheme="minorHAnsi"/>
          <w:color w:val="000000" w:themeColor="text1"/>
          <w:sz w:val="20"/>
          <w:szCs w:val="20"/>
        </w:rPr>
        <w:t>Oregon Office of Rural Health</w:t>
      </w:r>
      <w:r w:rsidRPr="00F935D1">
        <w:rPr>
          <w:rFonts w:cstheme="minorHAnsi"/>
          <w:color w:val="000000" w:themeColor="text1"/>
          <w:sz w:val="20"/>
          <w:szCs w:val="20"/>
        </w:rPr>
        <w:t>, 2022</w:t>
      </w:r>
    </w:p>
    <w:p w14:paraId="5E00EE5C" w14:textId="77777777" w:rsidR="00F1409B" w:rsidRPr="00AC2B6A" w:rsidRDefault="00F1409B" w:rsidP="00F1409B">
      <w:pPr>
        <w:rPr>
          <w:rFonts w:cstheme="minorHAnsi"/>
          <w:sz w:val="22"/>
          <w:szCs w:val="22"/>
        </w:rPr>
      </w:pPr>
    </w:p>
    <w:p w14:paraId="21372823" w14:textId="68DE4F4C" w:rsidR="005E44B0" w:rsidRPr="00AD2ACF" w:rsidRDefault="005E44B0" w:rsidP="005E44B0">
      <w:pPr>
        <w:textAlignment w:val="baseline"/>
        <w:rPr>
          <w:rFonts w:cstheme="minorHAnsi"/>
          <w:color w:val="242424"/>
          <w:sz w:val="22"/>
          <w:szCs w:val="22"/>
        </w:rPr>
      </w:pPr>
      <w:r w:rsidRPr="00261B2D">
        <w:rPr>
          <w:rFonts w:cstheme="minorHAnsi"/>
          <w:color w:val="6A7F0F"/>
          <w:sz w:val="22"/>
          <w:szCs w:val="22"/>
        </w:rPr>
        <w:t xml:space="preserve">Figure 3 </w:t>
      </w:r>
      <w:r w:rsidRPr="00B51023">
        <w:rPr>
          <w:rFonts w:cstheme="minorHAnsi"/>
          <w:sz w:val="22"/>
          <w:szCs w:val="22"/>
        </w:rPr>
        <w:t xml:space="preserve">illustrates the percent of people uninsured by Oregon census tract. </w:t>
      </w:r>
      <w:r w:rsidRPr="00AD2ACF">
        <w:rPr>
          <w:rFonts w:cstheme="minorHAnsi"/>
          <w:color w:val="242424"/>
          <w:sz w:val="22"/>
          <w:szCs w:val="22"/>
        </w:rPr>
        <w:t>Th</w:t>
      </w:r>
      <w:r>
        <w:rPr>
          <w:rFonts w:cstheme="minorHAnsi"/>
          <w:color w:val="242424"/>
          <w:sz w:val="22"/>
          <w:szCs w:val="22"/>
        </w:rPr>
        <w:t>ese</w:t>
      </w:r>
      <w:r w:rsidRPr="00AD2ACF">
        <w:rPr>
          <w:rFonts w:cstheme="minorHAnsi"/>
          <w:color w:val="242424"/>
          <w:sz w:val="22"/>
          <w:szCs w:val="22"/>
        </w:rPr>
        <w:t xml:space="preserve"> data come from the </w:t>
      </w:r>
      <w:r w:rsidR="004E7CF5">
        <w:rPr>
          <w:rFonts w:cstheme="minorHAnsi"/>
          <w:color w:val="242424"/>
          <w:sz w:val="22"/>
          <w:szCs w:val="22"/>
        </w:rPr>
        <w:t>Centers for Disease Control and Prevention’s (</w:t>
      </w:r>
      <w:r w:rsidRPr="00AD2ACF">
        <w:rPr>
          <w:rFonts w:cstheme="minorHAnsi"/>
          <w:color w:val="242424"/>
          <w:sz w:val="22"/>
          <w:szCs w:val="22"/>
        </w:rPr>
        <w:t>CDC</w:t>
      </w:r>
      <w:r w:rsidR="004E7CF5">
        <w:rPr>
          <w:rFonts w:cstheme="minorHAnsi"/>
          <w:color w:val="242424"/>
          <w:sz w:val="22"/>
          <w:szCs w:val="22"/>
        </w:rPr>
        <w:t>)</w:t>
      </w:r>
      <w:r w:rsidRPr="00AD2ACF">
        <w:rPr>
          <w:rFonts w:cstheme="minorHAnsi"/>
          <w:color w:val="242424"/>
          <w:sz w:val="22"/>
          <w:szCs w:val="22"/>
        </w:rPr>
        <w:t xml:space="preserve"> Social Vulnerability Index, informed by data from the </w:t>
      </w:r>
      <w:r>
        <w:rPr>
          <w:rFonts w:cstheme="minorHAnsi"/>
          <w:color w:val="242424"/>
          <w:sz w:val="22"/>
          <w:szCs w:val="22"/>
        </w:rPr>
        <w:t xml:space="preserve">above-noted </w:t>
      </w:r>
      <w:r w:rsidRPr="00AD2ACF">
        <w:rPr>
          <w:rFonts w:cstheme="minorHAnsi"/>
          <w:color w:val="242424"/>
          <w:sz w:val="22"/>
          <w:szCs w:val="22"/>
        </w:rPr>
        <w:t>2020 American Community Survey</w:t>
      </w:r>
      <w:r>
        <w:rPr>
          <w:rFonts w:cstheme="minorHAnsi"/>
          <w:color w:val="242424"/>
          <w:sz w:val="22"/>
          <w:szCs w:val="22"/>
        </w:rPr>
        <w:t xml:space="preserve"> (CDC/ATSDR, 2022)</w:t>
      </w:r>
      <w:r w:rsidRPr="00AD2ACF">
        <w:rPr>
          <w:rFonts w:cstheme="minorHAnsi"/>
          <w:color w:val="242424"/>
          <w:sz w:val="22"/>
          <w:szCs w:val="22"/>
        </w:rPr>
        <w:t xml:space="preserve">. </w:t>
      </w:r>
      <w:r w:rsidRPr="00B51023">
        <w:rPr>
          <w:rFonts w:cstheme="minorHAnsi"/>
          <w:sz w:val="22"/>
          <w:szCs w:val="22"/>
        </w:rPr>
        <w:t>This demographic group is important in terms of ability to access health services,</w:t>
      </w:r>
      <w:r w:rsidRPr="00AC2B6A">
        <w:rPr>
          <w:rFonts w:cstheme="minorHAnsi"/>
          <w:sz w:val="22"/>
          <w:szCs w:val="22"/>
        </w:rPr>
        <w:t xml:space="preserve"> recognizing that CCBHCs serve all individuals regardless of insurance status and acknowledging that a lack of insurance may limit ability to pursue referrals, inpatient services and/or specialty health services.</w:t>
      </w:r>
      <w:r>
        <w:rPr>
          <w:rFonts w:cstheme="minorHAnsi"/>
          <w:sz w:val="22"/>
          <w:szCs w:val="22"/>
        </w:rPr>
        <w:t xml:space="preserve"> </w:t>
      </w:r>
      <w:r w:rsidRPr="00261B2D">
        <w:rPr>
          <w:rFonts w:cstheme="minorHAnsi"/>
          <w:color w:val="6A7F0F"/>
          <w:sz w:val="22"/>
          <w:szCs w:val="22"/>
        </w:rPr>
        <w:t xml:space="preserve">Figure 3 </w:t>
      </w:r>
      <w:r>
        <w:rPr>
          <w:rFonts w:cstheme="minorHAnsi"/>
          <w:color w:val="242424"/>
          <w:sz w:val="22"/>
          <w:szCs w:val="22"/>
        </w:rPr>
        <w:t>provides evidence of the population concentrations of uninsured individuals relative to the location of the CCBHCs.</w:t>
      </w:r>
    </w:p>
    <w:p w14:paraId="40386E30" w14:textId="77777777" w:rsidR="00777AE0" w:rsidRDefault="00777AE0" w:rsidP="00F1409B">
      <w:pPr>
        <w:rPr>
          <w:rFonts w:cstheme="minorHAnsi"/>
          <w:sz w:val="22"/>
          <w:szCs w:val="22"/>
        </w:rPr>
      </w:pPr>
    </w:p>
    <w:p w14:paraId="43E89A18" w14:textId="04C2F60B" w:rsidR="00F1409B" w:rsidRPr="001173FB" w:rsidRDefault="00F66AE0" w:rsidP="00C71459">
      <w:pPr>
        <w:pStyle w:val="Caption"/>
        <w:spacing w:after="0"/>
        <w:jc w:val="center"/>
        <w:rPr>
          <w:rFonts w:cstheme="minorHAnsi"/>
          <w:b/>
          <w:bCs/>
          <w:i w:val="0"/>
          <w:iCs w:val="0"/>
          <w:color w:val="6A7F0F"/>
          <w:sz w:val="22"/>
          <w:szCs w:val="22"/>
        </w:rPr>
      </w:pPr>
      <w:bookmarkStart w:id="18" w:name="_Toc125504948"/>
      <w:r w:rsidRPr="001173FB">
        <w:rPr>
          <w:b/>
          <w:bCs/>
          <w:i w:val="0"/>
          <w:iCs w:val="0"/>
          <w:color w:val="6A7F0F"/>
          <w:sz w:val="22"/>
          <w:szCs w:val="22"/>
        </w:rPr>
        <w:t xml:space="preserve">Figure </w:t>
      </w:r>
      <w:r w:rsidRPr="001173FB">
        <w:rPr>
          <w:b/>
          <w:bCs/>
          <w:i w:val="0"/>
          <w:iCs w:val="0"/>
          <w:color w:val="6A7F0F"/>
          <w:sz w:val="22"/>
          <w:szCs w:val="22"/>
        </w:rPr>
        <w:fldChar w:fldCharType="begin"/>
      </w:r>
      <w:r w:rsidRPr="001173FB">
        <w:rPr>
          <w:b/>
          <w:bCs/>
          <w:i w:val="0"/>
          <w:iCs w:val="0"/>
          <w:color w:val="6A7F0F"/>
          <w:sz w:val="22"/>
          <w:szCs w:val="22"/>
        </w:rPr>
        <w:instrText xml:space="preserve"> SEQ Figure \* ARABIC </w:instrText>
      </w:r>
      <w:r w:rsidRPr="001173FB">
        <w:rPr>
          <w:b/>
          <w:bCs/>
          <w:i w:val="0"/>
          <w:iCs w:val="0"/>
          <w:color w:val="6A7F0F"/>
          <w:sz w:val="22"/>
          <w:szCs w:val="22"/>
        </w:rPr>
        <w:fldChar w:fldCharType="separate"/>
      </w:r>
      <w:r w:rsidR="00DA018F">
        <w:rPr>
          <w:b/>
          <w:bCs/>
          <w:i w:val="0"/>
          <w:iCs w:val="0"/>
          <w:noProof/>
          <w:color w:val="6A7F0F"/>
          <w:sz w:val="22"/>
          <w:szCs w:val="22"/>
        </w:rPr>
        <w:t>3</w:t>
      </w:r>
      <w:r w:rsidRPr="001173FB">
        <w:rPr>
          <w:b/>
          <w:bCs/>
          <w:i w:val="0"/>
          <w:iCs w:val="0"/>
          <w:color w:val="6A7F0F"/>
          <w:sz w:val="22"/>
          <w:szCs w:val="22"/>
        </w:rPr>
        <w:fldChar w:fldCharType="end"/>
      </w:r>
      <w:r w:rsidRPr="001173FB">
        <w:rPr>
          <w:b/>
          <w:bCs/>
          <w:i w:val="0"/>
          <w:iCs w:val="0"/>
          <w:color w:val="6A7F0F"/>
          <w:sz w:val="22"/>
          <w:szCs w:val="22"/>
        </w:rPr>
        <w:t>: Percent of People Uninsured by Oregon Census Tract</w:t>
      </w:r>
      <w:bookmarkEnd w:id="18"/>
    </w:p>
    <w:p w14:paraId="4D6C6A07" w14:textId="77777777" w:rsidR="00F1409B" w:rsidRDefault="00F1409B" w:rsidP="00C71459">
      <w:pPr>
        <w:jc w:val="center"/>
        <w:rPr>
          <w:rFonts w:cstheme="minorHAnsi"/>
          <w:sz w:val="22"/>
          <w:szCs w:val="22"/>
        </w:rPr>
      </w:pPr>
      <w:r>
        <w:rPr>
          <w:rFonts w:cstheme="minorHAnsi"/>
          <w:noProof/>
          <w:sz w:val="22"/>
          <w:szCs w:val="22"/>
        </w:rPr>
        <w:drawing>
          <wp:inline distT="0" distB="0" distL="0" distR="0" wp14:anchorId="23B14858" wp14:editId="7747B973">
            <wp:extent cx="5644414" cy="2884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l="-1" r="10" b="2114"/>
                    <a:stretch/>
                  </pic:blipFill>
                  <pic:spPr bwMode="auto">
                    <a:xfrm>
                      <a:off x="0" y="0"/>
                      <a:ext cx="5670803" cy="2898201"/>
                    </a:xfrm>
                    <a:prstGeom prst="rect">
                      <a:avLst/>
                    </a:prstGeom>
                    <a:ln>
                      <a:noFill/>
                    </a:ln>
                    <a:extLst>
                      <a:ext uri="{53640926-AAD7-44D8-BBD7-CCE9431645EC}">
                        <a14:shadowObscured xmlns:a14="http://schemas.microsoft.com/office/drawing/2010/main"/>
                      </a:ext>
                    </a:extLst>
                  </pic:spPr>
                </pic:pic>
              </a:graphicData>
            </a:graphic>
          </wp:inline>
        </w:drawing>
      </w:r>
    </w:p>
    <w:p w14:paraId="0B8A916D" w14:textId="77777777" w:rsidR="003B0D7C" w:rsidRPr="00F935D1" w:rsidRDefault="003B0D7C" w:rsidP="003B0D7C">
      <w:pPr>
        <w:jc w:val="center"/>
        <w:textAlignment w:val="baseline"/>
        <w:rPr>
          <w:rFonts w:cstheme="minorHAnsi"/>
          <w:sz w:val="20"/>
          <w:szCs w:val="20"/>
        </w:rPr>
      </w:pPr>
      <w:r w:rsidRPr="00F935D1">
        <w:rPr>
          <w:rFonts w:cstheme="minorHAnsi"/>
          <w:color w:val="000000" w:themeColor="text1"/>
          <w:sz w:val="20"/>
          <w:szCs w:val="20"/>
        </w:rPr>
        <w:t>Source: CDC/ATSDR, 2022</w:t>
      </w:r>
    </w:p>
    <w:p w14:paraId="6A3BB983" w14:textId="77777777" w:rsidR="001A6543" w:rsidRDefault="001A6543">
      <w:pPr>
        <w:rPr>
          <w:rFonts w:cstheme="minorHAnsi"/>
          <w:sz w:val="22"/>
          <w:szCs w:val="22"/>
        </w:rPr>
      </w:pPr>
    </w:p>
    <w:p w14:paraId="2759459D" w14:textId="4EE3E1A0" w:rsidR="00777AE0" w:rsidRPr="001A6543" w:rsidRDefault="005E44B0" w:rsidP="001A6543">
      <w:pPr>
        <w:textAlignment w:val="baseline"/>
        <w:rPr>
          <w:rFonts w:cstheme="minorHAnsi"/>
          <w:color w:val="242424"/>
          <w:sz w:val="22"/>
          <w:szCs w:val="22"/>
        </w:rPr>
      </w:pPr>
      <w:r w:rsidRPr="00261B2D">
        <w:rPr>
          <w:rFonts w:cstheme="minorHAnsi"/>
          <w:color w:val="6A7F0F"/>
          <w:sz w:val="22"/>
          <w:szCs w:val="22"/>
        </w:rPr>
        <w:t xml:space="preserve">Figure 4 </w:t>
      </w:r>
      <w:r w:rsidRPr="003C0AD3">
        <w:rPr>
          <w:rFonts w:cstheme="minorHAnsi"/>
          <w:sz w:val="22"/>
          <w:szCs w:val="22"/>
        </w:rPr>
        <w:t xml:space="preserve">illustrates the percent of people living below 150% of the federal poverty level by Oregon census tract. </w:t>
      </w:r>
      <w:r w:rsidRPr="003C0AD3">
        <w:rPr>
          <w:rStyle w:val="hgkelc"/>
          <w:rFonts w:cstheme="minorHAnsi"/>
          <w:sz w:val="22"/>
          <w:szCs w:val="22"/>
          <w:lang w:val="en"/>
        </w:rPr>
        <w:t xml:space="preserve">Federal poverty levels are used to determine eligibility for certain programs and benefits, including Medicaid and </w:t>
      </w:r>
      <w:r w:rsidR="004E7CF5" w:rsidRPr="005665C2">
        <w:rPr>
          <w:rFonts w:cstheme="minorHAnsi"/>
          <w:color w:val="000000" w:themeColor="text1"/>
          <w:sz w:val="22"/>
          <w:szCs w:val="22"/>
        </w:rPr>
        <w:t>Children’s Health Insurance Program</w:t>
      </w:r>
      <w:r w:rsidR="004E7CF5" w:rsidRPr="003C0AD3">
        <w:rPr>
          <w:rStyle w:val="hgkelc"/>
          <w:rFonts w:cstheme="minorHAnsi"/>
          <w:sz w:val="22"/>
          <w:szCs w:val="22"/>
          <w:lang w:val="en"/>
        </w:rPr>
        <w:t xml:space="preserve"> </w:t>
      </w:r>
      <w:r w:rsidR="004E7CF5">
        <w:rPr>
          <w:rStyle w:val="hgkelc"/>
          <w:rFonts w:cstheme="minorHAnsi"/>
          <w:sz w:val="22"/>
          <w:szCs w:val="22"/>
          <w:lang w:val="en"/>
        </w:rPr>
        <w:t>(</w:t>
      </w:r>
      <w:r w:rsidRPr="003C0AD3">
        <w:rPr>
          <w:rStyle w:val="hgkelc"/>
          <w:rFonts w:cstheme="minorHAnsi"/>
          <w:sz w:val="22"/>
          <w:szCs w:val="22"/>
          <w:lang w:val="en"/>
        </w:rPr>
        <w:t>CHIP</w:t>
      </w:r>
      <w:r w:rsidR="004E7CF5">
        <w:rPr>
          <w:rStyle w:val="hgkelc"/>
          <w:rFonts w:cstheme="minorHAnsi"/>
          <w:sz w:val="22"/>
          <w:szCs w:val="22"/>
          <w:lang w:val="en"/>
        </w:rPr>
        <w:t>)</w:t>
      </w:r>
      <w:r w:rsidRPr="003C0AD3">
        <w:rPr>
          <w:rStyle w:val="hgkelc"/>
          <w:rFonts w:cstheme="minorHAnsi"/>
          <w:sz w:val="22"/>
          <w:szCs w:val="22"/>
          <w:lang w:val="en"/>
        </w:rPr>
        <w:t xml:space="preserve"> coverage and savings on health insurance. </w:t>
      </w:r>
      <w:r w:rsidRPr="003C0AD3">
        <w:rPr>
          <w:rFonts w:cstheme="minorHAnsi"/>
          <w:sz w:val="22"/>
          <w:szCs w:val="22"/>
        </w:rPr>
        <w:t xml:space="preserve">This is important in the context of the CCBHCs because </w:t>
      </w:r>
      <w:r w:rsidRPr="00AD2ACF">
        <w:rPr>
          <w:rFonts w:cstheme="minorHAnsi"/>
          <w:color w:val="242424"/>
          <w:sz w:val="22"/>
          <w:szCs w:val="22"/>
        </w:rPr>
        <w:t>CCBHCs must serve all individuals, regardless of their ability to pay. Th</w:t>
      </w:r>
      <w:r>
        <w:rPr>
          <w:rFonts w:cstheme="minorHAnsi"/>
          <w:color w:val="242424"/>
          <w:sz w:val="22"/>
          <w:szCs w:val="22"/>
        </w:rPr>
        <w:t>e CCBHC</w:t>
      </w:r>
      <w:r w:rsidRPr="00AD2ACF">
        <w:rPr>
          <w:rFonts w:cstheme="minorHAnsi"/>
          <w:color w:val="242424"/>
          <w:sz w:val="22"/>
          <w:szCs w:val="22"/>
        </w:rPr>
        <w:t xml:space="preserve"> program thus poses a unique opportunity to expand behavioral health services for individuals with few economic resources who could not otherwise afford to seek care</w:t>
      </w:r>
      <w:r>
        <w:rPr>
          <w:rFonts w:cstheme="minorHAnsi"/>
          <w:color w:val="242424"/>
          <w:sz w:val="22"/>
          <w:szCs w:val="22"/>
        </w:rPr>
        <w:t xml:space="preserve">. </w:t>
      </w:r>
      <w:r w:rsidRPr="00261B2D">
        <w:rPr>
          <w:rFonts w:cstheme="minorHAnsi"/>
          <w:color w:val="6A7F0F"/>
          <w:sz w:val="22"/>
          <w:szCs w:val="22"/>
        </w:rPr>
        <w:t xml:space="preserve">Figure 4 </w:t>
      </w:r>
      <w:r>
        <w:rPr>
          <w:rFonts w:cstheme="minorHAnsi"/>
          <w:color w:val="242424"/>
          <w:sz w:val="22"/>
          <w:szCs w:val="22"/>
        </w:rPr>
        <w:t>provides evidence of the population concentrations of such individuals relative to the location of the CCBHCs.</w:t>
      </w:r>
    </w:p>
    <w:p w14:paraId="463DD492" w14:textId="77777777" w:rsidR="00777AE0" w:rsidRDefault="00777AE0" w:rsidP="00F1409B">
      <w:pPr>
        <w:rPr>
          <w:rFonts w:cstheme="minorHAnsi"/>
          <w:sz w:val="22"/>
          <w:szCs w:val="22"/>
        </w:rPr>
      </w:pPr>
    </w:p>
    <w:p w14:paraId="0E7AC933" w14:textId="7EEC0B61" w:rsidR="00F1409B" w:rsidRPr="001173FB" w:rsidRDefault="00F66AE0" w:rsidP="00C71459">
      <w:pPr>
        <w:pStyle w:val="Caption"/>
        <w:spacing w:after="0"/>
        <w:jc w:val="center"/>
        <w:rPr>
          <w:b/>
          <w:bCs/>
          <w:i w:val="0"/>
          <w:iCs w:val="0"/>
          <w:color w:val="6A7F0F"/>
          <w:sz w:val="22"/>
          <w:szCs w:val="22"/>
        </w:rPr>
      </w:pPr>
      <w:bookmarkStart w:id="19" w:name="_Toc125504949"/>
      <w:r w:rsidRPr="001173FB">
        <w:rPr>
          <w:b/>
          <w:bCs/>
          <w:i w:val="0"/>
          <w:iCs w:val="0"/>
          <w:color w:val="6A7F0F"/>
          <w:sz w:val="22"/>
          <w:szCs w:val="22"/>
        </w:rPr>
        <w:t xml:space="preserve">Figure </w:t>
      </w:r>
      <w:r w:rsidRPr="001173FB">
        <w:rPr>
          <w:b/>
          <w:bCs/>
          <w:i w:val="0"/>
          <w:iCs w:val="0"/>
          <w:color w:val="6A7F0F"/>
          <w:sz w:val="22"/>
          <w:szCs w:val="22"/>
        </w:rPr>
        <w:fldChar w:fldCharType="begin"/>
      </w:r>
      <w:r w:rsidRPr="001173FB">
        <w:rPr>
          <w:b/>
          <w:bCs/>
          <w:i w:val="0"/>
          <w:iCs w:val="0"/>
          <w:color w:val="6A7F0F"/>
          <w:sz w:val="22"/>
          <w:szCs w:val="22"/>
        </w:rPr>
        <w:instrText xml:space="preserve"> SEQ Figure \* ARABIC </w:instrText>
      </w:r>
      <w:r w:rsidRPr="001173FB">
        <w:rPr>
          <w:b/>
          <w:bCs/>
          <w:i w:val="0"/>
          <w:iCs w:val="0"/>
          <w:color w:val="6A7F0F"/>
          <w:sz w:val="22"/>
          <w:szCs w:val="22"/>
        </w:rPr>
        <w:fldChar w:fldCharType="separate"/>
      </w:r>
      <w:r w:rsidR="00DA018F">
        <w:rPr>
          <w:b/>
          <w:bCs/>
          <w:i w:val="0"/>
          <w:iCs w:val="0"/>
          <w:noProof/>
          <w:color w:val="6A7F0F"/>
          <w:sz w:val="22"/>
          <w:szCs w:val="22"/>
        </w:rPr>
        <w:t>4</w:t>
      </w:r>
      <w:r w:rsidRPr="001173FB">
        <w:rPr>
          <w:b/>
          <w:bCs/>
          <w:i w:val="0"/>
          <w:iCs w:val="0"/>
          <w:color w:val="6A7F0F"/>
          <w:sz w:val="22"/>
          <w:szCs w:val="22"/>
        </w:rPr>
        <w:fldChar w:fldCharType="end"/>
      </w:r>
      <w:r w:rsidRPr="001173FB">
        <w:rPr>
          <w:b/>
          <w:bCs/>
          <w:i w:val="0"/>
          <w:iCs w:val="0"/>
          <w:color w:val="6A7F0F"/>
          <w:sz w:val="22"/>
          <w:szCs w:val="22"/>
        </w:rPr>
        <w:t>: Percent of People Living Below 150% of the Federal Poverty Level by Oregon Census Tract</w:t>
      </w:r>
      <w:bookmarkEnd w:id="19"/>
    </w:p>
    <w:p w14:paraId="71E9258F" w14:textId="77777777" w:rsidR="00F1409B" w:rsidRDefault="00F1409B" w:rsidP="00F1409B">
      <w:pPr>
        <w:jc w:val="center"/>
        <w:rPr>
          <w:rFonts w:cstheme="minorHAnsi"/>
          <w:sz w:val="22"/>
          <w:szCs w:val="22"/>
        </w:rPr>
      </w:pPr>
      <w:r>
        <w:rPr>
          <w:rFonts w:cstheme="minorHAnsi"/>
          <w:noProof/>
          <w:sz w:val="22"/>
          <w:szCs w:val="22"/>
        </w:rPr>
        <w:drawing>
          <wp:inline distT="0" distB="0" distL="0" distR="0" wp14:anchorId="6FD54BF1" wp14:editId="66A5D4F6">
            <wp:extent cx="5768283" cy="2981512"/>
            <wp:effectExtent l="0" t="0" r="0" b="317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1612" cy="2988402"/>
                    </a:xfrm>
                    <a:prstGeom prst="rect">
                      <a:avLst/>
                    </a:prstGeom>
                  </pic:spPr>
                </pic:pic>
              </a:graphicData>
            </a:graphic>
          </wp:inline>
        </w:drawing>
      </w:r>
    </w:p>
    <w:p w14:paraId="2CF8B598" w14:textId="77777777" w:rsidR="003B0D7C" w:rsidRPr="00F935D1" w:rsidRDefault="003B0D7C" w:rsidP="003B0D7C">
      <w:pPr>
        <w:jc w:val="center"/>
        <w:textAlignment w:val="baseline"/>
        <w:rPr>
          <w:rFonts w:cstheme="minorHAnsi"/>
          <w:sz w:val="20"/>
          <w:szCs w:val="20"/>
        </w:rPr>
      </w:pPr>
      <w:r w:rsidRPr="00F935D1">
        <w:rPr>
          <w:rFonts w:cstheme="minorHAnsi"/>
          <w:color w:val="000000" w:themeColor="text1"/>
          <w:sz w:val="20"/>
          <w:szCs w:val="20"/>
        </w:rPr>
        <w:t>Source: CDC/ATSDR, 2022</w:t>
      </w:r>
    </w:p>
    <w:p w14:paraId="75C350BC" w14:textId="77777777" w:rsidR="001A6543" w:rsidRDefault="001A6543" w:rsidP="005E44B0">
      <w:pPr>
        <w:rPr>
          <w:rFonts w:cstheme="minorHAnsi"/>
          <w:sz w:val="22"/>
          <w:szCs w:val="22"/>
        </w:rPr>
      </w:pPr>
    </w:p>
    <w:p w14:paraId="236C8A93" w14:textId="7DC985AE" w:rsidR="005E44B0" w:rsidRDefault="005E44B0" w:rsidP="005E44B0">
      <w:pPr>
        <w:rPr>
          <w:rFonts w:cstheme="minorHAnsi"/>
          <w:sz w:val="22"/>
          <w:szCs w:val="22"/>
        </w:rPr>
      </w:pPr>
      <w:r w:rsidRPr="0098281A">
        <w:rPr>
          <w:rFonts w:cstheme="minorHAnsi"/>
          <w:sz w:val="22"/>
          <w:szCs w:val="22"/>
        </w:rPr>
        <w:t xml:space="preserve">The use of language </w:t>
      </w:r>
      <w:r w:rsidR="00C71459">
        <w:rPr>
          <w:rFonts w:cstheme="minorHAnsi"/>
          <w:sz w:val="22"/>
          <w:szCs w:val="22"/>
        </w:rPr>
        <w:t>in this report must</w:t>
      </w:r>
      <w:r w:rsidRPr="0098281A">
        <w:rPr>
          <w:rFonts w:cstheme="minorHAnsi"/>
          <w:sz w:val="22"/>
          <w:szCs w:val="22"/>
        </w:rPr>
        <w:t xml:space="preserve"> be </w:t>
      </w:r>
      <w:r w:rsidR="00C71459">
        <w:rPr>
          <w:rFonts w:cstheme="minorHAnsi"/>
          <w:sz w:val="22"/>
          <w:szCs w:val="22"/>
        </w:rPr>
        <w:t>acknowl</w:t>
      </w:r>
      <w:r w:rsidR="003E3DE4">
        <w:rPr>
          <w:rFonts w:cstheme="minorHAnsi"/>
          <w:sz w:val="22"/>
          <w:szCs w:val="22"/>
        </w:rPr>
        <w:t>e</w:t>
      </w:r>
      <w:r w:rsidR="00C71459">
        <w:rPr>
          <w:rFonts w:cstheme="minorHAnsi"/>
          <w:sz w:val="22"/>
          <w:szCs w:val="22"/>
        </w:rPr>
        <w:t>dged</w:t>
      </w:r>
      <w:r w:rsidRPr="0098281A">
        <w:rPr>
          <w:rFonts w:cstheme="minorHAnsi"/>
          <w:sz w:val="22"/>
          <w:szCs w:val="22"/>
        </w:rPr>
        <w:t xml:space="preserve">. All efforts have been made to use culturally-sensitive, human-centered language. However, </w:t>
      </w:r>
      <w:r>
        <w:rPr>
          <w:rFonts w:cstheme="minorHAnsi"/>
          <w:sz w:val="22"/>
          <w:szCs w:val="22"/>
        </w:rPr>
        <w:t>some terms in current use</w:t>
      </w:r>
      <w:r w:rsidRPr="0098281A">
        <w:rPr>
          <w:rFonts w:cstheme="minorHAnsi"/>
          <w:sz w:val="22"/>
          <w:szCs w:val="22"/>
        </w:rPr>
        <w:t xml:space="preserve"> </w:t>
      </w:r>
      <w:r>
        <w:rPr>
          <w:rFonts w:cstheme="minorHAnsi"/>
          <w:sz w:val="22"/>
          <w:szCs w:val="22"/>
        </w:rPr>
        <w:t xml:space="preserve">incorporate words that may not center the human experience yet are </w:t>
      </w:r>
      <w:r w:rsidRPr="0098281A">
        <w:rPr>
          <w:rFonts w:cstheme="minorHAnsi"/>
          <w:sz w:val="22"/>
          <w:szCs w:val="22"/>
        </w:rPr>
        <w:t>part of accepted acronyms (such as “medication for opioid use disorder” (MOUD) and “substance use disorder” (SUD))</w:t>
      </w:r>
      <w:r>
        <w:rPr>
          <w:rFonts w:cstheme="minorHAnsi"/>
          <w:sz w:val="22"/>
          <w:szCs w:val="22"/>
        </w:rPr>
        <w:t xml:space="preserve">; these words appear in this report as part of these terms or acronyms but other usage has been avoided. Similarly, some statutes referenced and quotes included in this report use “mental health” so that term is repeated; whenever possible, “behavioral health” is used in the narrative of this report. Direct quotes reflect what the respondent said and have only been edited for clarity, not substance. </w:t>
      </w:r>
      <w:r w:rsidR="00C71459">
        <w:rPr>
          <w:rFonts w:cstheme="minorHAnsi"/>
          <w:sz w:val="22"/>
          <w:szCs w:val="22"/>
        </w:rPr>
        <w:t>With respect to</w:t>
      </w:r>
      <w:r>
        <w:rPr>
          <w:rFonts w:cstheme="minorHAnsi"/>
          <w:sz w:val="22"/>
          <w:szCs w:val="22"/>
        </w:rPr>
        <w:t xml:space="preserve"> geography, the term “remote” is used to designate counties with 6 or fewer people per square mile; it should be noted that </w:t>
      </w:r>
      <w:r w:rsidR="00CF6C30">
        <w:rPr>
          <w:rFonts w:cstheme="minorHAnsi"/>
          <w:sz w:val="22"/>
          <w:szCs w:val="22"/>
        </w:rPr>
        <w:t>ORH</w:t>
      </w:r>
      <w:r>
        <w:rPr>
          <w:rFonts w:cstheme="minorHAnsi"/>
          <w:sz w:val="22"/>
          <w:szCs w:val="22"/>
        </w:rPr>
        <w:t xml:space="preserve"> continues to use the term “frontier” as its designation. Finally, OHA instructed the evaluation team to </w:t>
      </w:r>
      <w:r w:rsidR="00C71459">
        <w:rPr>
          <w:rFonts w:cstheme="minorHAnsi"/>
          <w:sz w:val="22"/>
          <w:szCs w:val="22"/>
        </w:rPr>
        <w:t>refer to those who access CCBHC services as</w:t>
      </w:r>
      <w:r>
        <w:rPr>
          <w:rFonts w:cstheme="minorHAnsi"/>
          <w:sz w:val="22"/>
          <w:szCs w:val="22"/>
        </w:rPr>
        <w:t xml:space="preserve"> “service user”</w:t>
      </w:r>
      <w:r w:rsidR="00C71459">
        <w:rPr>
          <w:rFonts w:cstheme="minorHAnsi"/>
          <w:sz w:val="22"/>
          <w:szCs w:val="22"/>
        </w:rPr>
        <w:t>,</w:t>
      </w:r>
      <w:r>
        <w:rPr>
          <w:rFonts w:cstheme="minorHAnsi"/>
          <w:sz w:val="22"/>
          <w:szCs w:val="22"/>
        </w:rPr>
        <w:t xml:space="preserve"> which </w:t>
      </w:r>
      <w:r w:rsidR="009959F9">
        <w:rPr>
          <w:rFonts w:cstheme="minorHAnsi"/>
          <w:sz w:val="22"/>
          <w:szCs w:val="22"/>
        </w:rPr>
        <w:t>is used</w:t>
      </w:r>
      <w:r>
        <w:rPr>
          <w:rFonts w:cstheme="minorHAnsi"/>
          <w:sz w:val="22"/>
          <w:szCs w:val="22"/>
        </w:rPr>
        <w:t xml:space="preserve"> throughout this report, despite the fact that many OHA sources use the term “consumer”.</w:t>
      </w:r>
    </w:p>
    <w:p w14:paraId="25938110" w14:textId="77777777" w:rsidR="00F1409B" w:rsidRDefault="00F1409B" w:rsidP="00F1409B">
      <w:pPr>
        <w:rPr>
          <w:rFonts w:cstheme="minorHAnsi"/>
          <w:sz w:val="22"/>
          <w:szCs w:val="22"/>
        </w:rPr>
      </w:pPr>
    </w:p>
    <w:p w14:paraId="1D49170E" w14:textId="77777777" w:rsidR="00C71459" w:rsidRDefault="00C71459">
      <w:pPr>
        <w:rPr>
          <w:rFonts w:eastAsiaTheme="majorEastAsia" w:cstheme="minorHAnsi"/>
          <w:b/>
          <w:bCs/>
          <w:color w:val="6A7F0F"/>
          <w:sz w:val="40"/>
          <w:szCs w:val="40"/>
        </w:rPr>
      </w:pPr>
      <w:r>
        <w:rPr>
          <w:rFonts w:cstheme="minorHAnsi"/>
          <w:b/>
          <w:bCs/>
          <w:color w:val="6A7F0F"/>
          <w:sz w:val="40"/>
          <w:szCs w:val="40"/>
        </w:rPr>
        <w:br w:type="page"/>
      </w:r>
    </w:p>
    <w:p w14:paraId="036BCD86" w14:textId="27EBD4A2" w:rsidR="003C684B" w:rsidRPr="001173FB" w:rsidRDefault="003C684B" w:rsidP="00580A99">
      <w:pPr>
        <w:pStyle w:val="Heading1"/>
        <w:spacing w:before="0" w:after="120"/>
        <w:rPr>
          <w:rFonts w:asciiTheme="minorHAnsi" w:hAnsiTheme="minorHAnsi" w:cstheme="minorHAnsi"/>
          <w:b/>
          <w:bCs/>
          <w:color w:val="6A7F0F"/>
          <w:sz w:val="40"/>
          <w:szCs w:val="40"/>
        </w:rPr>
      </w:pPr>
      <w:bookmarkStart w:id="20" w:name="_Toc126068175"/>
      <w:r w:rsidRPr="001173FB">
        <w:rPr>
          <w:rFonts w:asciiTheme="minorHAnsi" w:hAnsiTheme="minorHAnsi" w:cstheme="minorHAnsi"/>
          <w:b/>
          <w:bCs/>
          <w:color w:val="6A7F0F"/>
          <w:sz w:val="40"/>
          <w:szCs w:val="40"/>
        </w:rPr>
        <w:t>Methodology</w:t>
      </w:r>
      <w:bookmarkEnd w:id="20"/>
    </w:p>
    <w:p w14:paraId="4FC38D6A" w14:textId="33C3FDF1" w:rsidR="00F1409B" w:rsidRDefault="00F1409B" w:rsidP="00F1409B">
      <w:pPr>
        <w:rPr>
          <w:rFonts w:cstheme="minorHAnsi"/>
          <w:sz w:val="22"/>
          <w:szCs w:val="22"/>
        </w:rPr>
      </w:pPr>
      <w:r>
        <w:rPr>
          <w:rFonts w:cstheme="minorHAnsi"/>
          <w:sz w:val="22"/>
          <w:szCs w:val="22"/>
        </w:rPr>
        <w:t xml:space="preserve">An overview of the methodology </w:t>
      </w:r>
      <w:r w:rsidR="00E42149">
        <w:rPr>
          <w:rFonts w:cstheme="minorHAnsi"/>
          <w:sz w:val="22"/>
          <w:szCs w:val="22"/>
        </w:rPr>
        <w:t xml:space="preserve">including detailed description of the evaluation framework, data collection strategies, methods, and analytic strategies </w:t>
      </w:r>
      <w:r>
        <w:rPr>
          <w:rFonts w:cstheme="minorHAnsi"/>
          <w:sz w:val="22"/>
          <w:szCs w:val="22"/>
        </w:rPr>
        <w:t xml:space="preserve">is provided in </w:t>
      </w:r>
      <w:hyperlink w:anchor="_Appendix_3:_Detailed" w:history="1">
        <w:r w:rsidRPr="00DF2CAB">
          <w:rPr>
            <w:rStyle w:val="Hyperlink"/>
            <w:rFonts w:cstheme="minorHAnsi"/>
            <w:sz w:val="22"/>
            <w:szCs w:val="22"/>
          </w:rPr>
          <w:t>Appendix 3</w:t>
        </w:r>
      </w:hyperlink>
      <w:r>
        <w:rPr>
          <w:rFonts w:cstheme="minorHAnsi"/>
          <w:sz w:val="22"/>
          <w:szCs w:val="22"/>
        </w:rPr>
        <w:t xml:space="preserve">. </w:t>
      </w:r>
      <w:r w:rsidR="00E42149">
        <w:rPr>
          <w:rFonts w:cstheme="minorHAnsi"/>
          <w:sz w:val="22"/>
          <w:szCs w:val="22"/>
        </w:rPr>
        <w:t xml:space="preserve">This was previously reported to OHA in October 2022. </w:t>
      </w:r>
      <w:r>
        <w:rPr>
          <w:rFonts w:cstheme="minorHAnsi"/>
          <w:sz w:val="22"/>
          <w:szCs w:val="22"/>
        </w:rPr>
        <w:t xml:space="preserve">The primary data sources for </w:t>
      </w:r>
      <w:r w:rsidR="009959F9">
        <w:rPr>
          <w:rFonts w:cstheme="minorHAnsi"/>
          <w:sz w:val="22"/>
          <w:szCs w:val="22"/>
        </w:rPr>
        <w:t>the evaluation</w:t>
      </w:r>
      <w:r>
        <w:rPr>
          <w:rFonts w:cstheme="minorHAnsi"/>
          <w:sz w:val="22"/>
          <w:szCs w:val="22"/>
        </w:rPr>
        <w:t xml:space="preserve"> were:</w:t>
      </w:r>
    </w:p>
    <w:p w14:paraId="1C14EA8F" w14:textId="77777777" w:rsidR="00F1409B" w:rsidRDefault="00F1409B">
      <w:pPr>
        <w:pStyle w:val="ListParagraph"/>
        <w:numPr>
          <w:ilvl w:val="0"/>
          <w:numId w:val="9"/>
        </w:numPr>
        <w:rPr>
          <w:rFonts w:cstheme="minorHAnsi"/>
          <w:sz w:val="22"/>
          <w:szCs w:val="22"/>
        </w:rPr>
      </w:pPr>
      <w:r>
        <w:rPr>
          <w:rFonts w:cstheme="minorHAnsi"/>
          <w:sz w:val="22"/>
          <w:szCs w:val="22"/>
        </w:rPr>
        <w:t xml:space="preserve">Focus groups and surveys with CCBHC service users (conducted </w:t>
      </w:r>
      <w:r w:rsidRPr="004C553D">
        <w:rPr>
          <w:sz w:val="22"/>
        </w:rPr>
        <w:t xml:space="preserve">between September </w:t>
      </w:r>
      <w:r w:rsidRPr="00A72C1E">
        <w:rPr>
          <w:rFonts w:cstheme="minorHAnsi"/>
          <w:bCs/>
          <w:sz w:val="22"/>
          <w:szCs w:val="22"/>
        </w:rPr>
        <w:t>1</w:t>
      </w:r>
      <w:r w:rsidRPr="004C553D">
        <w:rPr>
          <w:sz w:val="22"/>
        </w:rPr>
        <w:t xml:space="preserve"> and October 4, </w:t>
      </w:r>
      <w:r w:rsidRPr="00A72C1E">
        <w:rPr>
          <w:rFonts w:cstheme="minorHAnsi"/>
          <w:bCs/>
          <w:sz w:val="22"/>
          <w:szCs w:val="22"/>
        </w:rPr>
        <w:t>2022</w:t>
      </w:r>
      <w:r>
        <w:rPr>
          <w:rFonts w:cstheme="minorHAnsi"/>
          <w:bCs/>
          <w:sz w:val="22"/>
          <w:szCs w:val="22"/>
        </w:rPr>
        <w:t>, with survey continuing until late October)</w:t>
      </w:r>
    </w:p>
    <w:p w14:paraId="69773BA0" w14:textId="77777777" w:rsidR="00F1409B" w:rsidRDefault="00F1409B">
      <w:pPr>
        <w:pStyle w:val="ListParagraph"/>
        <w:numPr>
          <w:ilvl w:val="0"/>
          <w:numId w:val="9"/>
        </w:numPr>
        <w:rPr>
          <w:rFonts w:cstheme="minorHAnsi"/>
          <w:sz w:val="22"/>
          <w:szCs w:val="22"/>
        </w:rPr>
      </w:pPr>
      <w:r>
        <w:rPr>
          <w:rFonts w:cstheme="minorHAnsi"/>
          <w:sz w:val="22"/>
          <w:szCs w:val="22"/>
        </w:rPr>
        <w:t xml:space="preserve">Interviews with CCBHC clinic administrators and clinical leads (conducted </w:t>
      </w:r>
      <w:r>
        <w:rPr>
          <w:rFonts w:cstheme="minorHAnsi"/>
          <w:bCs/>
          <w:sz w:val="22"/>
          <w:szCs w:val="22"/>
        </w:rPr>
        <w:t>between July 25 and August 16, 2022)</w:t>
      </w:r>
    </w:p>
    <w:p w14:paraId="1E375480" w14:textId="64D5B9DC" w:rsidR="00F1409B" w:rsidRDefault="00F1409B">
      <w:pPr>
        <w:pStyle w:val="ListParagraph"/>
        <w:numPr>
          <w:ilvl w:val="0"/>
          <w:numId w:val="9"/>
        </w:numPr>
        <w:rPr>
          <w:rFonts w:cstheme="minorHAnsi"/>
          <w:sz w:val="22"/>
          <w:szCs w:val="22"/>
        </w:rPr>
      </w:pPr>
      <w:r>
        <w:rPr>
          <w:rFonts w:cstheme="minorHAnsi"/>
          <w:sz w:val="22"/>
          <w:szCs w:val="22"/>
        </w:rPr>
        <w:t>Focus group and survey with community-based organizations representing multiple interests and sectors in communities served by CCBHCs (</w:t>
      </w:r>
      <w:r w:rsidR="009835B9">
        <w:rPr>
          <w:rFonts w:cstheme="minorHAnsi"/>
          <w:sz w:val="22"/>
          <w:szCs w:val="22"/>
        </w:rPr>
        <w:t xml:space="preserve">focus group </w:t>
      </w:r>
      <w:r>
        <w:rPr>
          <w:rFonts w:cstheme="minorHAnsi"/>
          <w:sz w:val="22"/>
          <w:szCs w:val="22"/>
        </w:rPr>
        <w:t xml:space="preserve">conducted </w:t>
      </w:r>
      <w:r w:rsidRPr="004C553D">
        <w:rPr>
          <w:sz w:val="22"/>
        </w:rPr>
        <w:t xml:space="preserve">October </w:t>
      </w:r>
      <w:r>
        <w:rPr>
          <w:sz w:val="22"/>
        </w:rPr>
        <w:t>18</w:t>
      </w:r>
      <w:r w:rsidRPr="004C553D">
        <w:rPr>
          <w:sz w:val="22"/>
        </w:rPr>
        <w:t xml:space="preserve">, </w:t>
      </w:r>
      <w:r w:rsidRPr="00A72C1E">
        <w:rPr>
          <w:rFonts w:cstheme="minorHAnsi"/>
          <w:bCs/>
          <w:sz w:val="22"/>
          <w:szCs w:val="22"/>
        </w:rPr>
        <w:t>2022</w:t>
      </w:r>
      <w:r>
        <w:rPr>
          <w:rFonts w:cstheme="minorHAnsi"/>
          <w:bCs/>
          <w:sz w:val="22"/>
          <w:szCs w:val="22"/>
        </w:rPr>
        <w:t>, with survey continuing until early November)</w:t>
      </w:r>
    </w:p>
    <w:p w14:paraId="4BB17124" w14:textId="29612FF8" w:rsidR="00F1409B" w:rsidRPr="00E727DB" w:rsidRDefault="00F1409B">
      <w:pPr>
        <w:pStyle w:val="ListParagraph"/>
        <w:numPr>
          <w:ilvl w:val="0"/>
          <w:numId w:val="9"/>
        </w:numPr>
        <w:rPr>
          <w:rFonts w:cstheme="minorHAnsi"/>
          <w:sz w:val="22"/>
          <w:szCs w:val="22"/>
        </w:rPr>
      </w:pPr>
      <w:r>
        <w:rPr>
          <w:rFonts w:cstheme="minorHAnsi"/>
          <w:sz w:val="22"/>
          <w:szCs w:val="22"/>
        </w:rPr>
        <w:t xml:space="preserve">Interviews with interested parties </w:t>
      </w:r>
      <w:r w:rsidRPr="001B6A36">
        <w:rPr>
          <w:rFonts w:cstheme="minorHAnsi"/>
          <w:iCs/>
          <w:sz w:val="22"/>
          <w:szCs w:val="22"/>
        </w:rPr>
        <w:t>that support</w:t>
      </w:r>
      <w:r>
        <w:rPr>
          <w:rFonts w:cstheme="minorHAnsi"/>
          <w:iCs/>
          <w:sz w:val="22"/>
          <w:szCs w:val="22"/>
        </w:rPr>
        <w:t>, interact with, or advocate for,</w:t>
      </w:r>
      <w:r w:rsidRPr="001B6A36">
        <w:rPr>
          <w:rFonts w:cstheme="minorHAnsi"/>
          <w:iCs/>
          <w:sz w:val="22"/>
          <w:szCs w:val="22"/>
        </w:rPr>
        <w:t xml:space="preserve"> CCBHCs (</w:t>
      </w:r>
      <w:r w:rsidR="00CF6C30">
        <w:rPr>
          <w:rFonts w:cstheme="minorHAnsi"/>
          <w:iCs/>
          <w:sz w:val="22"/>
          <w:szCs w:val="22"/>
        </w:rPr>
        <w:t>CCOs</w:t>
      </w:r>
      <w:r w:rsidRPr="001B6A36">
        <w:rPr>
          <w:rFonts w:cstheme="minorHAnsi"/>
          <w:iCs/>
          <w:sz w:val="22"/>
          <w:szCs w:val="22"/>
        </w:rPr>
        <w:t xml:space="preserve">, </w:t>
      </w:r>
      <w:r>
        <w:rPr>
          <w:rFonts w:cstheme="minorHAnsi"/>
          <w:iCs/>
          <w:sz w:val="22"/>
          <w:szCs w:val="22"/>
        </w:rPr>
        <w:t>managed care organizations</w:t>
      </w:r>
      <w:r w:rsidRPr="001B6A36">
        <w:rPr>
          <w:rFonts w:cstheme="minorHAnsi"/>
          <w:iCs/>
          <w:sz w:val="22"/>
          <w:szCs w:val="22"/>
        </w:rPr>
        <w:t xml:space="preserve">, </w:t>
      </w:r>
      <w:r>
        <w:rPr>
          <w:rFonts w:cstheme="minorHAnsi"/>
          <w:iCs/>
          <w:sz w:val="22"/>
          <w:szCs w:val="22"/>
        </w:rPr>
        <w:t xml:space="preserve">elected officials, OHA leaders, </w:t>
      </w:r>
      <w:r w:rsidRPr="00E727DB">
        <w:rPr>
          <w:rFonts w:cstheme="minorHAnsi"/>
          <w:iCs/>
          <w:sz w:val="22"/>
          <w:szCs w:val="22"/>
        </w:rPr>
        <w:t>and advocacy organizations)</w:t>
      </w:r>
      <w:r w:rsidRPr="00E727DB">
        <w:rPr>
          <w:rFonts w:cstheme="minorHAnsi"/>
          <w:sz w:val="22"/>
          <w:szCs w:val="22"/>
        </w:rPr>
        <w:t xml:space="preserve"> (conducted between October 3 and November 10, </w:t>
      </w:r>
      <w:r w:rsidRPr="00E727DB">
        <w:rPr>
          <w:rFonts w:cstheme="minorHAnsi"/>
          <w:bCs/>
          <w:sz w:val="22"/>
          <w:szCs w:val="22"/>
        </w:rPr>
        <w:t>2022)</w:t>
      </w:r>
    </w:p>
    <w:p w14:paraId="714E4638" w14:textId="6991D711" w:rsidR="00F1409B" w:rsidRPr="00062EF8" w:rsidRDefault="00F1409B">
      <w:pPr>
        <w:pStyle w:val="ListParagraph"/>
        <w:numPr>
          <w:ilvl w:val="0"/>
          <w:numId w:val="9"/>
        </w:numPr>
        <w:rPr>
          <w:rFonts w:cstheme="minorHAnsi"/>
          <w:sz w:val="22"/>
          <w:szCs w:val="22"/>
        </w:rPr>
      </w:pPr>
      <w:r w:rsidRPr="00E727DB">
        <w:rPr>
          <w:rFonts w:cstheme="minorHAnsi"/>
          <w:sz w:val="22"/>
          <w:szCs w:val="22"/>
        </w:rPr>
        <w:t xml:space="preserve">Analysis of individual level, de-identified MHSIP surveys of OHP members </w:t>
      </w:r>
      <w:r w:rsidRPr="00062EF8">
        <w:rPr>
          <w:rFonts w:cstheme="minorHAnsi"/>
          <w:sz w:val="22"/>
          <w:szCs w:val="22"/>
        </w:rPr>
        <w:t xml:space="preserve">and OHP claims and eligibility data supplemented by </w:t>
      </w:r>
      <w:r w:rsidR="004E7CF5">
        <w:rPr>
          <w:rFonts w:cstheme="minorHAnsi"/>
          <w:sz w:val="22"/>
          <w:szCs w:val="22"/>
        </w:rPr>
        <w:t>Race, Ethnicity, Language, and Disability</w:t>
      </w:r>
      <w:r w:rsidR="004E7CF5" w:rsidRPr="00062EF8">
        <w:rPr>
          <w:rFonts w:cstheme="minorHAnsi"/>
          <w:sz w:val="22"/>
          <w:szCs w:val="22"/>
        </w:rPr>
        <w:t xml:space="preserve"> </w:t>
      </w:r>
      <w:r w:rsidR="004E7CF5">
        <w:rPr>
          <w:rFonts w:cstheme="minorHAnsi"/>
          <w:sz w:val="22"/>
          <w:szCs w:val="22"/>
        </w:rPr>
        <w:t>(</w:t>
      </w:r>
      <w:r w:rsidRPr="00062EF8">
        <w:rPr>
          <w:rFonts w:cstheme="minorHAnsi"/>
          <w:sz w:val="22"/>
          <w:szCs w:val="22"/>
        </w:rPr>
        <w:t>REALD</w:t>
      </w:r>
      <w:r w:rsidR="004E7CF5">
        <w:rPr>
          <w:rFonts w:cstheme="minorHAnsi"/>
          <w:sz w:val="22"/>
          <w:szCs w:val="22"/>
        </w:rPr>
        <w:t>)</w:t>
      </w:r>
      <w:r w:rsidRPr="00062EF8">
        <w:rPr>
          <w:rFonts w:cstheme="minorHAnsi"/>
          <w:sz w:val="22"/>
          <w:szCs w:val="22"/>
        </w:rPr>
        <w:t xml:space="preserve"> demographic data</w:t>
      </w:r>
      <w:r>
        <w:rPr>
          <w:rFonts w:cstheme="minorHAnsi"/>
          <w:sz w:val="22"/>
          <w:szCs w:val="22"/>
        </w:rPr>
        <w:t xml:space="preserve"> (conducted between June and November, 2022)</w:t>
      </w:r>
    </w:p>
    <w:p w14:paraId="62E8D1DF" w14:textId="77777777" w:rsidR="00F1409B" w:rsidRPr="00E727DB" w:rsidRDefault="00101CB3" w:rsidP="00F1409B">
      <w:sdt>
        <w:sdtPr>
          <w:rPr>
            <w:rFonts w:cstheme="minorHAnsi"/>
            <w:sz w:val="22"/>
            <w:szCs w:val="22"/>
          </w:rPr>
          <w:tag w:val="goog_rdk_2"/>
          <w:id w:val="1340427762"/>
          <w:showingPlcHdr/>
        </w:sdtPr>
        <w:sdtEndPr/>
        <w:sdtContent>
          <w:r w:rsidR="00F1409B" w:rsidRPr="00062EF8">
            <w:rPr>
              <w:rFonts w:cstheme="minorHAnsi"/>
              <w:sz w:val="22"/>
              <w:szCs w:val="22"/>
            </w:rPr>
            <w:t xml:space="preserve">     </w:t>
          </w:r>
        </w:sdtContent>
      </w:sdt>
    </w:p>
    <w:p w14:paraId="18C837D9" w14:textId="47DA9534" w:rsidR="00F1409B" w:rsidRPr="004A2D93" w:rsidRDefault="00F1409B" w:rsidP="00F1409B">
      <w:pPr>
        <w:rPr>
          <w:rFonts w:cstheme="minorHAnsi"/>
          <w:iCs/>
          <w:sz w:val="22"/>
          <w:szCs w:val="22"/>
        </w:rPr>
      </w:pPr>
      <w:r w:rsidRPr="004A2D93">
        <w:rPr>
          <w:rFonts w:cstheme="minorHAnsi"/>
          <w:bCs/>
          <w:sz w:val="22"/>
          <w:szCs w:val="22"/>
        </w:rPr>
        <w:t xml:space="preserve">All </w:t>
      </w:r>
      <w:r w:rsidRPr="004A2D93">
        <w:rPr>
          <w:rFonts w:cstheme="minorHAnsi"/>
          <w:sz w:val="22"/>
          <w:szCs w:val="22"/>
        </w:rPr>
        <w:t>qua</w:t>
      </w:r>
      <w:r>
        <w:rPr>
          <w:rFonts w:cstheme="minorHAnsi"/>
          <w:sz w:val="22"/>
          <w:szCs w:val="22"/>
        </w:rPr>
        <w:t>l</w:t>
      </w:r>
      <w:r w:rsidRPr="004A2D93">
        <w:rPr>
          <w:rFonts w:cstheme="minorHAnsi"/>
          <w:sz w:val="22"/>
          <w:szCs w:val="22"/>
        </w:rPr>
        <w:t>itative</w:t>
      </w:r>
      <w:r w:rsidRPr="004A2D93">
        <w:rPr>
          <w:rFonts w:cstheme="minorHAnsi"/>
          <w:sz w:val="22"/>
        </w:rPr>
        <w:t xml:space="preserve"> </w:t>
      </w:r>
      <w:r>
        <w:rPr>
          <w:rFonts w:cstheme="minorHAnsi"/>
          <w:sz w:val="22"/>
        </w:rPr>
        <w:t xml:space="preserve">data collection </w:t>
      </w:r>
      <w:r w:rsidRPr="004A2D93">
        <w:rPr>
          <w:rFonts w:cstheme="minorHAnsi"/>
          <w:sz w:val="22"/>
        </w:rPr>
        <w:t>protocols</w:t>
      </w:r>
      <w:r>
        <w:rPr>
          <w:rFonts w:cstheme="minorHAnsi"/>
          <w:sz w:val="22"/>
        </w:rPr>
        <w:t>, including</w:t>
      </w:r>
      <w:r w:rsidRPr="004A2D93">
        <w:rPr>
          <w:rFonts w:cstheme="minorHAnsi"/>
          <w:bCs/>
          <w:sz w:val="22"/>
          <w:szCs w:val="22"/>
        </w:rPr>
        <w:t xml:space="preserve"> recruitment scripts (email or telephone), research information/consent sheets, and interview/focus group/survey protocols</w:t>
      </w:r>
      <w:r>
        <w:rPr>
          <w:rFonts w:cstheme="minorHAnsi"/>
          <w:bCs/>
          <w:sz w:val="22"/>
          <w:szCs w:val="22"/>
        </w:rPr>
        <w:t>,</w:t>
      </w:r>
      <w:r w:rsidRPr="004A2D93">
        <w:rPr>
          <w:rFonts w:cstheme="minorHAnsi"/>
          <w:bCs/>
          <w:sz w:val="22"/>
          <w:szCs w:val="22"/>
        </w:rPr>
        <w:t xml:space="preserve"> were approved by the PSU </w:t>
      </w:r>
      <w:r w:rsidR="004E7CF5" w:rsidRPr="005665C2">
        <w:rPr>
          <w:rFonts w:cstheme="minorHAnsi"/>
          <w:sz w:val="22"/>
          <w:szCs w:val="22"/>
        </w:rPr>
        <w:t>Institutional Review Board</w:t>
      </w:r>
      <w:r w:rsidR="004E7CF5" w:rsidRPr="004A2D93">
        <w:rPr>
          <w:rFonts w:cstheme="minorHAnsi"/>
          <w:bCs/>
          <w:sz w:val="22"/>
          <w:szCs w:val="22"/>
        </w:rPr>
        <w:t xml:space="preserve"> </w:t>
      </w:r>
      <w:r w:rsidR="004E7CF5">
        <w:rPr>
          <w:rFonts w:cstheme="minorHAnsi"/>
          <w:bCs/>
          <w:sz w:val="22"/>
          <w:szCs w:val="22"/>
        </w:rPr>
        <w:t>(</w:t>
      </w:r>
      <w:r w:rsidRPr="004A2D93">
        <w:rPr>
          <w:rFonts w:cstheme="minorHAnsi"/>
          <w:bCs/>
          <w:sz w:val="22"/>
          <w:szCs w:val="22"/>
        </w:rPr>
        <w:t>IRB</w:t>
      </w:r>
      <w:r w:rsidR="004E7CF5">
        <w:rPr>
          <w:rFonts w:cstheme="minorHAnsi"/>
          <w:bCs/>
          <w:sz w:val="22"/>
          <w:szCs w:val="22"/>
        </w:rPr>
        <w:t>)</w:t>
      </w:r>
      <w:r w:rsidRPr="004A2D93">
        <w:rPr>
          <w:rFonts w:cstheme="minorHAnsi"/>
          <w:bCs/>
          <w:sz w:val="22"/>
          <w:szCs w:val="22"/>
        </w:rPr>
        <w:t xml:space="preserve"> (IRB #</w:t>
      </w:r>
      <w:r w:rsidRPr="004A2D93">
        <w:rPr>
          <w:rFonts w:cstheme="minorHAnsi"/>
          <w:sz w:val="22"/>
          <w:szCs w:val="22"/>
        </w:rPr>
        <w:t>227800-18</w:t>
      </w:r>
      <w:r w:rsidRPr="004A2D93">
        <w:rPr>
          <w:rFonts w:cstheme="minorHAnsi"/>
          <w:bCs/>
          <w:sz w:val="22"/>
          <w:szCs w:val="22"/>
        </w:rPr>
        <w:t>)</w:t>
      </w:r>
      <w:r>
        <w:rPr>
          <w:rFonts w:cstheme="minorHAnsi"/>
          <w:bCs/>
          <w:sz w:val="22"/>
          <w:szCs w:val="22"/>
        </w:rPr>
        <w:t xml:space="preserve"> prior to the collection of any data from individuals</w:t>
      </w:r>
      <w:r w:rsidRPr="004A2D93">
        <w:rPr>
          <w:rFonts w:cstheme="minorHAnsi"/>
          <w:bCs/>
          <w:sz w:val="22"/>
          <w:szCs w:val="22"/>
        </w:rPr>
        <w:t xml:space="preserve">. </w:t>
      </w:r>
      <w:r w:rsidRPr="004A2D93">
        <w:rPr>
          <w:rFonts w:cstheme="minorHAnsi"/>
          <w:sz w:val="22"/>
        </w:rPr>
        <w:t xml:space="preserve">All </w:t>
      </w:r>
      <w:r w:rsidRPr="004A2D93">
        <w:rPr>
          <w:rFonts w:cstheme="minorHAnsi"/>
          <w:sz w:val="22"/>
          <w:szCs w:val="22"/>
        </w:rPr>
        <w:t>quantitative</w:t>
      </w:r>
      <w:r w:rsidRPr="004A2D93">
        <w:rPr>
          <w:rFonts w:cstheme="minorHAnsi"/>
          <w:sz w:val="22"/>
        </w:rPr>
        <w:t xml:space="preserve"> </w:t>
      </w:r>
      <w:r>
        <w:rPr>
          <w:rFonts w:cstheme="minorHAnsi"/>
          <w:sz w:val="22"/>
        </w:rPr>
        <w:t xml:space="preserve">data management </w:t>
      </w:r>
      <w:r w:rsidRPr="004A2D93">
        <w:rPr>
          <w:rFonts w:cstheme="minorHAnsi"/>
          <w:sz w:val="22"/>
        </w:rPr>
        <w:t>protocols</w:t>
      </w:r>
      <w:r w:rsidRPr="004A2D93">
        <w:rPr>
          <w:rFonts w:cstheme="minorHAnsi"/>
          <w:sz w:val="22"/>
          <w:szCs w:val="22"/>
        </w:rPr>
        <w:t>, including data security,</w:t>
      </w:r>
      <w:r w:rsidRPr="004A2D93">
        <w:rPr>
          <w:rFonts w:cstheme="minorHAnsi"/>
          <w:sz w:val="22"/>
        </w:rPr>
        <w:t xml:space="preserve"> were approved by the PSU IRB (IRB #</w:t>
      </w:r>
      <w:r w:rsidRPr="004A2D93">
        <w:rPr>
          <w:rFonts w:cstheme="minorHAnsi"/>
          <w:sz w:val="22"/>
          <w:szCs w:val="22"/>
        </w:rPr>
        <w:t>227749-18)</w:t>
      </w:r>
      <w:r>
        <w:rPr>
          <w:rFonts w:cstheme="minorHAnsi"/>
          <w:sz w:val="22"/>
          <w:szCs w:val="22"/>
        </w:rPr>
        <w:t xml:space="preserve"> prior to any analysis of data.</w:t>
      </w:r>
    </w:p>
    <w:p w14:paraId="54133F85" w14:textId="77777777" w:rsidR="00F1409B" w:rsidRDefault="00F1409B" w:rsidP="00F1409B">
      <w:pPr>
        <w:rPr>
          <w:rFonts w:cstheme="minorHAnsi"/>
          <w:sz w:val="22"/>
          <w:szCs w:val="22"/>
        </w:rPr>
      </w:pPr>
    </w:p>
    <w:p w14:paraId="3AC64A8D" w14:textId="54BD5728" w:rsidR="008F573D" w:rsidRPr="00CF0229" w:rsidRDefault="00F1409B" w:rsidP="008F573D">
      <w:pPr>
        <w:pStyle w:val="Heading2"/>
        <w:spacing w:after="120"/>
        <w:rPr>
          <w:rFonts w:asciiTheme="minorHAnsi" w:hAnsiTheme="minorHAnsi" w:cstheme="minorHAnsi"/>
          <w:b/>
          <w:bCs/>
          <w:color w:val="6A7F0F"/>
        </w:rPr>
      </w:pPr>
      <w:bookmarkStart w:id="21" w:name="_Toc126068176"/>
      <w:r w:rsidRPr="00CF0229">
        <w:rPr>
          <w:rFonts w:asciiTheme="minorHAnsi" w:hAnsiTheme="minorHAnsi" w:cstheme="minorHAnsi"/>
          <w:b/>
          <w:bCs/>
          <w:color w:val="6A7F0F"/>
        </w:rPr>
        <w:t>Scope of this Evaluation</w:t>
      </w:r>
      <w:bookmarkEnd w:id="21"/>
    </w:p>
    <w:p w14:paraId="4A893B55" w14:textId="2A6E8ED9" w:rsidR="005E44B0" w:rsidRDefault="005E44B0" w:rsidP="005E44B0">
      <w:pPr>
        <w:rPr>
          <w:rFonts w:cstheme="minorHAnsi"/>
          <w:sz w:val="22"/>
          <w:szCs w:val="22"/>
          <w:lang w:bidi="th-TH"/>
        </w:rPr>
      </w:pPr>
      <w:r>
        <w:rPr>
          <w:rFonts w:cstheme="minorHAnsi"/>
          <w:sz w:val="22"/>
          <w:szCs w:val="22"/>
        </w:rPr>
        <w:t xml:space="preserve">OHA </w:t>
      </w:r>
      <w:r w:rsidRPr="006B2BDA">
        <w:rPr>
          <w:rFonts w:cstheme="minorHAnsi"/>
          <w:sz w:val="22"/>
          <w:szCs w:val="22"/>
        </w:rPr>
        <w:t xml:space="preserve">specified that the </w:t>
      </w:r>
      <w:r>
        <w:rPr>
          <w:rFonts w:cstheme="minorHAnsi"/>
          <w:sz w:val="22"/>
          <w:szCs w:val="22"/>
        </w:rPr>
        <w:t>scope of this evaluation</w:t>
      </w:r>
      <w:r w:rsidRPr="006B2BDA">
        <w:rPr>
          <w:rFonts w:cstheme="minorHAnsi"/>
          <w:sz w:val="22"/>
          <w:szCs w:val="22"/>
        </w:rPr>
        <w:t xml:space="preserve"> </w:t>
      </w:r>
      <w:r>
        <w:rPr>
          <w:rFonts w:cstheme="minorHAnsi"/>
          <w:sz w:val="22"/>
          <w:szCs w:val="22"/>
        </w:rPr>
        <w:t>addressed only</w:t>
      </w:r>
      <w:r w:rsidRPr="006B2BDA">
        <w:rPr>
          <w:rFonts w:cstheme="minorHAnsi"/>
          <w:sz w:val="22"/>
          <w:szCs w:val="22"/>
        </w:rPr>
        <w:t xml:space="preserve"> the 12 original CCBHC sites based on the </w:t>
      </w:r>
      <w:r>
        <w:rPr>
          <w:rFonts w:cstheme="minorHAnsi"/>
          <w:sz w:val="22"/>
          <w:szCs w:val="22"/>
        </w:rPr>
        <w:t>initial</w:t>
      </w:r>
      <w:r w:rsidRPr="006B2BDA">
        <w:rPr>
          <w:rFonts w:cstheme="minorHAnsi"/>
          <w:sz w:val="22"/>
          <w:szCs w:val="22"/>
        </w:rPr>
        <w:t xml:space="preserve"> SAMHSA funding</w:t>
      </w:r>
      <w:r>
        <w:rPr>
          <w:rFonts w:cstheme="minorHAnsi"/>
          <w:sz w:val="22"/>
          <w:szCs w:val="22"/>
        </w:rPr>
        <w:t xml:space="preserve">. Additional clinics funded under the SAMHSA CCBHC expansion grants were not included in the OHA scope of work. </w:t>
      </w:r>
      <w:r w:rsidRPr="006B2BDA">
        <w:rPr>
          <w:rFonts w:cstheme="minorHAnsi"/>
          <w:sz w:val="22"/>
          <w:szCs w:val="22"/>
        </w:rPr>
        <w:t xml:space="preserve">For the three CCBHC sites that temporarily left the program, the OHA </w:t>
      </w:r>
      <w:r w:rsidRPr="006B2BDA">
        <w:rPr>
          <w:rFonts w:cstheme="minorHAnsi"/>
          <w:sz w:val="22"/>
          <w:szCs w:val="22"/>
          <w:lang w:bidi="th-TH"/>
        </w:rPr>
        <w:t xml:space="preserve">liaison team directed that the two that were reinstated prior to June 2022 were to be included in all </w:t>
      </w:r>
      <w:r>
        <w:rPr>
          <w:rFonts w:cstheme="minorHAnsi"/>
          <w:sz w:val="22"/>
          <w:szCs w:val="22"/>
          <w:lang w:bidi="th-TH"/>
        </w:rPr>
        <w:t xml:space="preserve">qualitative </w:t>
      </w:r>
      <w:r w:rsidRPr="006B2BDA">
        <w:rPr>
          <w:rFonts w:cstheme="minorHAnsi"/>
          <w:sz w:val="22"/>
          <w:szCs w:val="22"/>
          <w:lang w:bidi="th-TH"/>
        </w:rPr>
        <w:t xml:space="preserve">data collection; the one site that had a tentative </w:t>
      </w:r>
      <w:r>
        <w:rPr>
          <w:rFonts w:cstheme="minorHAnsi"/>
          <w:sz w:val="22"/>
          <w:szCs w:val="22"/>
          <w:lang w:bidi="th-TH"/>
        </w:rPr>
        <w:t xml:space="preserve">(at the time) </w:t>
      </w:r>
      <w:r w:rsidRPr="006B2BDA">
        <w:rPr>
          <w:rFonts w:cstheme="minorHAnsi"/>
          <w:sz w:val="22"/>
          <w:szCs w:val="22"/>
          <w:lang w:bidi="th-TH"/>
        </w:rPr>
        <w:t>reinstatement date of July 1, 2022 was to be interviewed but no contact made with service users</w:t>
      </w:r>
      <w:r>
        <w:rPr>
          <w:rFonts w:cstheme="minorHAnsi"/>
          <w:sz w:val="22"/>
          <w:szCs w:val="22"/>
          <w:lang w:bidi="th-TH"/>
        </w:rPr>
        <w:t>,</w:t>
      </w:r>
      <w:r w:rsidRPr="006B2BDA">
        <w:rPr>
          <w:rFonts w:cstheme="minorHAnsi"/>
          <w:sz w:val="22"/>
          <w:szCs w:val="22"/>
          <w:lang w:bidi="th-TH"/>
        </w:rPr>
        <w:t xml:space="preserve"> since there were no service users with recent experiences. </w:t>
      </w:r>
      <w:r>
        <w:rPr>
          <w:rFonts w:cstheme="minorHAnsi"/>
          <w:sz w:val="22"/>
          <w:szCs w:val="22"/>
          <w:lang w:bidi="th-TH"/>
        </w:rPr>
        <w:t>In order to provide consistent results, the quantitative analyses were limited to the nine sites that operated continuously as CCBHCs across the four years covered in this study.</w:t>
      </w:r>
    </w:p>
    <w:p w14:paraId="6E6AD473" w14:textId="77777777" w:rsidR="005E44B0" w:rsidRDefault="005E44B0" w:rsidP="005E44B0">
      <w:pPr>
        <w:rPr>
          <w:rFonts w:cstheme="minorHAnsi"/>
          <w:sz w:val="22"/>
          <w:szCs w:val="22"/>
          <w:lang w:bidi="th-TH"/>
        </w:rPr>
      </w:pPr>
    </w:p>
    <w:p w14:paraId="2F6F27D8" w14:textId="3CFFABC5" w:rsidR="00F1409B" w:rsidRDefault="005E44B0" w:rsidP="00F1409B">
      <w:pPr>
        <w:rPr>
          <w:rFonts w:cstheme="minorHAnsi"/>
          <w:sz w:val="22"/>
          <w:szCs w:val="22"/>
          <w:lang w:bidi="th-TH"/>
        </w:rPr>
      </w:pPr>
      <w:r>
        <w:rPr>
          <w:rFonts w:cstheme="minorHAnsi"/>
          <w:sz w:val="22"/>
          <w:szCs w:val="22"/>
          <w:lang w:bidi="th-TH"/>
        </w:rPr>
        <w:t>Data collection for this evaluation took place between June and November 2022. The evaluation team drew upon additional information resources provided by OHA staff. During that time period, CCBHC program staff initiated various new mechanisms to support the CCBHCs; these are reflected in the evaluation when they were identified in interviews or meetings by CCBHC leaders or other interested parties, and when OHA staff provided documentation that could be used in this report.</w:t>
      </w:r>
    </w:p>
    <w:p w14:paraId="56584F0A" w14:textId="77777777" w:rsidR="00F1409B" w:rsidRPr="00627811" w:rsidRDefault="00F1409B" w:rsidP="00F1409B">
      <w:pPr>
        <w:rPr>
          <w:rFonts w:cstheme="minorHAnsi"/>
          <w:sz w:val="22"/>
          <w:szCs w:val="22"/>
        </w:rPr>
      </w:pPr>
    </w:p>
    <w:p w14:paraId="14DD125B" w14:textId="5AC3EE4A" w:rsidR="00F1409B" w:rsidRPr="00CF0229" w:rsidRDefault="00F1409B" w:rsidP="008F573D">
      <w:pPr>
        <w:pStyle w:val="Heading2"/>
        <w:spacing w:after="120"/>
        <w:rPr>
          <w:rFonts w:asciiTheme="minorHAnsi" w:hAnsiTheme="minorHAnsi" w:cstheme="minorHAnsi"/>
          <w:b/>
          <w:bCs/>
          <w:color w:val="6A7F0F"/>
        </w:rPr>
      </w:pPr>
      <w:bookmarkStart w:id="22" w:name="_Toc126068177"/>
      <w:r w:rsidRPr="00CF0229">
        <w:rPr>
          <w:rFonts w:asciiTheme="minorHAnsi" w:hAnsiTheme="minorHAnsi" w:cstheme="minorHAnsi"/>
          <w:b/>
          <w:bCs/>
          <w:color w:val="6A7F0F"/>
        </w:rPr>
        <w:t>Qualitative Design, Data Collection</w:t>
      </w:r>
      <w:r w:rsidR="00E30421" w:rsidRPr="00CF0229">
        <w:rPr>
          <w:rFonts w:asciiTheme="minorHAnsi" w:hAnsiTheme="minorHAnsi" w:cstheme="minorHAnsi"/>
          <w:b/>
          <w:bCs/>
          <w:color w:val="6A7F0F"/>
        </w:rPr>
        <w:t>,</w:t>
      </w:r>
      <w:r w:rsidRPr="00CF0229">
        <w:rPr>
          <w:rFonts w:asciiTheme="minorHAnsi" w:hAnsiTheme="minorHAnsi" w:cstheme="minorHAnsi"/>
          <w:b/>
          <w:bCs/>
          <w:color w:val="6A7F0F"/>
        </w:rPr>
        <w:t xml:space="preserve"> and Analysis</w:t>
      </w:r>
      <w:bookmarkEnd w:id="22"/>
    </w:p>
    <w:p w14:paraId="0015F572" w14:textId="0774CBBF" w:rsidR="00F1409B" w:rsidRPr="001B6A36" w:rsidRDefault="005E44B0" w:rsidP="00F1409B">
      <w:pPr>
        <w:rPr>
          <w:rFonts w:cstheme="minorHAnsi"/>
          <w:iCs/>
          <w:sz w:val="22"/>
          <w:szCs w:val="22"/>
        </w:rPr>
      </w:pPr>
      <w:r w:rsidRPr="001B6A36">
        <w:rPr>
          <w:rFonts w:cstheme="minorHAnsi"/>
          <w:iCs/>
          <w:sz w:val="22"/>
          <w:szCs w:val="22"/>
        </w:rPr>
        <w:t xml:space="preserve">The evaluation team drew upon interviews with clinic leaders, including administrators and clinical directors, and </w:t>
      </w:r>
      <w:r>
        <w:rPr>
          <w:rFonts w:cstheme="minorHAnsi"/>
          <w:iCs/>
          <w:sz w:val="22"/>
          <w:szCs w:val="22"/>
        </w:rPr>
        <w:t>representatives from</w:t>
      </w:r>
      <w:r w:rsidRPr="001B6A36">
        <w:rPr>
          <w:rFonts w:cstheme="minorHAnsi"/>
          <w:iCs/>
          <w:sz w:val="22"/>
          <w:szCs w:val="22"/>
        </w:rPr>
        <w:t xml:space="preserve"> various organizations to identify challenges and opportunities for sustained CCBHC implementation. Interested parties from OHA and elected officials who advocate for behavioral health in Oregon were also interviewed. The evaluation team attempted to gather further input from community-based organizations and service users via focus groups and a follow-up survey, but unfortunately the responses were minimal</w:t>
      </w:r>
      <w:r>
        <w:rPr>
          <w:rFonts w:cstheme="minorHAnsi"/>
          <w:iCs/>
          <w:sz w:val="22"/>
          <w:szCs w:val="22"/>
        </w:rPr>
        <w:t>.</w:t>
      </w:r>
    </w:p>
    <w:p w14:paraId="6575B55C" w14:textId="77777777" w:rsidR="00F1409B" w:rsidRPr="003761C7" w:rsidRDefault="00F1409B" w:rsidP="00F1409B">
      <w:pPr>
        <w:rPr>
          <w:rFonts w:cstheme="minorHAnsi"/>
          <w:sz w:val="22"/>
          <w:szCs w:val="22"/>
        </w:rPr>
      </w:pPr>
    </w:p>
    <w:p w14:paraId="6FBB64EF" w14:textId="7D0A9E2C" w:rsidR="00F1409B" w:rsidRDefault="005E44B0" w:rsidP="00F1409B">
      <w:pPr>
        <w:rPr>
          <w:rFonts w:cstheme="minorHAnsi"/>
          <w:sz w:val="22"/>
          <w:szCs w:val="22"/>
        </w:rPr>
      </w:pPr>
      <w:r>
        <w:rPr>
          <w:rFonts w:cstheme="minorHAnsi"/>
          <w:sz w:val="22"/>
          <w:szCs w:val="22"/>
        </w:rPr>
        <w:t xml:space="preserve">In the discussion that follows, qualitative quotes are named by the group and referenced by the de-identified code assigned to each respondent: Service User, Lead Administrator, Lead Clinical, Interested Party, and CBO Representative. Extended reports summarizing feedback, including quotes, are presented in three appendices </w:t>
      </w:r>
      <w:r w:rsidR="00F1409B">
        <w:rPr>
          <w:rFonts w:cstheme="minorHAnsi"/>
          <w:sz w:val="22"/>
          <w:szCs w:val="22"/>
        </w:rPr>
        <w:t>(</w:t>
      </w:r>
      <w:hyperlink w:anchor="_Service_Users" w:history="1">
        <w:r w:rsidR="00F1409B" w:rsidRPr="00DF2CAB">
          <w:rPr>
            <w:rStyle w:val="Hyperlink"/>
            <w:rFonts w:cstheme="minorHAnsi"/>
            <w:sz w:val="22"/>
            <w:szCs w:val="22"/>
          </w:rPr>
          <w:t>Appendix 4: CCBHC Service Users</w:t>
        </w:r>
      </w:hyperlink>
      <w:r w:rsidR="00F1409B">
        <w:rPr>
          <w:rFonts w:cstheme="minorHAnsi"/>
          <w:sz w:val="22"/>
          <w:szCs w:val="22"/>
        </w:rPr>
        <w:t xml:space="preserve">; </w:t>
      </w:r>
      <w:hyperlink w:anchor="_Clinic_Leaders" w:history="1">
        <w:r w:rsidR="00F1409B" w:rsidRPr="00DF2CAB">
          <w:rPr>
            <w:rStyle w:val="Hyperlink"/>
            <w:rFonts w:cstheme="minorHAnsi"/>
            <w:sz w:val="22"/>
            <w:szCs w:val="22"/>
          </w:rPr>
          <w:t>Appendix 5: CCBHC Clinic Administrators and Clinical Leaders</w:t>
        </w:r>
      </w:hyperlink>
      <w:r w:rsidR="00F1409B">
        <w:rPr>
          <w:rFonts w:cstheme="minorHAnsi"/>
          <w:sz w:val="22"/>
          <w:szCs w:val="22"/>
        </w:rPr>
        <w:t xml:space="preserve">; </w:t>
      </w:r>
      <w:hyperlink w:anchor="_Key_Interested_Parties" w:history="1">
        <w:r w:rsidR="00F1409B" w:rsidRPr="00DF2CAB">
          <w:rPr>
            <w:rStyle w:val="Hyperlink"/>
            <w:rFonts w:cstheme="minorHAnsi"/>
            <w:sz w:val="22"/>
            <w:szCs w:val="22"/>
          </w:rPr>
          <w:t>Appendix 6: Interested Parties</w:t>
        </w:r>
        <w:r w:rsidR="00E37DAB">
          <w:rPr>
            <w:rStyle w:val="Hyperlink"/>
            <w:rFonts w:cstheme="minorHAnsi"/>
            <w:sz w:val="22"/>
            <w:szCs w:val="22"/>
          </w:rPr>
          <w:t xml:space="preserve"> and </w:t>
        </w:r>
        <w:r w:rsidR="00F1409B" w:rsidRPr="00DF2CAB">
          <w:rPr>
            <w:rStyle w:val="Hyperlink"/>
            <w:rFonts w:cstheme="minorHAnsi"/>
            <w:sz w:val="22"/>
            <w:szCs w:val="22"/>
          </w:rPr>
          <w:t>Community-Based Organizations</w:t>
        </w:r>
      </w:hyperlink>
      <w:r w:rsidR="00F1409B">
        <w:rPr>
          <w:rFonts w:cstheme="minorHAnsi"/>
          <w:sz w:val="22"/>
          <w:szCs w:val="22"/>
        </w:rPr>
        <w:t>).</w:t>
      </w:r>
    </w:p>
    <w:p w14:paraId="031C1C7D" w14:textId="77777777" w:rsidR="00F1409B" w:rsidRDefault="00F1409B" w:rsidP="00F1409B">
      <w:pPr>
        <w:rPr>
          <w:rFonts w:cstheme="minorHAnsi"/>
          <w:sz w:val="22"/>
          <w:szCs w:val="22"/>
        </w:rPr>
      </w:pPr>
    </w:p>
    <w:p w14:paraId="382B432E" w14:textId="77716DBB" w:rsidR="005E44B0" w:rsidRDefault="009835B9" w:rsidP="005E44B0">
      <w:pPr>
        <w:rPr>
          <w:rFonts w:eastAsia="Calibri" w:cstheme="minorHAnsi"/>
          <w:sz w:val="22"/>
          <w:szCs w:val="22"/>
        </w:rPr>
      </w:pPr>
      <w:r>
        <w:rPr>
          <w:rFonts w:eastAsia="Calibri" w:cstheme="minorHAnsi"/>
          <w:sz w:val="22"/>
          <w:szCs w:val="22"/>
        </w:rPr>
        <w:t>T</w:t>
      </w:r>
      <w:r w:rsidR="005E44B0" w:rsidRPr="00BA3FC0">
        <w:rPr>
          <w:rFonts w:eastAsia="Calibri" w:cstheme="minorHAnsi"/>
          <w:sz w:val="22"/>
          <w:szCs w:val="22"/>
        </w:rPr>
        <w:t>he evaluation team sought to apply th</w:t>
      </w:r>
      <w:r w:rsidR="005E44B0">
        <w:rPr>
          <w:rFonts w:eastAsia="Calibri" w:cstheme="minorHAnsi"/>
          <w:sz w:val="22"/>
          <w:szCs w:val="22"/>
        </w:rPr>
        <w:t>e</w:t>
      </w:r>
      <w:r w:rsidR="005E44B0" w:rsidRPr="00BA3FC0">
        <w:rPr>
          <w:rFonts w:eastAsia="Calibri" w:cstheme="minorHAnsi"/>
          <w:sz w:val="22"/>
          <w:szCs w:val="22"/>
        </w:rPr>
        <w:t xml:space="preserve"> </w:t>
      </w:r>
      <w:r w:rsidR="005E44B0">
        <w:rPr>
          <w:rFonts w:eastAsia="Calibri" w:cstheme="minorHAnsi"/>
          <w:sz w:val="22"/>
          <w:szCs w:val="22"/>
        </w:rPr>
        <w:t xml:space="preserve">equity-centered evaluation </w:t>
      </w:r>
      <w:r w:rsidR="005E44B0" w:rsidRPr="00BA3FC0">
        <w:rPr>
          <w:rFonts w:eastAsia="Calibri" w:cstheme="minorHAnsi"/>
          <w:sz w:val="22"/>
          <w:szCs w:val="22"/>
        </w:rPr>
        <w:t>frame</w:t>
      </w:r>
      <w:r w:rsidR="005E44B0">
        <w:rPr>
          <w:rFonts w:eastAsia="Calibri" w:cstheme="minorHAnsi"/>
          <w:sz w:val="22"/>
          <w:szCs w:val="22"/>
        </w:rPr>
        <w:t>work throughout data analysis</w:t>
      </w:r>
      <w:r w:rsidR="005E44B0" w:rsidRPr="00BA3FC0">
        <w:rPr>
          <w:rFonts w:eastAsia="Calibri" w:cstheme="minorHAnsi"/>
          <w:sz w:val="22"/>
          <w:szCs w:val="22"/>
        </w:rPr>
        <w:t xml:space="preserve">, </w:t>
      </w:r>
      <w:r>
        <w:rPr>
          <w:rFonts w:eastAsia="Calibri" w:cstheme="minorHAnsi"/>
          <w:sz w:val="22"/>
          <w:szCs w:val="22"/>
        </w:rPr>
        <w:t xml:space="preserve">yet </w:t>
      </w:r>
      <w:r w:rsidR="005E44B0" w:rsidRPr="00BA3FC0">
        <w:rPr>
          <w:rFonts w:eastAsia="Calibri" w:cstheme="minorHAnsi"/>
          <w:sz w:val="22"/>
          <w:szCs w:val="22"/>
        </w:rPr>
        <w:t xml:space="preserve">limitations exist which prevented a full assessment of the </w:t>
      </w:r>
      <w:r w:rsidR="005E44B0">
        <w:rPr>
          <w:rFonts w:eastAsia="Calibri" w:cstheme="minorHAnsi"/>
          <w:sz w:val="22"/>
          <w:szCs w:val="22"/>
        </w:rPr>
        <w:t xml:space="preserve">CCBHC </w:t>
      </w:r>
      <w:r w:rsidR="005E44B0" w:rsidRPr="00BA3FC0">
        <w:rPr>
          <w:rFonts w:eastAsia="Calibri" w:cstheme="minorHAnsi"/>
          <w:sz w:val="22"/>
          <w:szCs w:val="22"/>
        </w:rPr>
        <w:t>program’s impact on health equity. The evaluation team acknowledges th</w:t>
      </w:r>
      <w:r w:rsidR="005E44B0">
        <w:rPr>
          <w:rFonts w:eastAsia="Calibri" w:cstheme="minorHAnsi"/>
          <w:sz w:val="22"/>
          <w:szCs w:val="22"/>
        </w:rPr>
        <w:t>e</w:t>
      </w:r>
      <w:r w:rsidR="005E44B0" w:rsidRPr="00BA3FC0">
        <w:rPr>
          <w:rFonts w:eastAsia="Calibri" w:cstheme="minorHAnsi"/>
          <w:sz w:val="22"/>
          <w:szCs w:val="22"/>
        </w:rPr>
        <w:t>se limitations</w:t>
      </w:r>
      <w:r w:rsidR="005E44B0">
        <w:rPr>
          <w:rFonts w:eastAsia="Calibri" w:cstheme="minorHAnsi"/>
          <w:sz w:val="22"/>
          <w:szCs w:val="22"/>
        </w:rPr>
        <w:t xml:space="preserve"> and their effect on this report; the limitations are addressed at relevant points in this report</w:t>
      </w:r>
      <w:r w:rsidR="005E44B0" w:rsidRPr="00BA3FC0">
        <w:rPr>
          <w:rFonts w:eastAsia="Calibri" w:cstheme="minorHAnsi"/>
          <w:sz w:val="22"/>
          <w:szCs w:val="22"/>
        </w:rPr>
        <w:t xml:space="preserve">. </w:t>
      </w:r>
    </w:p>
    <w:p w14:paraId="6EBD1DB7" w14:textId="77777777" w:rsidR="005E44B0" w:rsidRDefault="005E44B0" w:rsidP="005E44B0">
      <w:pPr>
        <w:rPr>
          <w:rFonts w:eastAsia="Calibri" w:cstheme="minorHAnsi"/>
          <w:sz w:val="22"/>
          <w:szCs w:val="22"/>
        </w:rPr>
      </w:pPr>
    </w:p>
    <w:p w14:paraId="6829E5CC" w14:textId="77777777" w:rsidR="005E44B0" w:rsidRPr="00BA3FC0" w:rsidRDefault="005E44B0" w:rsidP="005E44B0">
      <w:pPr>
        <w:rPr>
          <w:rFonts w:eastAsia="Calibri" w:cstheme="minorHAnsi"/>
          <w:sz w:val="22"/>
          <w:szCs w:val="22"/>
        </w:rPr>
      </w:pPr>
      <w:r>
        <w:rPr>
          <w:rFonts w:eastAsia="Calibri" w:cstheme="minorHAnsi"/>
          <w:sz w:val="22"/>
          <w:szCs w:val="22"/>
        </w:rPr>
        <w:t>E</w:t>
      </w:r>
      <w:r w:rsidRPr="00BA3FC0">
        <w:rPr>
          <w:rFonts w:eastAsia="Calibri" w:cstheme="minorHAnsi"/>
          <w:sz w:val="22"/>
          <w:szCs w:val="22"/>
        </w:rPr>
        <w:t xml:space="preserve">ach CCBHC was asked to identify a list of potential </w:t>
      </w:r>
      <w:r>
        <w:rPr>
          <w:rFonts w:eastAsia="Calibri" w:cstheme="minorHAnsi"/>
          <w:sz w:val="22"/>
          <w:szCs w:val="22"/>
        </w:rPr>
        <w:t xml:space="preserve">service users to </w:t>
      </w:r>
      <w:r w:rsidRPr="00BA3FC0">
        <w:rPr>
          <w:rFonts w:eastAsia="Calibri" w:cstheme="minorHAnsi"/>
          <w:sz w:val="22"/>
          <w:szCs w:val="22"/>
        </w:rPr>
        <w:t>participa</w:t>
      </w:r>
      <w:r>
        <w:rPr>
          <w:rFonts w:eastAsia="Calibri" w:cstheme="minorHAnsi"/>
          <w:sz w:val="22"/>
          <w:szCs w:val="22"/>
        </w:rPr>
        <w:t>te in focus groups</w:t>
      </w:r>
      <w:r w:rsidRPr="00BA3FC0">
        <w:rPr>
          <w:rFonts w:eastAsia="Calibri" w:cstheme="minorHAnsi"/>
          <w:sz w:val="22"/>
          <w:szCs w:val="22"/>
        </w:rPr>
        <w:t xml:space="preserve"> based on specific criteria, </w:t>
      </w:r>
      <w:r>
        <w:rPr>
          <w:rFonts w:eastAsia="Calibri" w:cstheme="minorHAnsi"/>
          <w:sz w:val="22"/>
          <w:szCs w:val="22"/>
        </w:rPr>
        <w:t xml:space="preserve">but </w:t>
      </w:r>
      <w:r w:rsidRPr="00BA3FC0">
        <w:rPr>
          <w:rFonts w:eastAsia="Calibri" w:cstheme="minorHAnsi"/>
          <w:sz w:val="22"/>
          <w:szCs w:val="22"/>
        </w:rPr>
        <w:t xml:space="preserve">the evaluation team was not </w:t>
      </w:r>
      <w:r>
        <w:rPr>
          <w:rFonts w:eastAsia="Calibri" w:cstheme="minorHAnsi"/>
          <w:sz w:val="22"/>
          <w:szCs w:val="22"/>
        </w:rPr>
        <w:t>informed</w:t>
      </w:r>
      <w:r w:rsidRPr="00BA3FC0">
        <w:rPr>
          <w:rFonts w:eastAsia="Calibri" w:cstheme="minorHAnsi"/>
          <w:sz w:val="22"/>
          <w:szCs w:val="22"/>
        </w:rPr>
        <w:t xml:space="preserve"> of how closely each clinic adhered to those criteria. Additionally, there is the potential for sampling bias in the identification of service users for recruitment</w:t>
      </w:r>
      <w:r>
        <w:rPr>
          <w:rFonts w:eastAsia="Calibri" w:cstheme="minorHAnsi"/>
          <w:sz w:val="22"/>
          <w:szCs w:val="22"/>
        </w:rPr>
        <w:t>,</w:t>
      </w:r>
      <w:r w:rsidRPr="00BA3FC0">
        <w:rPr>
          <w:rFonts w:eastAsia="Calibri" w:cstheme="minorHAnsi"/>
          <w:sz w:val="22"/>
          <w:szCs w:val="22"/>
        </w:rPr>
        <w:t xml:space="preserve"> as clinics could have selected service users known to have positive experiences while excluding service users with negative experiences (or those who went on to leave the CCBHC). While this possibility cannot be ruled out, most of the service users provided honest and candid feedback that encompassed experiences that were both positive and suggested room for improvement.</w:t>
      </w:r>
      <w:r>
        <w:rPr>
          <w:rFonts w:eastAsia="Calibri" w:cstheme="minorHAnsi"/>
          <w:sz w:val="22"/>
          <w:szCs w:val="22"/>
        </w:rPr>
        <w:t xml:space="preserve"> </w:t>
      </w:r>
      <w:r w:rsidRPr="00BA3FC0">
        <w:rPr>
          <w:rFonts w:eastAsia="Calibri" w:cstheme="minorHAnsi"/>
          <w:sz w:val="22"/>
          <w:szCs w:val="22"/>
        </w:rPr>
        <w:t>Despite efforts to support</w:t>
      </w:r>
      <w:sdt>
        <w:sdtPr>
          <w:rPr>
            <w:rFonts w:cstheme="minorHAnsi"/>
            <w:sz w:val="22"/>
            <w:szCs w:val="22"/>
          </w:rPr>
          <w:tag w:val="goog_rdk_3"/>
          <w:id w:val="-1933349575"/>
        </w:sdtPr>
        <w:sdtEndPr/>
        <w:sdtContent/>
      </w:sdt>
      <w:r w:rsidRPr="00BA3FC0">
        <w:rPr>
          <w:rFonts w:eastAsia="Calibri" w:cstheme="minorHAnsi"/>
          <w:sz w:val="22"/>
          <w:szCs w:val="22"/>
        </w:rPr>
        <w:t xml:space="preserve"> participation</w:t>
      </w:r>
      <w:r>
        <w:rPr>
          <w:rFonts w:eastAsia="Calibri" w:cstheme="minorHAnsi"/>
          <w:sz w:val="22"/>
          <w:szCs w:val="22"/>
        </w:rPr>
        <w:t xml:space="preserve"> of a large representative group of service users</w:t>
      </w:r>
      <w:r w:rsidRPr="00BA3FC0">
        <w:rPr>
          <w:rFonts w:eastAsia="Calibri" w:cstheme="minorHAnsi"/>
          <w:sz w:val="22"/>
          <w:szCs w:val="22"/>
        </w:rPr>
        <w:t xml:space="preserve">, the evaluation team was only able to </w:t>
      </w:r>
      <w:r>
        <w:rPr>
          <w:rFonts w:eastAsia="Calibri" w:cstheme="minorHAnsi"/>
          <w:sz w:val="22"/>
          <w:szCs w:val="22"/>
        </w:rPr>
        <w:t xml:space="preserve">gather responses through </w:t>
      </w:r>
      <w:r w:rsidRPr="00BA3FC0">
        <w:rPr>
          <w:rFonts w:eastAsia="Calibri" w:cstheme="minorHAnsi"/>
          <w:sz w:val="22"/>
          <w:szCs w:val="22"/>
        </w:rPr>
        <w:t xml:space="preserve">focus groups and surveys </w:t>
      </w:r>
      <w:r>
        <w:rPr>
          <w:rFonts w:eastAsia="Calibri" w:cstheme="minorHAnsi"/>
          <w:sz w:val="22"/>
          <w:szCs w:val="22"/>
        </w:rPr>
        <w:t>from</w:t>
      </w:r>
      <w:r w:rsidRPr="00BA3FC0">
        <w:rPr>
          <w:rFonts w:eastAsia="Calibri" w:cstheme="minorHAnsi"/>
          <w:sz w:val="22"/>
          <w:szCs w:val="22"/>
        </w:rPr>
        <w:t xml:space="preserve"> 35 service users across 11 active CCBHCs. These findings are limited by the number of service users who participated in each focus group, as well as the individual contexts </w:t>
      </w:r>
      <w:r>
        <w:rPr>
          <w:rFonts w:eastAsia="Calibri" w:cstheme="minorHAnsi"/>
          <w:sz w:val="22"/>
          <w:szCs w:val="22"/>
        </w:rPr>
        <w:t xml:space="preserve">and characteristics </w:t>
      </w:r>
      <w:r w:rsidRPr="00BA3FC0">
        <w:rPr>
          <w:rFonts w:eastAsia="Calibri" w:cstheme="minorHAnsi"/>
          <w:sz w:val="22"/>
          <w:szCs w:val="22"/>
        </w:rPr>
        <w:t xml:space="preserve">of those service users. </w:t>
      </w:r>
    </w:p>
    <w:p w14:paraId="2A61A7BD" w14:textId="77777777" w:rsidR="005E44B0" w:rsidRPr="00BA3FC0" w:rsidRDefault="005E44B0" w:rsidP="005E44B0">
      <w:pPr>
        <w:rPr>
          <w:rFonts w:eastAsia="Calibri" w:cstheme="minorHAnsi"/>
          <w:sz w:val="22"/>
          <w:szCs w:val="22"/>
        </w:rPr>
      </w:pPr>
    </w:p>
    <w:p w14:paraId="7F6CD553" w14:textId="77777777" w:rsidR="005E44B0" w:rsidRPr="00AC5028" w:rsidRDefault="005E44B0" w:rsidP="005E44B0">
      <w:pPr>
        <w:rPr>
          <w:rFonts w:eastAsia="Calibri" w:cstheme="minorHAnsi"/>
          <w:sz w:val="22"/>
          <w:szCs w:val="22"/>
        </w:rPr>
      </w:pPr>
      <w:r>
        <w:rPr>
          <w:rFonts w:eastAsia="Calibri" w:cstheme="minorHAnsi"/>
          <w:sz w:val="22"/>
          <w:szCs w:val="22"/>
        </w:rPr>
        <w:t>Communities</w:t>
      </w:r>
      <w:r w:rsidRPr="00BA3FC0">
        <w:rPr>
          <w:rFonts w:eastAsia="Calibri" w:cstheme="minorHAnsi"/>
          <w:sz w:val="22"/>
          <w:szCs w:val="22"/>
        </w:rPr>
        <w:t xml:space="preserve"> represented by the service users </w:t>
      </w:r>
      <w:r>
        <w:rPr>
          <w:rFonts w:eastAsia="Calibri" w:cstheme="minorHAnsi"/>
          <w:sz w:val="22"/>
          <w:szCs w:val="22"/>
        </w:rPr>
        <w:t>who participated in the focus groups</w:t>
      </w:r>
      <w:r w:rsidRPr="00BA3FC0">
        <w:rPr>
          <w:rFonts w:eastAsia="Calibri" w:cstheme="minorHAnsi"/>
          <w:sz w:val="22"/>
          <w:szCs w:val="22"/>
        </w:rPr>
        <w:t xml:space="preserve"> included two</w:t>
      </w:r>
      <w:r>
        <w:rPr>
          <w:rFonts w:eastAsia="Calibri" w:cstheme="minorHAnsi"/>
          <w:sz w:val="22"/>
          <w:szCs w:val="22"/>
        </w:rPr>
        <w:t xml:space="preserve"> </w:t>
      </w:r>
      <w:sdt>
        <w:sdtPr>
          <w:rPr>
            <w:rFonts w:cstheme="minorHAnsi"/>
            <w:sz w:val="22"/>
            <w:szCs w:val="22"/>
          </w:rPr>
          <w:tag w:val="goog_rdk_6"/>
          <w:id w:val="776377593"/>
        </w:sdtPr>
        <w:sdtEndPr/>
        <w:sdtContent/>
      </w:sdt>
      <w:r w:rsidRPr="00BA3FC0">
        <w:rPr>
          <w:rFonts w:eastAsia="Calibri" w:cstheme="minorHAnsi"/>
          <w:sz w:val="22"/>
          <w:szCs w:val="22"/>
        </w:rPr>
        <w:t xml:space="preserve">LGBTQ+ </w:t>
      </w:r>
      <w:r>
        <w:rPr>
          <w:rFonts w:eastAsia="Calibri" w:cstheme="minorHAnsi"/>
          <w:sz w:val="22"/>
          <w:szCs w:val="22"/>
        </w:rPr>
        <w:t>individuals</w:t>
      </w:r>
      <w:r w:rsidRPr="00BA3FC0">
        <w:rPr>
          <w:rFonts w:eastAsia="Calibri" w:cstheme="minorHAnsi"/>
          <w:sz w:val="22"/>
          <w:szCs w:val="22"/>
        </w:rPr>
        <w:t xml:space="preserve">, one service user of Native American descent, and one </w:t>
      </w:r>
      <w:r>
        <w:rPr>
          <w:rFonts w:eastAsia="Calibri" w:cstheme="minorHAnsi"/>
          <w:sz w:val="22"/>
          <w:szCs w:val="22"/>
        </w:rPr>
        <w:t xml:space="preserve">veteran of the </w:t>
      </w:r>
      <w:r w:rsidRPr="00BA3FC0">
        <w:rPr>
          <w:rFonts w:eastAsia="Calibri" w:cstheme="minorHAnsi"/>
          <w:sz w:val="22"/>
          <w:szCs w:val="22"/>
        </w:rPr>
        <w:t>U</w:t>
      </w:r>
      <w:r>
        <w:rPr>
          <w:rFonts w:eastAsia="Calibri" w:cstheme="minorHAnsi"/>
          <w:sz w:val="22"/>
          <w:szCs w:val="22"/>
        </w:rPr>
        <w:t>.</w:t>
      </w:r>
      <w:r w:rsidRPr="00BA3FC0">
        <w:rPr>
          <w:rFonts w:eastAsia="Calibri" w:cstheme="minorHAnsi"/>
          <w:sz w:val="22"/>
          <w:szCs w:val="22"/>
        </w:rPr>
        <w:t>S</w:t>
      </w:r>
      <w:r>
        <w:rPr>
          <w:rFonts w:eastAsia="Calibri" w:cstheme="minorHAnsi"/>
          <w:sz w:val="22"/>
          <w:szCs w:val="22"/>
        </w:rPr>
        <w:t>.</w:t>
      </w:r>
      <w:r w:rsidRPr="00BA3FC0">
        <w:rPr>
          <w:rFonts w:eastAsia="Calibri" w:cstheme="minorHAnsi"/>
          <w:sz w:val="22"/>
          <w:szCs w:val="22"/>
        </w:rPr>
        <w:t xml:space="preserve"> armed services; participant demographic </w:t>
      </w:r>
      <w:r>
        <w:rPr>
          <w:rFonts w:eastAsia="Calibri" w:cstheme="minorHAnsi"/>
          <w:sz w:val="22"/>
          <w:szCs w:val="22"/>
        </w:rPr>
        <w:t>data are</w:t>
      </w:r>
      <w:r w:rsidRPr="00BA3FC0">
        <w:rPr>
          <w:rFonts w:eastAsia="Calibri" w:cstheme="minorHAnsi"/>
          <w:sz w:val="22"/>
          <w:szCs w:val="22"/>
        </w:rPr>
        <w:t xml:space="preserve"> limited only to those service users who chose to self-identify</w:t>
      </w:r>
      <w:r>
        <w:rPr>
          <w:rFonts w:eastAsia="Calibri" w:cstheme="minorHAnsi"/>
          <w:sz w:val="22"/>
          <w:szCs w:val="22"/>
        </w:rPr>
        <w:t xml:space="preserve"> with a particular community. </w:t>
      </w:r>
      <w:r w:rsidRPr="00BA3FC0">
        <w:rPr>
          <w:rFonts w:eastAsia="Calibri" w:cstheme="minorHAnsi"/>
          <w:sz w:val="22"/>
          <w:szCs w:val="22"/>
        </w:rPr>
        <w:t xml:space="preserve">While the feedback of these service users </w:t>
      </w:r>
      <w:r>
        <w:rPr>
          <w:rFonts w:eastAsia="Calibri" w:cstheme="minorHAnsi"/>
          <w:sz w:val="22"/>
          <w:szCs w:val="22"/>
        </w:rPr>
        <w:t xml:space="preserve">is highlighted throughout this report </w:t>
      </w:r>
      <w:r w:rsidRPr="00BA3FC0">
        <w:rPr>
          <w:rFonts w:eastAsia="Calibri" w:cstheme="minorHAnsi"/>
          <w:sz w:val="22"/>
          <w:szCs w:val="22"/>
        </w:rPr>
        <w:t xml:space="preserve">and their experiences are centered as appropriate, the diversity of perspectives is limited and should be </w:t>
      </w:r>
      <w:r>
        <w:rPr>
          <w:rFonts w:eastAsia="Calibri" w:cstheme="minorHAnsi"/>
          <w:sz w:val="22"/>
          <w:szCs w:val="22"/>
        </w:rPr>
        <w:t>recognized as such</w:t>
      </w:r>
      <w:r w:rsidRPr="00BA3FC0">
        <w:rPr>
          <w:rFonts w:eastAsia="Calibri" w:cstheme="minorHAnsi"/>
          <w:sz w:val="22"/>
          <w:szCs w:val="22"/>
        </w:rPr>
        <w:t>. Future evaluation efforts are needed to illuminate the experiences of historically and currently underserved communities</w:t>
      </w:r>
      <w:r>
        <w:rPr>
          <w:rFonts w:eastAsia="Calibri" w:cstheme="minorHAnsi"/>
          <w:sz w:val="22"/>
          <w:szCs w:val="22"/>
        </w:rPr>
        <w:t>,</w:t>
      </w:r>
      <w:r w:rsidRPr="00BA3FC0">
        <w:rPr>
          <w:rFonts w:eastAsia="Calibri" w:cstheme="minorHAnsi"/>
          <w:sz w:val="22"/>
          <w:szCs w:val="22"/>
        </w:rPr>
        <w:t xml:space="preserve"> including</w:t>
      </w:r>
      <w:r>
        <w:rPr>
          <w:rFonts w:eastAsia="Calibri" w:cstheme="minorHAnsi"/>
          <w:sz w:val="22"/>
          <w:szCs w:val="22"/>
        </w:rPr>
        <w:t xml:space="preserve"> </w:t>
      </w:r>
      <w:r w:rsidRPr="007A4F2F">
        <w:rPr>
          <w:rFonts w:cstheme="minorHAnsi"/>
          <w:sz w:val="22"/>
          <w:szCs w:val="22"/>
        </w:rPr>
        <w:t xml:space="preserve">BIPOC communities, </w:t>
      </w:r>
      <w:r>
        <w:rPr>
          <w:rFonts w:cstheme="minorHAnsi"/>
          <w:sz w:val="22"/>
          <w:szCs w:val="22"/>
        </w:rPr>
        <w:t xml:space="preserve">Indigenous and </w:t>
      </w:r>
      <w:r w:rsidRPr="007A4F2F">
        <w:rPr>
          <w:rFonts w:cstheme="minorHAnsi"/>
          <w:sz w:val="22"/>
          <w:szCs w:val="22"/>
        </w:rPr>
        <w:t xml:space="preserve">Tribal communities, LGBTQ+ individuals, </w:t>
      </w:r>
      <w:r w:rsidRPr="00BA3FC0">
        <w:rPr>
          <w:rFonts w:eastAsia="Calibri" w:cstheme="minorHAnsi"/>
          <w:sz w:val="22"/>
          <w:szCs w:val="22"/>
        </w:rPr>
        <w:t xml:space="preserve">those experiencing houselessness, </w:t>
      </w:r>
      <w:r w:rsidRPr="007A4F2F">
        <w:rPr>
          <w:rFonts w:cstheme="minorHAnsi"/>
          <w:sz w:val="22"/>
          <w:szCs w:val="22"/>
        </w:rPr>
        <w:t xml:space="preserve">and other </w:t>
      </w:r>
      <w:r>
        <w:rPr>
          <w:rFonts w:cstheme="minorHAnsi"/>
          <w:sz w:val="22"/>
          <w:szCs w:val="22"/>
        </w:rPr>
        <w:t>historically and currently underserved</w:t>
      </w:r>
      <w:r w:rsidRPr="007A4F2F">
        <w:rPr>
          <w:rFonts w:cstheme="minorHAnsi"/>
          <w:sz w:val="22"/>
          <w:szCs w:val="22"/>
        </w:rPr>
        <w:t xml:space="preserve"> communities.</w:t>
      </w:r>
      <w:r>
        <w:rPr>
          <w:rFonts w:eastAsia="Calibri" w:cstheme="minorHAnsi"/>
          <w:sz w:val="22"/>
          <w:szCs w:val="22"/>
        </w:rPr>
        <w:t xml:space="preserve"> </w:t>
      </w:r>
      <w:r w:rsidRPr="00BA3FC0">
        <w:rPr>
          <w:rFonts w:eastAsia="Calibri" w:cstheme="minorHAnsi"/>
          <w:sz w:val="22"/>
          <w:szCs w:val="22"/>
        </w:rPr>
        <w:t xml:space="preserve">Future evaluations may </w:t>
      </w:r>
      <w:r w:rsidRPr="000C1847">
        <w:rPr>
          <w:rFonts w:eastAsia="Calibri" w:cstheme="minorHAnsi"/>
          <w:sz w:val="22"/>
          <w:szCs w:val="22"/>
        </w:rPr>
        <w:t xml:space="preserve">benefit from longer recruitment periods, multiple opportunities for </w:t>
      </w:r>
      <w:r w:rsidRPr="000C1847">
        <w:rPr>
          <w:rFonts w:cstheme="minorHAnsi"/>
          <w:sz w:val="22"/>
          <w:szCs w:val="22"/>
        </w:rPr>
        <w:t>service user engagement</w:t>
      </w:r>
      <w:r w:rsidRPr="000C1847" w:rsidDel="000C1847">
        <w:rPr>
          <w:rFonts w:eastAsia="Calibri" w:cstheme="minorHAnsi"/>
          <w:sz w:val="22"/>
          <w:szCs w:val="22"/>
        </w:rPr>
        <w:t xml:space="preserve"> </w:t>
      </w:r>
      <w:r w:rsidRPr="000C1847">
        <w:rPr>
          <w:rFonts w:eastAsia="Calibri" w:cstheme="minorHAnsi"/>
          <w:sz w:val="22"/>
          <w:szCs w:val="22"/>
        </w:rPr>
        <w:t>(as time</w:t>
      </w:r>
      <w:r w:rsidRPr="00BA3FC0">
        <w:rPr>
          <w:rFonts w:eastAsia="Calibri" w:cstheme="minorHAnsi"/>
          <w:sz w:val="22"/>
          <w:szCs w:val="22"/>
        </w:rPr>
        <w:t xml:space="preserve"> constraints meant that only a single focus group could be held per CCBHC), and coordinated recruitment efforts </w:t>
      </w:r>
      <w:r>
        <w:rPr>
          <w:rFonts w:eastAsia="Calibri" w:cstheme="minorHAnsi"/>
          <w:sz w:val="22"/>
          <w:szCs w:val="22"/>
        </w:rPr>
        <w:t>among</w:t>
      </w:r>
      <w:r w:rsidRPr="00BA3FC0">
        <w:rPr>
          <w:rFonts w:eastAsia="Calibri" w:cstheme="minorHAnsi"/>
          <w:sz w:val="22"/>
          <w:szCs w:val="22"/>
        </w:rPr>
        <w:t xml:space="preserve"> </w:t>
      </w:r>
      <w:r>
        <w:rPr>
          <w:rFonts w:eastAsia="Calibri" w:cstheme="minorHAnsi"/>
          <w:sz w:val="22"/>
          <w:szCs w:val="22"/>
        </w:rPr>
        <w:t xml:space="preserve">OHA staff, </w:t>
      </w:r>
      <w:r w:rsidRPr="00BA3FC0">
        <w:rPr>
          <w:rFonts w:eastAsia="Calibri" w:cstheme="minorHAnsi"/>
          <w:sz w:val="22"/>
          <w:szCs w:val="22"/>
        </w:rPr>
        <w:t>CCBHC administrators</w:t>
      </w:r>
      <w:r>
        <w:rPr>
          <w:rFonts w:eastAsia="Calibri" w:cstheme="minorHAnsi"/>
          <w:sz w:val="22"/>
          <w:szCs w:val="22"/>
        </w:rPr>
        <w:t>,</w:t>
      </w:r>
      <w:r w:rsidRPr="00BA3FC0">
        <w:rPr>
          <w:rFonts w:eastAsia="Calibri" w:cstheme="minorHAnsi"/>
          <w:sz w:val="22"/>
          <w:szCs w:val="22"/>
        </w:rPr>
        <w:t xml:space="preserve"> and local community </w:t>
      </w:r>
      <w:r>
        <w:rPr>
          <w:rFonts w:eastAsia="Calibri" w:cstheme="minorHAnsi"/>
          <w:sz w:val="22"/>
          <w:szCs w:val="22"/>
        </w:rPr>
        <w:t xml:space="preserve">partner </w:t>
      </w:r>
      <w:r w:rsidRPr="00BA3FC0">
        <w:rPr>
          <w:rFonts w:eastAsia="Calibri" w:cstheme="minorHAnsi"/>
          <w:sz w:val="22"/>
          <w:szCs w:val="22"/>
        </w:rPr>
        <w:t xml:space="preserve">leaders, </w:t>
      </w:r>
      <w:r>
        <w:rPr>
          <w:rFonts w:eastAsia="Calibri" w:cstheme="minorHAnsi"/>
          <w:sz w:val="22"/>
          <w:szCs w:val="22"/>
        </w:rPr>
        <w:t xml:space="preserve">in order </w:t>
      </w:r>
      <w:r w:rsidRPr="00BA3FC0">
        <w:rPr>
          <w:rFonts w:eastAsia="Calibri" w:cstheme="minorHAnsi"/>
          <w:sz w:val="22"/>
          <w:szCs w:val="22"/>
        </w:rPr>
        <w:t xml:space="preserve">to ensure sufficient and appropriate outreach is conducted to </w:t>
      </w:r>
      <w:r w:rsidRPr="00AC5028">
        <w:rPr>
          <w:rFonts w:eastAsia="Calibri" w:cstheme="minorHAnsi"/>
          <w:sz w:val="22"/>
          <w:szCs w:val="22"/>
        </w:rPr>
        <w:t xml:space="preserve">include these important community perspectives. </w:t>
      </w:r>
    </w:p>
    <w:p w14:paraId="15F8357B" w14:textId="77777777" w:rsidR="00F1409B" w:rsidRPr="00AC5028" w:rsidRDefault="00F1409B" w:rsidP="00F1409B">
      <w:pPr>
        <w:rPr>
          <w:rFonts w:eastAsia="Calibri" w:cstheme="minorHAnsi"/>
          <w:sz w:val="22"/>
          <w:szCs w:val="22"/>
        </w:rPr>
      </w:pPr>
    </w:p>
    <w:p w14:paraId="3F6C339B" w14:textId="77777777" w:rsidR="005E44B0" w:rsidRDefault="005E44B0" w:rsidP="005E44B0">
      <w:pPr>
        <w:rPr>
          <w:sz w:val="22"/>
          <w:szCs w:val="22"/>
        </w:rPr>
      </w:pPr>
      <w:r w:rsidRPr="00AC5028">
        <w:rPr>
          <w:sz w:val="22"/>
          <w:szCs w:val="22"/>
        </w:rPr>
        <w:t xml:space="preserve">Despite OHA’s explicit interest in the familial experience of children who receive services through the CCBHC, </w:t>
      </w:r>
      <w:r>
        <w:rPr>
          <w:sz w:val="22"/>
          <w:szCs w:val="22"/>
        </w:rPr>
        <w:t>this report</w:t>
      </w:r>
      <w:r w:rsidRPr="00AC5028">
        <w:rPr>
          <w:sz w:val="22"/>
          <w:szCs w:val="22"/>
        </w:rPr>
        <w:t xml:space="preserve"> cannot speak to this. Efforts were made across multiple clinics to recruit </w:t>
      </w:r>
      <w:r>
        <w:rPr>
          <w:sz w:val="22"/>
          <w:szCs w:val="22"/>
        </w:rPr>
        <w:t>focus group participants</w:t>
      </w:r>
      <w:r w:rsidRPr="00AC5028">
        <w:rPr>
          <w:sz w:val="22"/>
          <w:szCs w:val="22"/>
        </w:rPr>
        <w:t xml:space="preserve"> who are caregivers to children who have received CCBHC services; unfortunately, none attended the focus groups or responded to the survey.</w:t>
      </w:r>
    </w:p>
    <w:p w14:paraId="0EBABBB8" w14:textId="77777777" w:rsidR="005E44B0" w:rsidRPr="00BA3FC0" w:rsidRDefault="005E44B0" w:rsidP="005E44B0">
      <w:pPr>
        <w:rPr>
          <w:rFonts w:eastAsia="Calibri" w:cstheme="minorHAnsi"/>
          <w:sz w:val="22"/>
          <w:szCs w:val="22"/>
        </w:rPr>
      </w:pPr>
      <w:r w:rsidRPr="00BA3FC0">
        <w:rPr>
          <w:rFonts w:eastAsia="Calibri" w:cstheme="minorHAnsi"/>
          <w:sz w:val="22"/>
          <w:szCs w:val="22"/>
        </w:rPr>
        <w:t>The majority of service users who participated in a focus group resided in rural service areas</w:t>
      </w:r>
      <w:r>
        <w:rPr>
          <w:rFonts w:eastAsia="Calibri" w:cstheme="minorHAnsi"/>
          <w:sz w:val="22"/>
          <w:szCs w:val="22"/>
        </w:rPr>
        <w:t>;</w:t>
      </w:r>
      <w:r w:rsidRPr="00BA3FC0">
        <w:rPr>
          <w:rFonts w:eastAsia="Calibri" w:cstheme="minorHAnsi"/>
          <w:sz w:val="22"/>
          <w:szCs w:val="22"/>
        </w:rPr>
        <w:t xml:space="preserve"> therefore</w:t>
      </w:r>
      <w:r>
        <w:rPr>
          <w:rFonts w:eastAsia="Calibri" w:cstheme="minorHAnsi"/>
          <w:sz w:val="22"/>
          <w:szCs w:val="22"/>
        </w:rPr>
        <w:t>,</w:t>
      </w:r>
      <w:r w:rsidRPr="00BA3FC0">
        <w:rPr>
          <w:rFonts w:eastAsia="Calibri" w:cstheme="minorHAnsi"/>
          <w:sz w:val="22"/>
          <w:szCs w:val="22"/>
        </w:rPr>
        <w:t xml:space="preserve"> there is limited evidence to establish whether service users located in urban areas had markedly different experiences than those in rural areas. Further evaluation may be needed to explore whether urban and rurally located service users experience differences in </w:t>
      </w:r>
      <w:r>
        <w:rPr>
          <w:rFonts w:eastAsia="Calibri" w:cstheme="minorHAnsi"/>
          <w:sz w:val="22"/>
          <w:szCs w:val="22"/>
        </w:rPr>
        <w:t xml:space="preserve">access, </w:t>
      </w:r>
      <w:r w:rsidRPr="00BA3FC0">
        <w:rPr>
          <w:rFonts w:eastAsia="Calibri" w:cstheme="minorHAnsi"/>
          <w:sz w:val="22"/>
          <w:szCs w:val="22"/>
        </w:rPr>
        <w:t>services</w:t>
      </w:r>
      <w:r>
        <w:rPr>
          <w:rFonts w:eastAsia="Calibri" w:cstheme="minorHAnsi"/>
          <w:sz w:val="22"/>
          <w:szCs w:val="22"/>
        </w:rPr>
        <w:t>,</w:t>
      </w:r>
      <w:r w:rsidRPr="00BA3FC0">
        <w:rPr>
          <w:rFonts w:eastAsia="Calibri" w:cstheme="minorHAnsi"/>
          <w:sz w:val="22"/>
          <w:szCs w:val="22"/>
        </w:rPr>
        <w:t xml:space="preserve"> or quality</w:t>
      </w:r>
      <w:r>
        <w:rPr>
          <w:rFonts w:eastAsia="Calibri" w:cstheme="minorHAnsi"/>
          <w:sz w:val="22"/>
          <w:szCs w:val="22"/>
        </w:rPr>
        <w:t xml:space="preserve"> of care</w:t>
      </w:r>
      <w:r w:rsidRPr="00BA3FC0">
        <w:rPr>
          <w:rFonts w:eastAsia="Calibri" w:cstheme="minorHAnsi"/>
          <w:sz w:val="22"/>
          <w:szCs w:val="22"/>
        </w:rPr>
        <w:t>.</w:t>
      </w:r>
    </w:p>
    <w:p w14:paraId="2CC03878" w14:textId="77777777" w:rsidR="005E44B0" w:rsidRPr="00BA3FC0" w:rsidRDefault="005E44B0" w:rsidP="005E44B0">
      <w:pPr>
        <w:rPr>
          <w:rFonts w:eastAsia="Calibri" w:cstheme="minorHAnsi"/>
          <w:sz w:val="22"/>
          <w:szCs w:val="22"/>
        </w:rPr>
      </w:pPr>
    </w:p>
    <w:p w14:paraId="420FE306" w14:textId="135E5433" w:rsidR="00F1409B" w:rsidRDefault="005E44B0" w:rsidP="00F1409B">
      <w:pPr>
        <w:rPr>
          <w:rFonts w:eastAsia="Calibri" w:cstheme="minorHAnsi"/>
          <w:sz w:val="22"/>
          <w:szCs w:val="22"/>
        </w:rPr>
      </w:pPr>
      <w:r w:rsidRPr="00BA3FC0">
        <w:rPr>
          <w:rFonts w:eastAsia="Calibri" w:cstheme="minorHAnsi"/>
          <w:sz w:val="22"/>
          <w:szCs w:val="22"/>
        </w:rPr>
        <w:t xml:space="preserve">In addition, the evaluation team, working on a tight deadline, </w:t>
      </w:r>
      <w:r>
        <w:rPr>
          <w:rFonts w:eastAsia="Calibri" w:cstheme="minorHAnsi"/>
          <w:sz w:val="22"/>
          <w:szCs w:val="22"/>
        </w:rPr>
        <w:t>did not have time to build relationships</w:t>
      </w:r>
      <w:r w:rsidRPr="00BA3FC0">
        <w:rPr>
          <w:rFonts w:eastAsia="Calibri" w:cstheme="minorHAnsi"/>
          <w:sz w:val="22"/>
          <w:szCs w:val="22"/>
        </w:rPr>
        <w:t xml:space="preserve"> to actively engage CBOs led by BIPOC or LGBTQ+ community members or federally recognized Tribal sovereign nations. To address this limitation, the evaluation team incorporated findings from the behavioral health report written by the Coalition of Communities of Color</w:t>
      </w:r>
      <w:r>
        <w:rPr>
          <w:rFonts w:eastAsia="Calibri" w:cstheme="minorHAnsi"/>
          <w:sz w:val="22"/>
          <w:szCs w:val="22"/>
        </w:rPr>
        <w:t xml:space="preserve"> (2021)</w:t>
      </w:r>
      <w:r w:rsidRPr="00BA3FC0">
        <w:rPr>
          <w:rFonts w:eastAsia="Calibri" w:cstheme="minorHAnsi"/>
          <w:sz w:val="22"/>
          <w:szCs w:val="22"/>
        </w:rPr>
        <w:t xml:space="preserve">. </w:t>
      </w:r>
    </w:p>
    <w:p w14:paraId="76853CA3" w14:textId="77777777" w:rsidR="00F1409B" w:rsidRDefault="00F1409B" w:rsidP="00F1409B">
      <w:pPr>
        <w:rPr>
          <w:rFonts w:eastAsia="Calibri" w:cstheme="minorHAnsi"/>
          <w:sz w:val="22"/>
          <w:szCs w:val="22"/>
        </w:rPr>
      </w:pPr>
    </w:p>
    <w:p w14:paraId="707422C9" w14:textId="299985D2" w:rsidR="00F1409B" w:rsidRPr="00CF0229" w:rsidRDefault="00F1409B" w:rsidP="008F573D">
      <w:pPr>
        <w:pStyle w:val="Heading2"/>
        <w:spacing w:after="120"/>
        <w:rPr>
          <w:rFonts w:asciiTheme="minorHAnsi" w:hAnsiTheme="minorHAnsi" w:cstheme="minorHAnsi"/>
          <w:b/>
          <w:bCs/>
          <w:color w:val="6A7F0F"/>
        </w:rPr>
      </w:pPr>
      <w:bookmarkStart w:id="23" w:name="_Toc126068178"/>
      <w:r w:rsidRPr="00CF0229">
        <w:rPr>
          <w:rFonts w:asciiTheme="minorHAnsi" w:hAnsiTheme="minorHAnsi" w:cstheme="minorHAnsi"/>
          <w:b/>
          <w:bCs/>
          <w:color w:val="6A7F0F"/>
        </w:rPr>
        <w:t>Quantitative Design, Data Collection</w:t>
      </w:r>
      <w:r w:rsidR="00E30421" w:rsidRPr="00CF0229">
        <w:rPr>
          <w:rFonts w:asciiTheme="minorHAnsi" w:hAnsiTheme="minorHAnsi" w:cstheme="minorHAnsi"/>
          <w:b/>
          <w:bCs/>
          <w:color w:val="6A7F0F"/>
        </w:rPr>
        <w:t>,</w:t>
      </w:r>
      <w:r w:rsidRPr="00CF0229">
        <w:rPr>
          <w:rFonts w:asciiTheme="minorHAnsi" w:hAnsiTheme="minorHAnsi" w:cstheme="minorHAnsi"/>
          <w:b/>
          <w:bCs/>
          <w:color w:val="6A7F0F"/>
        </w:rPr>
        <w:t xml:space="preserve"> and Analysis</w:t>
      </w:r>
      <w:bookmarkEnd w:id="23"/>
    </w:p>
    <w:p w14:paraId="3145C7C3" w14:textId="1BC8836A" w:rsidR="005E44B0" w:rsidRDefault="005E44B0" w:rsidP="005E44B0">
      <w:pPr>
        <w:rPr>
          <w:rFonts w:eastAsia="Calibri" w:cstheme="minorHAnsi"/>
          <w:sz w:val="22"/>
          <w:szCs w:val="22"/>
        </w:rPr>
      </w:pPr>
      <w:r w:rsidRPr="00BA3FC0">
        <w:rPr>
          <w:rFonts w:eastAsia="Calibri" w:cstheme="minorHAnsi"/>
          <w:sz w:val="22"/>
          <w:szCs w:val="22"/>
        </w:rPr>
        <w:t xml:space="preserve">OHA provided </w:t>
      </w:r>
      <w:r>
        <w:rPr>
          <w:rFonts w:eastAsia="Calibri" w:cstheme="minorHAnsi"/>
          <w:sz w:val="22"/>
          <w:szCs w:val="22"/>
        </w:rPr>
        <w:t xml:space="preserve">the evaluation team with </w:t>
      </w:r>
      <w:r w:rsidR="004E7CF5" w:rsidRPr="005665C2">
        <w:rPr>
          <w:rFonts w:cstheme="minorHAnsi"/>
          <w:color w:val="000000" w:themeColor="text1"/>
          <w:sz w:val="22"/>
          <w:szCs w:val="22"/>
        </w:rPr>
        <w:t>Oregon Health Plan</w:t>
      </w:r>
      <w:r w:rsidR="004E7CF5">
        <w:rPr>
          <w:rFonts w:eastAsia="Calibri" w:cstheme="minorHAnsi"/>
          <w:sz w:val="22"/>
          <w:szCs w:val="22"/>
        </w:rPr>
        <w:t xml:space="preserve"> (</w:t>
      </w:r>
      <w:r>
        <w:rPr>
          <w:rFonts w:eastAsia="Calibri" w:cstheme="minorHAnsi"/>
          <w:sz w:val="22"/>
          <w:szCs w:val="22"/>
        </w:rPr>
        <w:t>OHP</w:t>
      </w:r>
      <w:r w:rsidR="004E7CF5">
        <w:rPr>
          <w:rFonts w:eastAsia="Calibri" w:cstheme="minorHAnsi"/>
          <w:sz w:val="22"/>
          <w:szCs w:val="22"/>
        </w:rPr>
        <w:t>)</w:t>
      </w:r>
      <w:r>
        <w:rPr>
          <w:rFonts w:eastAsia="Calibri" w:cstheme="minorHAnsi"/>
          <w:sz w:val="22"/>
          <w:szCs w:val="22"/>
        </w:rPr>
        <w:t xml:space="preserve"> claims and eligibility data from two years prior to, and four years after, the CCBHC program initiation (April 1, 2015 through March 31, 2021), as well as Mental Health Statistics Improvement Program (MHSIP) survey data for OHP members, as one means to assess changes in treatment patterns, service user and community outcomes, and health system expenditures. These two time periods are referred to in the subsequent discussion as “pre-implementation” and “post-implementation.” In addition, the four-year post CCBHC study period was divided into two, two-year periods to acknowledge and capture potential pre- and post-pandemic differences.</w:t>
      </w:r>
    </w:p>
    <w:p w14:paraId="5D0D6253" w14:textId="77777777" w:rsidR="005E44B0" w:rsidRDefault="005E44B0" w:rsidP="005E44B0">
      <w:pPr>
        <w:rPr>
          <w:rFonts w:eastAsia="Calibri" w:cstheme="minorHAnsi"/>
          <w:sz w:val="22"/>
          <w:szCs w:val="22"/>
        </w:rPr>
      </w:pPr>
    </w:p>
    <w:p w14:paraId="6581E5DD" w14:textId="77777777" w:rsidR="005E44B0" w:rsidRDefault="005E44B0" w:rsidP="005E44B0">
      <w:pPr>
        <w:rPr>
          <w:rFonts w:eastAsia="Calibri" w:cstheme="minorHAnsi"/>
          <w:sz w:val="22"/>
          <w:szCs w:val="22"/>
        </w:rPr>
      </w:pPr>
      <w:r>
        <w:rPr>
          <w:rFonts w:eastAsia="Calibri" w:cstheme="minorHAnsi"/>
          <w:sz w:val="22"/>
          <w:szCs w:val="22"/>
        </w:rPr>
        <w:t>While the majority of CCBHC service users are OHP members, CCBHCs serve a broad array of individuals. Data specific to non-OHP members were not available to make assessments specific to these other CCBHC service users, but the experience of OHP members likely reflects them. In order to effectively assess the CCBHCs uniformly across the four years of post-CCBHC implementation data, the quantitative analyses focused on the nine CCBHC sites that were active in the demonstration across all four years. As most CCBHCs are also CMHPs, OHP members served by CMHPs who were not CCBHCs were chosen as the best comparator group to allow assessment of changes that could be attributed to CCBHC program implementation. To assure that comparisons were made over time and between CCBHC and non-CCBHC service users, propensity score matching was used to assure that the characteristics of service users in each study period mirrored distribution of CCBHC service users in the first two post-implementation periods.</w:t>
      </w:r>
    </w:p>
    <w:p w14:paraId="435C35B6" w14:textId="77777777" w:rsidR="005E44B0" w:rsidRPr="00BA3FC0" w:rsidRDefault="005E44B0" w:rsidP="005E44B0">
      <w:pPr>
        <w:rPr>
          <w:rFonts w:eastAsia="Calibri" w:cstheme="minorHAnsi"/>
          <w:sz w:val="22"/>
          <w:szCs w:val="22"/>
        </w:rPr>
      </w:pPr>
    </w:p>
    <w:p w14:paraId="43856C92" w14:textId="77777777" w:rsidR="005E44B0" w:rsidRDefault="005E44B0" w:rsidP="005E44B0">
      <w:pPr>
        <w:rPr>
          <w:rFonts w:eastAsia="Calibri" w:cstheme="minorHAnsi"/>
          <w:sz w:val="22"/>
          <w:szCs w:val="22"/>
        </w:rPr>
      </w:pPr>
      <w:r>
        <w:rPr>
          <w:rFonts w:eastAsia="Calibri" w:cstheme="minorHAnsi"/>
          <w:sz w:val="22"/>
          <w:szCs w:val="22"/>
        </w:rPr>
        <w:t xml:space="preserve">In addition to assessing overall CCBHC program effects, differential impact was assessed across race/ ethnicity groups and OHP member place of residence. OHA provided </w:t>
      </w:r>
      <w:r w:rsidRPr="00BA3FC0">
        <w:rPr>
          <w:rFonts w:eastAsia="Calibri" w:cstheme="minorHAnsi"/>
          <w:sz w:val="22"/>
          <w:szCs w:val="22"/>
        </w:rPr>
        <w:t>REALD demographic data on race</w:t>
      </w:r>
      <w:r>
        <w:rPr>
          <w:rFonts w:eastAsia="Calibri" w:cstheme="minorHAnsi"/>
          <w:sz w:val="22"/>
          <w:szCs w:val="22"/>
        </w:rPr>
        <w:t xml:space="preserve">, </w:t>
      </w:r>
      <w:r w:rsidRPr="00BA3FC0">
        <w:rPr>
          <w:rFonts w:eastAsia="Calibri" w:cstheme="minorHAnsi"/>
          <w:sz w:val="22"/>
          <w:szCs w:val="22"/>
        </w:rPr>
        <w:t>ethnicity</w:t>
      </w:r>
      <w:r>
        <w:rPr>
          <w:rFonts w:eastAsia="Calibri" w:cstheme="minorHAnsi"/>
          <w:sz w:val="22"/>
          <w:szCs w:val="22"/>
        </w:rPr>
        <w:t>,</w:t>
      </w:r>
      <w:r w:rsidRPr="00BA3FC0">
        <w:rPr>
          <w:rFonts w:eastAsia="Calibri" w:cstheme="minorHAnsi"/>
          <w:sz w:val="22"/>
          <w:szCs w:val="22"/>
        </w:rPr>
        <w:t xml:space="preserve"> and preferred language for OHP members from CY 2018 thr</w:t>
      </w:r>
      <w:r>
        <w:rPr>
          <w:rFonts w:eastAsia="Calibri" w:cstheme="minorHAnsi"/>
          <w:sz w:val="22"/>
          <w:szCs w:val="22"/>
        </w:rPr>
        <w:t>ough</w:t>
      </w:r>
      <w:r w:rsidRPr="00BA3FC0">
        <w:rPr>
          <w:rFonts w:eastAsia="Calibri" w:cstheme="minorHAnsi"/>
          <w:sz w:val="22"/>
          <w:szCs w:val="22"/>
        </w:rPr>
        <w:t xml:space="preserve"> CY 2021. These data matched with approximately 85% of OHP members included in the study from April 2015 through March 2021. While these data provided the potential to investigate CCBHC impact across these dimensions, the number of OHP members identifying across distinct race</w:t>
      </w:r>
      <w:r>
        <w:rPr>
          <w:rFonts w:eastAsia="Calibri" w:cstheme="minorHAnsi"/>
          <w:sz w:val="22"/>
          <w:szCs w:val="22"/>
        </w:rPr>
        <w:t xml:space="preserve">, </w:t>
      </w:r>
      <w:r w:rsidRPr="00BA3FC0">
        <w:rPr>
          <w:rFonts w:eastAsia="Calibri" w:cstheme="minorHAnsi"/>
          <w:sz w:val="22"/>
          <w:szCs w:val="22"/>
        </w:rPr>
        <w:t>ethnicity</w:t>
      </w:r>
      <w:r>
        <w:rPr>
          <w:rFonts w:eastAsia="Calibri" w:cstheme="minorHAnsi"/>
          <w:sz w:val="22"/>
          <w:szCs w:val="22"/>
        </w:rPr>
        <w:t>,</w:t>
      </w:r>
      <w:r w:rsidRPr="00BA3FC0">
        <w:rPr>
          <w:rFonts w:eastAsia="Calibri" w:cstheme="minorHAnsi"/>
          <w:sz w:val="22"/>
          <w:szCs w:val="22"/>
        </w:rPr>
        <w:t xml:space="preserve"> and language categories was limited. </w:t>
      </w:r>
    </w:p>
    <w:p w14:paraId="70A2F4A1" w14:textId="036AB6E2" w:rsidR="005E44B0" w:rsidRDefault="005E44B0" w:rsidP="005E44B0">
      <w:pPr>
        <w:rPr>
          <w:rFonts w:eastAsia="Calibri" w:cstheme="minorHAnsi"/>
          <w:sz w:val="22"/>
          <w:szCs w:val="22"/>
        </w:rPr>
      </w:pPr>
      <w:r>
        <w:rPr>
          <w:rFonts w:eastAsia="Calibri" w:cstheme="minorHAnsi"/>
          <w:sz w:val="22"/>
          <w:szCs w:val="22"/>
        </w:rPr>
        <w:t>The preferred language is predominately English (&gt;95%), making assessments of CCBHC impact by language generally infeasible. C</w:t>
      </w:r>
      <w:r w:rsidRPr="00BA3FC0">
        <w:rPr>
          <w:rFonts w:eastAsia="Calibri" w:cstheme="minorHAnsi"/>
          <w:sz w:val="22"/>
          <w:szCs w:val="22"/>
        </w:rPr>
        <w:t xml:space="preserve">omparisons </w:t>
      </w:r>
      <w:r>
        <w:rPr>
          <w:rFonts w:eastAsia="Calibri" w:cstheme="minorHAnsi"/>
          <w:sz w:val="22"/>
          <w:szCs w:val="22"/>
        </w:rPr>
        <w:t xml:space="preserve">were sought wherever possible across groups approximating the nine major REALD race/ethnicity groups (RE9) but were limited in cases where group numbers were too small to credibly assess change. Place of residence was limited to </w:t>
      </w:r>
      <w:r w:rsidRPr="00BA3FC0">
        <w:rPr>
          <w:rFonts w:eastAsia="Calibri" w:cstheme="minorHAnsi"/>
          <w:sz w:val="22"/>
          <w:szCs w:val="22"/>
        </w:rPr>
        <w:t>rural</w:t>
      </w:r>
      <w:r>
        <w:rPr>
          <w:rFonts w:eastAsia="Calibri" w:cstheme="minorHAnsi"/>
          <w:sz w:val="22"/>
          <w:szCs w:val="22"/>
        </w:rPr>
        <w:t xml:space="preserve">, urban, and remote areas based on zip code of residence, </w:t>
      </w:r>
      <w:r w:rsidRPr="00BA3FC0">
        <w:rPr>
          <w:rFonts w:eastAsia="Calibri" w:cstheme="minorHAnsi"/>
          <w:sz w:val="22"/>
          <w:szCs w:val="22"/>
        </w:rPr>
        <w:t xml:space="preserve">as defined by the </w:t>
      </w:r>
      <w:r w:rsidR="00CF6C30">
        <w:rPr>
          <w:rFonts w:eastAsia="Calibri" w:cstheme="minorHAnsi"/>
          <w:sz w:val="22"/>
          <w:szCs w:val="22"/>
        </w:rPr>
        <w:t xml:space="preserve">ORH </w:t>
      </w:r>
      <w:r>
        <w:rPr>
          <w:rFonts w:eastAsia="Calibri" w:cstheme="minorHAnsi"/>
          <w:sz w:val="22"/>
          <w:szCs w:val="22"/>
        </w:rPr>
        <w:t>(</w:t>
      </w:r>
      <w:r w:rsidR="00CF6C30" w:rsidRPr="00BA3FC0">
        <w:rPr>
          <w:rFonts w:eastAsia="Calibri" w:cstheme="minorHAnsi"/>
          <w:sz w:val="22"/>
          <w:szCs w:val="22"/>
        </w:rPr>
        <w:t>Oregon Office of Rural Health</w:t>
      </w:r>
      <w:r w:rsidR="00CF6C30">
        <w:rPr>
          <w:rFonts w:eastAsia="Calibri" w:cstheme="minorHAnsi"/>
          <w:sz w:val="22"/>
          <w:szCs w:val="22"/>
        </w:rPr>
        <w:t xml:space="preserve">, </w:t>
      </w:r>
      <w:r>
        <w:rPr>
          <w:rFonts w:eastAsia="Calibri" w:cstheme="minorHAnsi"/>
          <w:sz w:val="22"/>
          <w:szCs w:val="22"/>
        </w:rPr>
        <w:t>n.d.)</w:t>
      </w:r>
      <w:r w:rsidRPr="00BA3FC0">
        <w:rPr>
          <w:rFonts w:eastAsia="Calibri" w:cstheme="minorHAnsi"/>
          <w:sz w:val="22"/>
          <w:szCs w:val="22"/>
        </w:rPr>
        <w:t xml:space="preserve">. </w:t>
      </w:r>
      <w:r>
        <w:rPr>
          <w:rFonts w:eastAsia="Calibri" w:cstheme="minorHAnsi"/>
          <w:sz w:val="22"/>
          <w:szCs w:val="22"/>
        </w:rPr>
        <w:t>As remote residents constituted approximately 2% of the study sample, remote and rural residence were combined in several instances.</w:t>
      </w:r>
    </w:p>
    <w:p w14:paraId="5A56D202" w14:textId="77777777" w:rsidR="00F1409B" w:rsidRPr="00F1409B" w:rsidRDefault="00F1409B" w:rsidP="00F1409B"/>
    <w:p w14:paraId="0BA898B7" w14:textId="19621213" w:rsidR="003C684B" w:rsidRPr="004247FE" w:rsidRDefault="003C684B" w:rsidP="00580A99">
      <w:pPr>
        <w:pStyle w:val="Heading1"/>
        <w:spacing w:before="0" w:after="120"/>
        <w:rPr>
          <w:rFonts w:asciiTheme="minorHAnsi" w:hAnsiTheme="minorHAnsi" w:cstheme="minorHAnsi"/>
          <w:b/>
          <w:bCs/>
          <w:color w:val="6A7F0F"/>
          <w:sz w:val="40"/>
          <w:szCs w:val="40"/>
        </w:rPr>
      </w:pPr>
      <w:bookmarkStart w:id="24" w:name="_Toc126068179"/>
      <w:r w:rsidRPr="004247FE">
        <w:rPr>
          <w:rFonts w:asciiTheme="minorHAnsi" w:hAnsiTheme="minorHAnsi" w:cstheme="minorHAnsi"/>
          <w:b/>
          <w:bCs/>
          <w:color w:val="6A7F0F"/>
          <w:sz w:val="40"/>
          <w:szCs w:val="40"/>
        </w:rPr>
        <w:t>Findings and Recommendations</w:t>
      </w:r>
      <w:bookmarkEnd w:id="24"/>
    </w:p>
    <w:p w14:paraId="07283C92" w14:textId="2082F3A9" w:rsidR="008F573D" w:rsidRDefault="008F573D" w:rsidP="008F573D">
      <w:pPr>
        <w:rPr>
          <w:rFonts w:cstheme="minorHAnsi"/>
          <w:sz w:val="22"/>
          <w:szCs w:val="22"/>
        </w:rPr>
      </w:pPr>
      <w:r>
        <w:rPr>
          <w:rFonts w:cstheme="minorHAnsi"/>
          <w:sz w:val="22"/>
          <w:szCs w:val="22"/>
        </w:rPr>
        <w:t>The following n</w:t>
      </w:r>
      <w:r w:rsidRPr="00BC5B77">
        <w:rPr>
          <w:rFonts w:cstheme="minorHAnsi"/>
          <w:sz w:val="22"/>
          <w:szCs w:val="22"/>
        </w:rPr>
        <w:t xml:space="preserve">arrative is </w:t>
      </w:r>
      <w:r>
        <w:rPr>
          <w:rFonts w:cstheme="minorHAnsi"/>
          <w:sz w:val="22"/>
          <w:szCs w:val="22"/>
        </w:rPr>
        <w:t>organized to respond to the four points stated in</w:t>
      </w:r>
      <w:r w:rsidRPr="00BC5B77">
        <w:rPr>
          <w:rFonts w:cstheme="minorHAnsi"/>
          <w:sz w:val="22"/>
          <w:szCs w:val="22"/>
        </w:rPr>
        <w:t xml:space="preserve"> the 2021 </w:t>
      </w:r>
      <w:r>
        <w:rPr>
          <w:rFonts w:cstheme="minorHAnsi"/>
          <w:sz w:val="22"/>
          <w:szCs w:val="22"/>
        </w:rPr>
        <w:t>l</w:t>
      </w:r>
      <w:r w:rsidRPr="00BC5B77">
        <w:rPr>
          <w:rFonts w:cstheme="minorHAnsi"/>
          <w:sz w:val="22"/>
          <w:szCs w:val="22"/>
        </w:rPr>
        <w:t>egislative request</w:t>
      </w:r>
      <w:r>
        <w:rPr>
          <w:rFonts w:cstheme="minorHAnsi"/>
          <w:sz w:val="22"/>
          <w:szCs w:val="22"/>
        </w:rPr>
        <w:t xml:space="preserve"> regarding the impact of CCBHCs, plus two additional topics</w:t>
      </w:r>
      <w:r w:rsidRPr="00BC5B77">
        <w:rPr>
          <w:rFonts w:cstheme="minorHAnsi"/>
          <w:sz w:val="22"/>
          <w:szCs w:val="22"/>
        </w:rPr>
        <w:t xml:space="preserve"> specified to </w:t>
      </w:r>
      <w:r>
        <w:rPr>
          <w:rFonts w:cstheme="minorHAnsi"/>
          <w:sz w:val="22"/>
          <w:szCs w:val="22"/>
        </w:rPr>
        <w:t xml:space="preserve">the </w:t>
      </w:r>
      <w:r w:rsidRPr="00BC5B77">
        <w:rPr>
          <w:rFonts w:cstheme="minorHAnsi"/>
          <w:sz w:val="22"/>
          <w:szCs w:val="22"/>
        </w:rPr>
        <w:t xml:space="preserve">evaluation team by OHA in </w:t>
      </w:r>
      <w:r>
        <w:rPr>
          <w:rFonts w:cstheme="minorHAnsi"/>
          <w:sz w:val="22"/>
          <w:szCs w:val="22"/>
        </w:rPr>
        <w:t xml:space="preserve">the </w:t>
      </w:r>
      <w:r w:rsidRPr="00BC5B77">
        <w:rPr>
          <w:rFonts w:cstheme="minorHAnsi"/>
          <w:sz w:val="22"/>
          <w:szCs w:val="22"/>
        </w:rPr>
        <w:t xml:space="preserve">April 2022 </w:t>
      </w:r>
      <w:r>
        <w:rPr>
          <w:rFonts w:cstheme="minorHAnsi"/>
          <w:sz w:val="22"/>
          <w:szCs w:val="22"/>
        </w:rPr>
        <w:t>scope of work:</w:t>
      </w:r>
    </w:p>
    <w:p w14:paraId="2DA85EF1" w14:textId="77777777" w:rsidR="008F573D" w:rsidRDefault="008F573D">
      <w:pPr>
        <w:pStyle w:val="ListParagraph"/>
        <w:numPr>
          <w:ilvl w:val="0"/>
          <w:numId w:val="10"/>
        </w:numPr>
        <w:rPr>
          <w:rFonts w:cstheme="minorHAnsi"/>
          <w:sz w:val="22"/>
          <w:szCs w:val="22"/>
        </w:rPr>
      </w:pPr>
      <w:r>
        <w:rPr>
          <w:rFonts w:cstheme="minorHAnsi"/>
          <w:sz w:val="22"/>
          <w:szCs w:val="22"/>
        </w:rPr>
        <w:t>I</w:t>
      </w:r>
      <w:r w:rsidRPr="00124BCC">
        <w:rPr>
          <w:rFonts w:cstheme="minorHAnsi"/>
          <w:sz w:val="22"/>
          <w:szCs w:val="22"/>
        </w:rPr>
        <w:t>ncrease access to behavioral health treatment for residents of this state</w:t>
      </w:r>
      <w:r>
        <w:rPr>
          <w:rFonts w:cstheme="minorHAnsi"/>
          <w:sz w:val="22"/>
          <w:szCs w:val="22"/>
        </w:rPr>
        <w:t>;</w:t>
      </w:r>
    </w:p>
    <w:p w14:paraId="2F4F1C58" w14:textId="0CBA2B52" w:rsidR="008F573D" w:rsidRDefault="008F573D">
      <w:pPr>
        <w:pStyle w:val="ListParagraph"/>
        <w:numPr>
          <w:ilvl w:val="0"/>
          <w:numId w:val="10"/>
        </w:numPr>
        <w:rPr>
          <w:rFonts w:cstheme="minorHAnsi"/>
          <w:sz w:val="22"/>
          <w:szCs w:val="22"/>
        </w:rPr>
      </w:pPr>
      <w:r>
        <w:rPr>
          <w:rFonts w:cstheme="minorHAnsi"/>
          <w:sz w:val="22"/>
          <w:szCs w:val="22"/>
        </w:rPr>
        <w:t>Provide integrated physical and behavioral health</w:t>
      </w:r>
      <w:r w:rsidR="00DF6375">
        <w:rPr>
          <w:rFonts w:cstheme="minorHAnsi"/>
          <w:sz w:val="22"/>
          <w:szCs w:val="22"/>
        </w:rPr>
        <w:t>care</w:t>
      </w:r>
      <w:r>
        <w:rPr>
          <w:rFonts w:cstheme="minorHAnsi"/>
          <w:sz w:val="22"/>
          <w:szCs w:val="22"/>
        </w:rPr>
        <w:t>;</w:t>
      </w:r>
    </w:p>
    <w:p w14:paraId="08FF18D0" w14:textId="77777777" w:rsidR="008F573D" w:rsidRPr="00124BCC" w:rsidRDefault="008F573D">
      <w:pPr>
        <w:pStyle w:val="ListParagraph"/>
        <w:numPr>
          <w:ilvl w:val="0"/>
          <w:numId w:val="10"/>
        </w:numPr>
        <w:rPr>
          <w:sz w:val="22"/>
          <w:szCs w:val="22"/>
        </w:rPr>
      </w:pPr>
      <w:r>
        <w:rPr>
          <w:sz w:val="22"/>
          <w:szCs w:val="22"/>
        </w:rPr>
        <w:t>O</w:t>
      </w:r>
      <w:r w:rsidRPr="00124BCC">
        <w:rPr>
          <w:sz w:val="22"/>
          <w:szCs w:val="22"/>
        </w:rPr>
        <w:t xml:space="preserve">ffer services that result in improved health outcomes, lower overall </w:t>
      </w:r>
      <w:r>
        <w:rPr>
          <w:sz w:val="22"/>
          <w:szCs w:val="22"/>
        </w:rPr>
        <w:t>healthcare</w:t>
      </w:r>
      <w:r w:rsidRPr="00124BCC">
        <w:rPr>
          <w:sz w:val="22"/>
          <w:szCs w:val="22"/>
        </w:rPr>
        <w:t xml:space="preserve"> costs and improved overall community health</w:t>
      </w:r>
      <w:r>
        <w:rPr>
          <w:sz w:val="22"/>
          <w:szCs w:val="22"/>
        </w:rPr>
        <w:t>;</w:t>
      </w:r>
    </w:p>
    <w:p w14:paraId="3D67A9EC" w14:textId="77777777" w:rsidR="008F573D" w:rsidRDefault="008F573D">
      <w:pPr>
        <w:pStyle w:val="ListParagraph"/>
        <w:numPr>
          <w:ilvl w:val="0"/>
          <w:numId w:val="10"/>
        </w:numPr>
        <w:rPr>
          <w:sz w:val="22"/>
          <w:szCs w:val="22"/>
        </w:rPr>
      </w:pPr>
      <w:r>
        <w:rPr>
          <w:sz w:val="22"/>
          <w:szCs w:val="22"/>
        </w:rPr>
        <w:t>R</w:t>
      </w:r>
      <w:r w:rsidRPr="00124BCC">
        <w:rPr>
          <w:sz w:val="22"/>
          <w:szCs w:val="22"/>
        </w:rPr>
        <w:t>educe the cost of care for Coordinated Care Organization members;</w:t>
      </w:r>
    </w:p>
    <w:p w14:paraId="4CEE8BB7" w14:textId="77777777" w:rsidR="008F573D" w:rsidRPr="00C85650" w:rsidRDefault="008F573D">
      <w:pPr>
        <w:pStyle w:val="ListParagraph"/>
        <w:numPr>
          <w:ilvl w:val="0"/>
          <w:numId w:val="10"/>
        </w:numPr>
        <w:rPr>
          <w:sz w:val="22"/>
          <w:szCs w:val="22"/>
        </w:rPr>
      </w:pPr>
      <w:r>
        <w:rPr>
          <w:rFonts w:cstheme="minorHAnsi"/>
          <w:sz w:val="22"/>
          <w:szCs w:val="22"/>
        </w:rPr>
        <w:t>S</w:t>
      </w:r>
      <w:r w:rsidRPr="00124BCC">
        <w:rPr>
          <w:rFonts w:cstheme="minorHAnsi"/>
          <w:sz w:val="22"/>
          <w:szCs w:val="22"/>
        </w:rPr>
        <w:t xml:space="preserve">ustainability </w:t>
      </w:r>
      <w:r>
        <w:rPr>
          <w:rFonts w:cstheme="minorHAnsi"/>
          <w:sz w:val="22"/>
          <w:szCs w:val="22"/>
        </w:rPr>
        <w:t xml:space="preserve">and potential expansion </w:t>
      </w:r>
      <w:r w:rsidRPr="00124BCC">
        <w:rPr>
          <w:rFonts w:cstheme="minorHAnsi"/>
          <w:sz w:val="22"/>
          <w:szCs w:val="22"/>
        </w:rPr>
        <w:t>of the CCBHC model; and</w:t>
      </w:r>
    </w:p>
    <w:p w14:paraId="7672C22B" w14:textId="77777777" w:rsidR="008F573D" w:rsidRPr="00C85650" w:rsidRDefault="008F573D">
      <w:pPr>
        <w:pStyle w:val="ListParagraph"/>
        <w:numPr>
          <w:ilvl w:val="0"/>
          <w:numId w:val="10"/>
        </w:numPr>
        <w:rPr>
          <w:sz w:val="22"/>
          <w:szCs w:val="22"/>
        </w:rPr>
      </w:pPr>
      <w:r>
        <w:rPr>
          <w:rFonts w:cstheme="minorHAnsi"/>
          <w:sz w:val="22"/>
          <w:szCs w:val="22"/>
        </w:rPr>
        <w:t>Role of the</w:t>
      </w:r>
      <w:r w:rsidRPr="00C85650">
        <w:rPr>
          <w:rFonts w:cstheme="minorHAnsi"/>
          <w:sz w:val="22"/>
          <w:szCs w:val="22"/>
        </w:rPr>
        <w:t xml:space="preserve"> CCBHC model in future Oregon health systems reform.</w:t>
      </w:r>
    </w:p>
    <w:p w14:paraId="188A27CE" w14:textId="77777777" w:rsidR="008F573D" w:rsidRPr="008F573D" w:rsidRDefault="008F573D" w:rsidP="008F573D"/>
    <w:p w14:paraId="5067A477" w14:textId="11D558D8" w:rsidR="008F573D" w:rsidRPr="004247FE" w:rsidRDefault="00517657" w:rsidP="006546A9">
      <w:pPr>
        <w:pStyle w:val="Heading2"/>
        <w:spacing w:after="120"/>
        <w:rPr>
          <w:rFonts w:asciiTheme="minorHAnsi" w:hAnsiTheme="minorHAnsi" w:cstheme="minorHAnsi"/>
          <w:b/>
          <w:bCs/>
          <w:color w:val="6A7F0F"/>
        </w:rPr>
      </w:pPr>
      <w:bookmarkStart w:id="25" w:name="_Toc126068180"/>
      <w:r w:rsidRPr="004247FE">
        <w:rPr>
          <w:rFonts w:asciiTheme="minorHAnsi" w:hAnsiTheme="minorHAnsi" w:cstheme="minorHAnsi"/>
          <w:b/>
          <w:bCs/>
          <w:color w:val="6A7F0F"/>
        </w:rPr>
        <w:t xml:space="preserve">Increase Access to Behavioral Health Treatment for </w:t>
      </w:r>
      <w:r w:rsidR="00BE2198" w:rsidRPr="004247FE">
        <w:rPr>
          <w:rFonts w:asciiTheme="minorHAnsi" w:hAnsiTheme="minorHAnsi" w:cstheme="minorHAnsi"/>
          <w:b/>
          <w:bCs/>
          <w:color w:val="6A7F0F"/>
        </w:rPr>
        <w:t>Oregon Residents</w:t>
      </w:r>
      <w:bookmarkEnd w:id="25"/>
    </w:p>
    <w:p w14:paraId="5D55A371" w14:textId="119C5C94" w:rsidR="008F573D" w:rsidRDefault="005E44B0" w:rsidP="008F573D">
      <w:pPr>
        <w:rPr>
          <w:rFonts w:cstheme="minorHAnsi"/>
          <w:sz w:val="22"/>
          <w:szCs w:val="22"/>
        </w:rPr>
      </w:pPr>
      <w:r>
        <w:rPr>
          <w:rFonts w:cstheme="minorHAnsi"/>
          <w:sz w:val="22"/>
          <w:szCs w:val="22"/>
        </w:rPr>
        <w:t>Increases in access to behavioral health treatment attributable to the CCBHC program were assessed through responses from CCBHC service users and providers, as well as OHP members specifically through the OHP claims data. The perspectives of the CCBHC service users regarding to access are presented first, followed by the information gained from the OHP claims data, and finally by broader issues related to access that were articulated by CCBHC clinic leaders</w:t>
      </w:r>
      <w:r w:rsidR="008F573D">
        <w:rPr>
          <w:rFonts w:cstheme="minorHAnsi"/>
          <w:sz w:val="22"/>
          <w:szCs w:val="22"/>
        </w:rPr>
        <w:t xml:space="preserve">.   </w:t>
      </w:r>
    </w:p>
    <w:p w14:paraId="396C0EBA" w14:textId="77777777" w:rsidR="008F573D" w:rsidRDefault="008F573D" w:rsidP="008F573D">
      <w:pPr>
        <w:rPr>
          <w:rFonts w:cstheme="minorHAnsi"/>
          <w:sz w:val="22"/>
          <w:szCs w:val="22"/>
        </w:rPr>
      </w:pPr>
    </w:p>
    <w:p w14:paraId="017DC5E6" w14:textId="77777777" w:rsidR="008F573D" w:rsidRPr="00C81486" w:rsidRDefault="008F573D" w:rsidP="00C81486">
      <w:pPr>
        <w:spacing w:after="120"/>
        <w:rPr>
          <w:b/>
          <w:bCs/>
          <w:i/>
          <w:iCs/>
          <w:color w:val="6A7F0F"/>
          <w:highlight w:val="white"/>
        </w:rPr>
      </w:pPr>
      <w:r w:rsidRPr="00C81486">
        <w:rPr>
          <w:b/>
          <w:bCs/>
          <w:i/>
          <w:iCs/>
          <w:color w:val="6A7F0F"/>
          <w:highlight w:val="white"/>
        </w:rPr>
        <w:t>Service User Perspectives on Access</w:t>
      </w:r>
    </w:p>
    <w:p w14:paraId="6ACA4816" w14:textId="77777777" w:rsidR="005E44B0" w:rsidRDefault="005E44B0" w:rsidP="005E44B0">
      <w:pPr>
        <w:rPr>
          <w:rFonts w:ascii="Calibri" w:eastAsia="Calibri" w:hAnsi="Calibri" w:cs="Calibri"/>
          <w:sz w:val="22"/>
          <w:szCs w:val="22"/>
        </w:rPr>
      </w:pPr>
      <w:r>
        <w:rPr>
          <w:rFonts w:ascii="Calibri" w:eastAsia="Calibri" w:hAnsi="Calibri" w:cs="Calibri"/>
          <w:sz w:val="22"/>
          <w:szCs w:val="22"/>
        </w:rPr>
        <w:t xml:space="preserve">Clinics engaged in multiple strategies to increase access, including expanding hours of operation, offering telehealth services, and providing same-day access. Same-day access, which refers to conducting an initial behavioral health assessment the day it is requested, was helpful for initiating engagement with clinics but did not address challenges in connecting service users with needed services </w:t>
      </w:r>
      <w:r w:rsidRPr="00AF4F6E">
        <w:rPr>
          <w:rFonts w:ascii="Calibri" w:eastAsia="Calibri" w:hAnsi="Calibri" w:cs="Calibri"/>
          <w:sz w:val="22"/>
          <w:szCs w:val="22"/>
        </w:rPr>
        <w:t>following assessment. As noted by one service user: “</w:t>
      </w:r>
      <w:r w:rsidRPr="00AF4F6E">
        <w:rPr>
          <w:rFonts w:ascii="Calibri" w:eastAsia="Calibri" w:hAnsi="Calibri" w:cs="Calibri"/>
          <w:i/>
          <w:sz w:val="22"/>
          <w:szCs w:val="22"/>
        </w:rPr>
        <w:t>The intake was available within 48 hours but there was a wait of 3 weeks to be seen by the counselor the first time</w:t>
      </w:r>
      <w:r w:rsidRPr="00AF4F6E">
        <w:rPr>
          <w:rFonts w:ascii="Calibri" w:eastAsia="Calibri" w:hAnsi="Calibri" w:cs="Calibri"/>
          <w:sz w:val="22"/>
          <w:szCs w:val="22"/>
        </w:rPr>
        <w:t xml:space="preserve">” (Service User 31). </w:t>
      </w:r>
      <w:r w:rsidRPr="003F6306">
        <w:rPr>
          <w:sz w:val="22"/>
          <w:szCs w:val="22"/>
        </w:rPr>
        <w:t>Insufficient numbers of staff and inadequate optimization of workflows were two common barriers</w:t>
      </w:r>
      <w:r w:rsidRPr="00AF4F6E" w:rsidDel="00AF4F6E">
        <w:rPr>
          <w:rFonts w:ascii="Calibri" w:eastAsia="Calibri" w:hAnsi="Calibri" w:cs="Calibri"/>
          <w:sz w:val="22"/>
          <w:szCs w:val="22"/>
        </w:rPr>
        <w:t xml:space="preserve"> </w:t>
      </w:r>
      <w:r w:rsidRPr="00AF4F6E">
        <w:rPr>
          <w:rFonts w:ascii="Calibri" w:eastAsia="Calibri" w:hAnsi="Calibri" w:cs="Calibri"/>
          <w:sz w:val="22"/>
          <w:szCs w:val="22"/>
        </w:rPr>
        <w:t>to ensuring quality follow-up care. Thus, while CCBHCs were able to increase initial access to care, it was often challenging to ensure continuity of care. In addition, expanding hours was not always a helpful strategy in communities with</w:t>
      </w:r>
      <w:r>
        <w:rPr>
          <w:rFonts w:ascii="Calibri" w:eastAsia="Calibri" w:hAnsi="Calibri" w:cs="Calibri"/>
          <w:sz w:val="22"/>
          <w:szCs w:val="22"/>
        </w:rPr>
        <w:t xml:space="preserve"> wide geographic spread and limited transportation options. Telehealth was not a good fit for all service users, with several clinic leaders noting that in-person services were sometimes preferred or even necessary for service users with complex needs. In addition, limited internet access was a challenge for some service users, particularly in rural communities.</w:t>
      </w:r>
    </w:p>
    <w:p w14:paraId="6D3C76BD" w14:textId="77777777" w:rsidR="005E44B0" w:rsidRDefault="005E44B0" w:rsidP="005E44B0">
      <w:pPr>
        <w:rPr>
          <w:rFonts w:ascii="Calibri" w:eastAsia="Calibri" w:hAnsi="Calibri" w:cs="Calibri"/>
          <w:sz w:val="22"/>
          <w:szCs w:val="22"/>
        </w:rPr>
      </w:pPr>
    </w:p>
    <w:p w14:paraId="645B925D" w14:textId="43A42F84" w:rsidR="008F573D" w:rsidRDefault="005E44B0" w:rsidP="005E44B0">
      <w:pPr>
        <w:rPr>
          <w:rFonts w:ascii="Calibri" w:eastAsia="Calibri" w:hAnsi="Calibri" w:cs="Calibri"/>
          <w:sz w:val="22"/>
          <w:szCs w:val="22"/>
        </w:rPr>
      </w:pPr>
      <w:r>
        <w:rPr>
          <w:rFonts w:ascii="Calibri" w:eastAsia="Calibri" w:hAnsi="Calibri" w:cs="Calibri"/>
          <w:sz w:val="22"/>
          <w:szCs w:val="22"/>
        </w:rPr>
        <w:t>These challenges with continuity of care were voiced by service users, and some reported setbacks in treatment or felt that the timeliness of services was affected by staff turnover and issues of capacity. One service user reported:</w:t>
      </w:r>
      <w:r w:rsidR="008F573D">
        <w:rPr>
          <w:rFonts w:ascii="Calibri" w:eastAsia="Calibri" w:hAnsi="Calibri" w:cs="Calibri"/>
          <w:sz w:val="22"/>
          <w:szCs w:val="22"/>
        </w:rPr>
        <w:br/>
      </w:r>
    </w:p>
    <w:p w14:paraId="280AD6EC" w14:textId="77777777" w:rsidR="008F573D" w:rsidRPr="0021692A" w:rsidRDefault="008F573D" w:rsidP="008F573D">
      <w:pPr>
        <w:ind w:left="720"/>
        <w:rPr>
          <w:rFonts w:ascii="Calibri" w:eastAsia="Calibri" w:hAnsi="Calibri" w:cs="Calibri"/>
          <w:color w:val="000000" w:themeColor="text1"/>
          <w:sz w:val="22"/>
          <w:szCs w:val="22"/>
        </w:rPr>
      </w:pPr>
      <w:r w:rsidRPr="0021692A">
        <w:rPr>
          <w:rFonts w:ascii="Calibri" w:eastAsia="Calibri" w:hAnsi="Calibri" w:cs="Calibri"/>
          <w:i/>
          <w:color w:val="000000" w:themeColor="text1"/>
          <w:sz w:val="22"/>
          <w:szCs w:val="22"/>
        </w:rPr>
        <w:t>It can be a long wait to see therapists and get medication management. When I started services, I waited about a month to see someone, and then my counseling appointments were once a month because of how large the caseloads are. SUD treatment was quick; my SUD treatment counselor often gave me resources and support, but I did not feel very heard or supported by my mental health counselors or my med management doctor. The turnover for mental health counselors is high here, I went through 4 or 5 in just a couple of years. I ended up getting frustrated and transferring my services elsewhere the beginning of this year</w:t>
      </w:r>
      <w:r w:rsidRPr="0021692A">
        <w:rPr>
          <w:rFonts w:ascii="Calibri" w:eastAsia="Calibri" w:hAnsi="Calibri" w:cs="Calibri"/>
          <w:color w:val="000000" w:themeColor="text1"/>
          <w:sz w:val="22"/>
          <w:szCs w:val="22"/>
        </w:rPr>
        <w:t xml:space="preserve"> (Service User 34).</w:t>
      </w:r>
    </w:p>
    <w:p w14:paraId="42E3ED1B" w14:textId="77777777" w:rsidR="008F573D" w:rsidRPr="0021692A" w:rsidRDefault="008F573D" w:rsidP="008F573D">
      <w:pPr>
        <w:ind w:left="720"/>
        <w:rPr>
          <w:rFonts w:ascii="Calibri" w:eastAsia="Calibri" w:hAnsi="Calibri" w:cs="Calibri"/>
          <w:color w:val="000000" w:themeColor="text1"/>
          <w:sz w:val="22"/>
          <w:szCs w:val="22"/>
        </w:rPr>
      </w:pPr>
    </w:p>
    <w:p w14:paraId="0327B103" w14:textId="77777777" w:rsidR="005E44B0" w:rsidRDefault="005E44B0" w:rsidP="005E44B0">
      <w:pPr>
        <w:rPr>
          <w:rFonts w:ascii="Calibri" w:eastAsia="Calibri" w:hAnsi="Calibri" w:cs="Calibri"/>
          <w:sz w:val="22"/>
          <w:szCs w:val="22"/>
        </w:rPr>
      </w:pPr>
      <w:r>
        <w:rPr>
          <w:rFonts w:ascii="Calibri" w:eastAsia="Calibri" w:hAnsi="Calibri" w:cs="Calibri"/>
          <w:sz w:val="22"/>
          <w:szCs w:val="22"/>
        </w:rPr>
        <w:t>However, the majority of service users indicated that their CCBHC was able to provide timely access to needed behavioral healthcare; one service user said: “</w:t>
      </w:r>
      <w:r>
        <w:rPr>
          <w:rFonts w:ascii="Calibri" w:eastAsia="Calibri" w:hAnsi="Calibri" w:cs="Calibri"/>
          <w:i/>
          <w:sz w:val="22"/>
          <w:szCs w:val="22"/>
        </w:rPr>
        <w:t>I sit in the lobby daily and I've done that for many years because of personal safety reasons. I do get a lot of service. Up until COVID I would see my therapist every day because they would come in and check in on me. I have a very extraordinary treatment team around me where I can contact them when I need to, and I have almost instantaneous contact with them</w:t>
      </w:r>
      <w:r>
        <w:rPr>
          <w:rFonts w:ascii="Calibri" w:eastAsia="Calibri" w:hAnsi="Calibri" w:cs="Calibri"/>
          <w:sz w:val="22"/>
          <w:szCs w:val="22"/>
        </w:rPr>
        <w:t xml:space="preserve">” (Service User 21).  </w:t>
      </w:r>
    </w:p>
    <w:p w14:paraId="24BE7EF5" w14:textId="77777777" w:rsidR="005E44B0" w:rsidRDefault="005E44B0" w:rsidP="005E44B0">
      <w:pPr>
        <w:rPr>
          <w:rFonts w:ascii="Calibri" w:eastAsia="Calibri" w:hAnsi="Calibri" w:cs="Calibri"/>
          <w:sz w:val="22"/>
          <w:szCs w:val="22"/>
        </w:rPr>
      </w:pPr>
    </w:p>
    <w:p w14:paraId="13F57890" w14:textId="4B028592" w:rsidR="008F573D" w:rsidRPr="005E44B0" w:rsidRDefault="005E44B0" w:rsidP="008F573D">
      <w:pPr>
        <w:rPr>
          <w:rFonts w:ascii="Calibri" w:eastAsia="Calibri" w:hAnsi="Calibri" w:cs="Calibri"/>
          <w:sz w:val="22"/>
          <w:szCs w:val="22"/>
        </w:rPr>
      </w:pPr>
      <w:r>
        <w:rPr>
          <w:rFonts w:ascii="Calibri" w:eastAsia="Calibri" w:hAnsi="Calibri" w:cs="Calibri"/>
          <w:sz w:val="22"/>
          <w:szCs w:val="22"/>
        </w:rPr>
        <w:t xml:space="preserve">One service user described observing a situation where language translation was not available when it was needed: </w:t>
      </w:r>
      <w:r w:rsidR="008F573D" w:rsidRPr="0021692A">
        <w:rPr>
          <w:rFonts w:ascii="Calibri" w:eastAsia="Calibri" w:hAnsi="Calibri" w:cs="Calibri"/>
          <w:color w:val="000000" w:themeColor="text1"/>
          <w:sz w:val="22"/>
          <w:szCs w:val="22"/>
        </w:rPr>
        <w:br/>
      </w:r>
    </w:p>
    <w:p w14:paraId="4B1EE003" w14:textId="77777777" w:rsidR="008F573D" w:rsidRPr="0021692A" w:rsidRDefault="008F573D" w:rsidP="008F573D">
      <w:pPr>
        <w:ind w:left="720"/>
        <w:rPr>
          <w:rFonts w:ascii="Calibri" w:eastAsia="Calibri" w:hAnsi="Calibri" w:cs="Calibri"/>
          <w:color w:val="000000" w:themeColor="text1"/>
          <w:sz w:val="22"/>
        </w:rPr>
      </w:pPr>
      <w:r w:rsidRPr="0021692A">
        <w:rPr>
          <w:rFonts w:ascii="Calibri" w:eastAsia="Calibri" w:hAnsi="Calibri" w:cs="Calibri"/>
          <w:i/>
          <w:color w:val="000000" w:themeColor="text1"/>
          <w:sz w:val="22"/>
        </w:rPr>
        <w:t>There was an incident not too long ago, where I think that there needs to be more translators for Hispanic people. There was a Hispanic man in crisis and there was nobody on the floor that could translate for him and they had to pull somebody in to translate for him, but there was nobody immediately available. And he was just getting more and more agitated. And the more agitated he got, the more he'd kick stuff, and he just got more and more angry because nobody could speak his language</w:t>
      </w:r>
      <w:r w:rsidRPr="0021692A">
        <w:rPr>
          <w:rFonts w:ascii="Calibri" w:eastAsia="Calibri" w:hAnsi="Calibri" w:cs="Calibri"/>
          <w:color w:val="000000" w:themeColor="text1"/>
          <w:sz w:val="22"/>
        </w:rPr>
        <w:t xml:space="preserve"> (Service User 21).</w:t>
      </w:r>
    </w:p>
    <w:p w14:paraId="7A84B9AA" w14:textId="77777777" w:rsidR="008F573D" w:rsidRDefault="008F573D" w:rsidP="008F573D">
      <w:pPr>
        <w:ind w:left="720"/>
        <w:rPr>
          <w:rFonts w:ascii="Calibri" w:eastAsia="Calibri" w:hAnsi="Calibri" w:cs="Calibri"/>
          <w:sz w:val="22"/>
          <w:szCs w:val="22"/>
          <w:highlight w:val="white"/>
        </w:rPr>
      </w:pPr>
    </w:p>
    <w:p w14:paraId="1C2BB60C" w14:textId="77777777" w:rsidR="005E44B0" w:rsidRPr="00D31A43" w:rsidRDefault="005E44B0" w:rsidP="005E44B0">
      <w:pPr>
        <w:rPr>
          <w:rFonts w:ascii="Calibri" w:eastAsia="Calibri" w:hAnsi="Calibri" w:cs="Calibri"/>
          <w:sz w:val="22"/>
          <w:szCs w:val="22"/>
          <w:highlight w:val="white"/>
        </w:rPr>
      </w:pPr>
      <w:r>
        <w:rPr>
          <w:rFonts w:ascii="Calibri" w:eastAsia="Calibri" w:hAnsi="Calibri" w:cs="Calibri"/>
          <w:sz w:val="22"/>
          <w:szCs w:val="22"/>
          <w:highlight w:val="white"/>
        </w:rPr>
        <w:t>In contrast, another service user offered this observation on language support services:</w:t>
      </w:r>
      <w:r>
        <w:rPr>
          <w:rFonts w:ascii="Calibri" w:eastAsia="Calibri" w:hAnsi="Calibri" w:cs="Calibri"/>
          <w:sz w:val="22"/>
          <w:szCs w:val="22"/>
        </w:rPr>
        <w:t xml:space="preserve"> </w:t>
      </w:r>
      <w:r w:rsidRPr="00D31A43">
        <w:rPr>
          <w:rFonts w:ascii="Calibri" w:hAnsi="Calibri" w:cs="Calibri"/>
          <w:i/>
          <w:iCs/>
          <w:sz w:val="22"/>
          <w:szCs w:val="22"/>
        </w:rPr>
        <w:t>"My partner is deaf and so they arrange for an interpreter to come in during those appointments. That is very helpful and I appreciate it a lot. Not only do they care for me but they also think of my family as well"</w:t>
      </w:r>
      <w:r>
        <w:rPr>
          <w:rFonts w:ascii="Calibri" w:hAnsi="Calibri" w:cs="Calibri"/>
          <w:sz w:val="22"/>
          <w:szCs w:val="22"/>
        </w:rPr>
        <w:t xml:space="preserve"> (Service User 09).</w:t>
      </w:r>
    </w:p>
    <w:p w14:paraId="62005B27" w14:textId="77777777" w:rsidR="008F573D" w:rsidRPr="00BB697B" w:rsidRDefault="008F573D" w:rsidP="008F573D">
      <w:pPr>
        <w:rPr>
          <w:rFonts w:ascii="Calibri" w:eastAsia="Calibri" w:hAnsi="Calibri" w:cs="Calibri"/>
          <w:i/>
          <w:iCs/>
          <w:color w:val="000000"/>
          <w:sz w:val="22"/>
          <w:szCs w:val="22"/>
          <w:highlight w:val="white"/>
        </w:rPr>
      </w:pPr>
    </w:p>
    <w:p w14:paraId="42B5CEB8" w14:textId="77777777" w:rsidR="008F573D" w:rsidRPr="00C81486" w:rsidRDefault="008F573D" w:rsidP="00C81486">
      <w:pPr>
        <w:spacing w:after="120"/>
        <w:rPr>
          <w:b/>
          <w:bCs/>
          <w:i/>
          <w:iCs/>
          <w:color w:val="6A7F0F"/>
          <w:highlight w:val="white"/>
        </w:rPr>
      </w:pPr>
      <w:r w:rsidRPr="00C81486">
        <w:rPr>
          <w:b/>
          <w:bCs/>
          <w:i/>
          <w:iCs/>
          <w:color w:val="6A7F0F"/>
          <w:highlight w:val="white"/>
        </w:rPr>
        <w:t>Access to CCBHC Behavioral Health Treatment Among OHP Members</w:t>
      </w:r>
    </w:p>
    <w:p w14:paraId="53C843BB" w14:textId="7067E438" w:rsidR="008F573D" w:rsidRPr="00C408D8" w:rsidRDefault="005B7416" w:rsidP="008F573D">
      <w:pPr>
        <w:rPr>
          <w:rFonts w:cstheme="minorHAnsi"/>
          <w:sz w:val="22"/>
          <w:szCs w:val="22"/>
          <w:u w:val="single"/>
        </w:rPr>
      </w:pPr>
      <w:r w:rsidRPr="00C408D8">
        <w:rPr>
          <w:rFonts w:cstheme="minorHAnsi"/>
          <w:sz w:val="22"/>
          <w:szCs w:val="22"/>
        </w:rPr>
        <w:t xml:space="preserve">Table </w:t>
      </w:r>
      <w:r>
        <w:rPr>
          <w:rFonts w:cstheme="minorHAnsi"/>
          <w:sz w:val="22"/>
          <w:szCs w:val="22"/>
        </w:rPr>
        <w:t>3</w:t>
      </w:r>
      <w:r w:rsidRPr="00C408D8">
        <w:rPr>
          <w:rFonts w:cstheme="minorHAnsi"/>
          <w:sz w:val="22"/>
          <w:szCs w:val="22"/>
        </w:rPr>
        <w:t xml:space="preserve"> presents the average annual number of OHP members </w:t>
      </w:r>
      <w:r>
        <w:rPr>
          <w:rFonts w:cstheme="minorHAnsi"/>
          <w:sz w:val="22"/>
          <w:szCs w:val="22"/>
        </w:rPr>
        <w:t xml:space="preserve">attributed to CCBHC and non-CCBHC </w:t>
      </w:r>
      <w:r w:rsidRPr="00C408D8">
        <w:rPr>
          <w:rFonts w:cstheme="minorHAnsi"/>
          <w:sz w:val="22"/>
          <w:szCs w:val="22"/>
        </w:rPr>
        <w:t xml:space="preserve">Community Mental Health Program </w:t>
      </w:r>
      <w:r>
        <w:rPr>
          <w:rFonts w:cstheme="minorHAnsi"/>
          <w:sz w:val="22"/>
          <w:szCs w:val="22"/>
        </w:rPr>
        <w:t xml:space="preserve">(CMHP) sites </w:t>
      </w:r>
      <w:r w:rsidRPr="00C408D8">
        <w:rPr>
          <w:rFonts w:cstheme="minorHAnsi"/>
          <w:sz w:val="22"/>
          <w:szCs w:val="22"/>
        </w:rPr>
        <w:t xml:space="preserve">in total, </w:t>
      </w:r>
      <w:r>
        <w:rPr>
          <w:rFonts w:cstheme="minorHAnsi"/>
          <w:sz w:val="22"/>
          <w:szCs w:val="22"/>
        </w:rPr>
        <w:t xml:space="preserve">as well as </w:t>
      </w:r>
      <w:r w:rsidRPr="00C408D8">
        <w:rPr>
          <w:rFonts w:cstheme="minorHAnsi"/>
          <w:sz w:val="22"/>
          <w:szCs w:val="22"/>
        </w:rPr>
        <w:t xml:space="preserve">CCBHC </w:t>
      </w:r>
      <w:r>
        <w:rPr>
          <w:rFonts w:cstheme="minorHAnsi"/>
          <w:sz w:val="22"/>
          <w:szCs w:val="22"/>
        </w:rPr>
        <w:t>si</w:t>
      </w:r>
      <w:r w:rsidRPr="00C408D8">
        <w:rPr>
          <w:rFonts w:cstheme="minorHAnsi"/>
          <w:sz w:val="22"/>
          <w:szCs w:val="22"/>
        </w:rPr>
        <w:t>tes</w:t>
      </w:r>
      <w:r>
        <w:rPr>
          <w:rFonts w:cstheme="minorHAnsi"/>
          <w:sz w:val="22"/>
          <w:szCs w:val="22"/>
        </w:rPr>
        <w:t xml:space="preserve"> aggregated by type of county served, </w:t>
      </w:r>
      <w:r w:rsidRPr="00C408D8">
        <w:rPr>
          <w:rFonts w:cstheme="minorHAnsi"/>
          <w:sz w:val="22"/>
          <w:szCs w:val="22"/>
        </w:rPr>
        <w:t>across the pre-implementation and two post-implementation periods</w:t>
      </w:r>
      <w:r>
        <w:rPr>
          <w:rFonts w:cstheme="minorHAnsi"/>
          <w:sz w:val="22"/>
          <w:szCs w:val="22"/>
        </w:rPr>
        <w:t xml:space="preserve">. </w:t>
      </w:r>
      <w:r w:rsidRPr="00C408D8">
        <w:rPr>
          <w:rFonts w:cstheme="minorHAnsi"/>
          <w:sz w:val="22"/>
          <w:szCs w:val="22"/>
        </w:rPr>
        <w:t>Percentage change from the pre- to the post-implementation periods is also included.</w:t>
      </w:r>
      <w:r>
        <w:rPr>
          <w:rFonts w:cstheme="minorHAnsi"/>
          <w:sz w:val="22"/>
          <w:szCs w:val="22"/>
        </w:rPr>
        <w:t xml:space="preserve"> County type is based on ORH designations where urban refers to counties that include at least one urban area, and rural or remote reflect overall population density.</w:t>
      </w:r>
      <w:r w:rsidRPr="00C408D8">
        <w:rPr>
          <w:rFonts w:cstheme="minorHAnsi"/>
          <w:sz w:val="22"/>
          <w:szCs w:val="22"/>
        </w:rPr>
        <w:t xml:space="preserve"> </w:t>
      </w:r>
      <w:r>
        <w:rPr>
          <w:rFonts w:cstheme="minorHAnsi"/>
          <w:sz w:val="22"/>
          <w:szCs w:val="22"/>
        </w:rPr>
        <w:t xml:space="preserve">As noted in the methodology appendix </w:t>
      </w:r>
      <w:r w:rsidR="008F573D" w:rsidRPr="00281A72">
        <w:rPr>
          <w:rFonts w:cstheme="minorHAnsi"/>
          <w:sz w:val="22"/>
          <w:szCs w:val="22"/>
        </w:rPr>
        <w:t>(</w:t>
      </w:r>
      <w:hyperlink w:anchor="_Appendix_3:_Detailed" w:history="1">
        <w:r w:rsidR="008F573D" w:rsidRPr="00281A72">
          <w:rPr>
            <w:rStyle w:val="Hyperlink"/>
            <w:rFonts w:cstheme="minorHAnsi"/>
            <w:sz w:val="22"/>
            <w:szCs w:val="22"/>
          </w:rPr>
          <w:t>Appendix 3</w:t>
        </w:r>
      </w:hyperlink>
      <w:r w:rsidR="008F573D" w:rsidRPr="00281A72">
        <w:rPr>
          <w:rFonts w:cstheme="minorHAnsi"/>
          <w:sz w:val="22"/>
          <w:szCs w:val="22"/>
        </w:rPr>
        <w:t>)</w:t>
      </w:r>
      <w:r>
        <w:rPr>
          <w:rFonts w:cstheme="minorHAnsi"/>
          <w:sz w:val="22"/>
          <w:szCs w:val="22"/>
        </w:rPr>
        <w:t>, attribution reflects OHP members in each study year who received a majority of their behavioral health services from CCBHC or non-CCBHC CMHPs.</w:t>
      </w:r>
      <w:r w:rsidRPr="00C408D8">
        <w:rPr>
          <w:rFonts w:cstheme="minorHAnsi"/>
          <w:sz w:val="22"/>
          <w:szCs w:val="22"/>
        </w:rPr>
        <w:t xml:space="preserve"> </w:t>
      </w:r>
      <w:r w:rsidR="008F573D" w:rsidRPr="00C408D8">
        <w:rPr>
          <w:rFonts w:cstheme="minorHAnsi"/>
          <w:sz w:val="22"/>
          <w:szCs w:val="22"/>
        </w:rPr>
        <w:t xml:space="preserve"> </w:t>
      </w:r>
    </w:p>
    <w:p w14:paraId="44DB436F" w14:textId="69E2D8EB" w:rsidR="008F573D" w:rsidRDefault="008F573D" w:rsidP="008F573D">
      <w:pPr>
        <w:rPr>
          <w:rFonts w:cstheme="minorHAnsi"/>
          <w:sz w:val="22"/>
          <w:szCs w:val="22"/>
          <w:u w:val="single"/>
        </w:rPr>
      </w:pPr>
    </w:p>
    <w:p w14:paraId="670B7B97" w14:textId="77777777" w:rsidR="00FC5B2B" w:rsidRDefault="00FC5B2B" w:rsidP="00FC5B2B">
      <w:pPr>
        <w:rPr>
          <w:rFonts w:cstheme="minorHAnsi"/>
          <w:sz w:val="22"/>
          <w:szCs w:val="22"/>
        </w:rPr>
      </w:pPr>
      <w:r>
        <w:rPr>
          <w:rFonts w:cstheme="minorHAnsi"/>
          <w:sz w:val="22"/>
          <w:szCs w:val="22"/>
        </w:rPr>
        <w:t>Increases in the numbers of individuals served after CCBHC implementation were observed. T</w:t>
      </w:r>
      <w:r w:rsidRPr="00C408D8">
        <w:rPr>
          <w:rFonts w:cstheme="minorHAnsi"/>
          <w:sz w:val="22"/>
          <w:szCs w:val="22"/>
        </w:rPr>
        <w:t xml:space="preserve">he average number of OHP members served annually increased by 3.6% from baseline to the first </w:t>
      </w:r>
      <w:r>
        <w:rPr>
          <w:rFonts w:cstheme="minorHAnsi"/>
          <w:sz w:val="22"/>
          <w:szCs w:val="22"/>
        </w:rPr>
        <w:t>post-implementation</w:t>
      </w:r>
      <w:r w:rsidRPr="00C408D8">
        <w:rPr>
          <w:rFonts w:cstheme="minorHAnsi"/>
          <w:sz w:val="22"/>
          <w:szCs w:val="22"/>
        </w:rPr>
        <w:t xml:space="preserve"> period, and then increased an additional 1.3% to a total of 4.9% increase from baseline. In comparison, among the non-CCBHC CMHPs used as a control sample, the average annual number of OHP members served declined from the pre-CCBHC to first </w:t>
      </w:r>
      <w:r>
        <w:rPr>
          <w:rFonts w:cstheme="minorHAnsi"/>
          <w:sz w:val="22"/>
          <w:szCs w:val="22"/>
        </w:rPr>
        <w:t>post-implementation</w:t>
      </w:r>
      <w:r w:rsidRPr="00C408D8">
        <w:rPr>
          <w:rFonts w:cstheme="minorHAnsi"/>
          <w:sz w:val="22"/>
          <w:szCs w:val="22"/>
        </w:rPr>
        <w:t xml:space="preserve"> period by 5.8%, with a slightly smaller decline from </w:t>
      </w:r>
      <w:r>
        <w:rPr>
          <w:rFonts w:cstheme="minorHAnsi"/>
          <w:sz w:val="22"/>
          <w:szCs w:val="22"/>
        </w:rPr>
        <w:t xml:space="preserve">the </w:t>
      </w:r>
      <w:r w:rsidRPr="00C408D8">
        <w:rPr>
          <w:rFonts w:cstheme="minorHAnsi"/>
          <w:sz w:val="22"/>
          <w:szCs w:val="22"/>
        </w:rPr>
        <w:t xml:space="preserve">baseline of 4.2% in the second </w:t>
      </w:r>
      <w:r>
        <w:rPr>
          <w:rFonts w:cstheme="minorHAnsi"/>
          <w:sz w:val="22"/>
          <w:szCs w:val="22"/>
        </w:rPr>
        <w:t>post-implementation</w:t>
      </w:r>
      <w:r w:rsidRPr="00C408D8">
        <w:rPr>
          <w:rFonts w:cstheme="minorHAnsi"/>
          <w:sz w:val="22"/>
          <w:szCs w:val="22"/>
        </w:rPr>
        <w:t xml:space="preserve"> period. </w:t>
      </w:r>
      <w:r>
        <w:rPr>
          <w:rFonts w:cstheme="minorHAnsi"/>
          <w:sz w:val="22"/>
          <w:szCs w:val="22"/>
        </w:rPr>
        <w:t xml:space="preserve">CCBHCs serving urban designated counties had declines relatively similar to non-CCBHC CMHPs (3.2% and 8.3%, respectively), while CCBHCs serving rural (16.1% and 30.65, respectively) and remote (22.5% and 14.5%) designated counties had large increases in service users. </w:t>
      </w:r>
    </w:p>
    <w:p w14:paraId="3E914B6A" w14:textId="77777777" w:rsidR="00FC5B2B" w:rsidRPr="00C408D8" w:rsidRDefault="00FC5B2B" w:rsidP="00FC5B2B">
      <w:pPr>
        <w:rPr>
          <w:rFonts w:cstheme="minorHAnsi"/>
          <w:sz w:val="22"/>
          <w:szCs w:val="22"/>
        </w:rPr>
      </w:pPr>
    </w:p>
    <w:p w14:paraId="3EA8A695" w14:textId="77777777" w:rsidR="00FC5B2B" w:rsidRDefault="00FC5B2B" w:rsidP="008F573D">
      <w:pPr>
        <w:rPr>
          <w:rFonts w:cstheme="minorHAnsi"/>
          <w:sz w:val="22"/>
          <w:szCs w:val="22"/>
          <w:u w:val="single"/>
        </w:rPr>
      </w:pPr>
    </w:p>
    <w:p w14:paraId="4598A3DB" w14:textId="75127CF3" w:rsidR="008F573D" w:rsidRPr="004247FE" w:rsidRDefault="0074151A" w:rsidP="0074151A">
      <w:pPr>
        <w:pStyle w:val="Caption"/>
        <w:keepNext/>
        <w:jc w:val="center"/>
        <w:rPr>
          <w:b/>
          <w:bCs/>
          <w:i w:val="0"/>
          <w:iCs w:val="0"/>
          <w:color w:val="6A7F0F"/>
          <w:sz w:val="22"/>
          <w:szCs w:val="22"/>
        </w:rPr>
      </w:pPr>
      <w:bookmarkStart w:id="26" w:name="_Toc125501669"/>
      <w:bookmarkStart w:id="27" w:name="_Toc125555784"/>
      <w:r w:rsidRPr="004247FE">
        <w:rPr>
          <w:b/>
          <w:bCs/>
          <w:i w:val="0"/>
          <w:iCs w:val="0"/>
          <w:color w:val="6A7F0F"/>
          <w:sz w:val="22"/>
          <w:szCs w:val="22"/>
        </w:rPr>
        <w:t xml:space="preserve">Table </w:t>
      </w:r>
      <w:r w:rsidR="00DE4F99" w:rsidRPr="004247FE">
        <w:rPr>
          <w:b/>
          <w:bCs/>
          <w:i w:val="0"/>
          <w:iCs w:val="0"/>
          <w:color w:val="6A7F0F"/>
          <w:sz w:val="22"/>
          <w:szCs w:val="22"/>
        </w:rPr>
        <w:fldChar w:fldCharType="begin"/>
      </w:r>
      <w:r w:rsidR="00DE4F99" w:rsidRPr="004247FE">
        <w:rPr>
          <w:b/>
          <w:bCs/>
          <w:i w:val="0"/>
          <w:iCs w:val="0"/>
          <w:color w:val="6A7F0F"/>
          <w:sz w:val="22"/>
          <w:szCs w:val="22"/>
        </w:rPr>
        <w:instrText xml:space="preserve"> SEQ Table \* ARABIC </w:instrText>
      </w:r>
      <w:r w:rsidR="00DE4F99" w:rsidRPr="004247FE">
        <w:rPr>
          <w:b/>
          <w:bCs/>
          <w:i w:val="0"/>
          <w:iCs w:val="0"/>
          <w:color w:val="6A7F0F"/>
          <w:sz w:val="22"/>
          <w:szCs w:val="22"/>
        </w:rPr>
        <w:fldChar w:fldCharType="separate"/>
      </w:r>
      <w:r w:rsidR="00DA018F">
        <w:rPr>
          <w:b/>
          <w:bCs/>
          <w:i w:val="0"/>
          <w:iCs w:val="0"/>
          <w:noProof/>
          <w:color w:val="6A7F0F"/>
          <w:sz w:val="22"/>
          <w:szCs w:val="22"/>
        </w:rPr>
        <w:t>3</w:t>
      </w:r>
      <w:r w:rsidR="00DE4F99" w:rsidRPr="004247FE">
        <w:rPr>
          <w:b/>
          <w:bCs/>
          <w:i w:val="0"/>
          <w:iCs w:val="0"/>
          <w:color w:val="6A7F0F"/>
          <w:sz w:val="22"/>
          <w:szCs w:val="22"/>
        </w:rPr>
        <w:fldChar w:fldCharType="end"/>
      </w:r>
      <w:r w:rsidRPr="004247FE">
        <w:rPr>
          <w:b/>
          <w:bCs/>
          <w:i w:val="0"/>
          <w:iCs w:val="0"/>
          <w:color w:val="6A7F0F"/>
          <w:sz w:val="22"/>
          <w:szCs w:val="22"/>
        </w:rPr>
        <w:t>: T</w:t>
      </w:r>
      <w:r w:rsidR="004247FE">
        <w:rPr>
          <w:b/>
          <w:bCs/>
          <w:i w:val="0"/>
          <w:iCs w:val="0"/>
          <w:color w:val="6A7F0F"/>
          <w:sz w:val="22"/>
          <w:szCs w:val="22"/>
        </w:rPr>
        <w:t>r</w:t>
      </w:r>
      <w:r w:rsidRPr="004247FE">
        <w:rPr>
          <w:b/>
          <w:bCs/>
          <w:i w:val="0"/>
          <w:iCs w:val="0"/>
          <w:color w:val="6A7F0F"/>
          <w:sz w:val="22"/>
          <w:szCs w:val="22"/>
        </w:rPr>
        <w:t>ends in OHP Members Attributed to CCBHCs and Non-CCBHC CMHPs</w:t>
      </w:r>
      <w:bookmarkEnd w:id="26"/>
      <w:bookmarkEnd w:id="27"/>
    </w:p>
    <w:p w14:paraId="0BD2EFBD" w14:textId="477833A3" w:rsidR="008F573D" w:rsidRDefault="001A6543" w:rsidP="008F573D">
      <w:pPr>
        <w:jc w:val="center"/>
        <w:rPr>
          <w:rFonts w:cstheme="minorHAnsi"/>
          <w:sz w:val="22"/>
          <w:szCs w:val="22"/>
          <w:u w:val="single"/>
        </w:rPr>
      </w:pPr>
      <w:r w:rsidRPr="00D31EA1">
        <w:rPr>
          <w:noProof/>
        </w:rPr>
        <w:drawing>
          <wp:inline distT="0" distB="0" distL="0" distR="0" wp14:anchorId="6961BD31" wp14:editId="65A3FDDB">
            <wp:extent cx="4648200" cy="3057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057525"/>
                    </a:xfrm>
                    <a:prstGeom prst="rect">
                      <a:avLst/>
                    </a:prstGeom>
                    <a:noFill/>
                    <a:ln>
                      <a:noFill/>
                    </a:ln>
                  </pic:spPr>
                </pic:pic>
              </a:graphicData>
            </a:graphic>
          </wp:inline>
        </w:drawing>
      </w:r>
    </w:p>
    <w:p w14:paraId="3643DDB5" w14:textId="77777777" w:rsidR="008F573D" w:rsidRDefault="008F573D" w:rsidP="008F573D">
      <w:pPr>
        <w:rPr>
          <w:rFonts w:cstheme="minorHAnsi"/>
          <w:sz w:val="22"/>
          <w:szCs w:val="22"/>
        </w:rPr>
      </w:pPr>
    </w:p>
    <w:p w14:paraId="14DEB6DE" w14:textId="77777777" w:rsidR="005B7416" w:rsidRPr="00152702" w:rsidRDefault="005B7416" w:rsidP="005B7416">
      <w:pPr>
        <w:rPr>
          <w:rFonts w:cstheme="minorHAnsi"/>
          <w:sz w:val="22"/>
          <w:szCs w:val="22"/>
          <w:u w:val="single"/>
        </w:rPr>
      </w:pPr>
      <w:r w:rsidRPr="005C70F3">
        <w:rPr>
          <w:rFonts w:cstheme="minorHAnsi"/>
          <w:sz w:val="22"/>
          <w:szCs w:val="22"/>
        </w:rPr>
        <w:t xml:space="preserve">Analysis of MHSIP survey data, discussed in more detail below, </w:t>
      </w:r>
      <w:r>
        <w:rPr>
          <w:rFonts w:cstheme="minorHAnsi"/>
          <w:sz w:val="22"/>
          <w:szCs w:val="22"/>
        </w:rPr>
        <w:t>did not</w:t>
      </w:r>
      <w:r w:rsidRPr="005C70F3">
        <w:rPr>
          <w:rFonts w:cstheme="minorHAnsi"/>
          <w:sz w:val="22"/>
          <w:szCs w:val="22"/>
        </w:rPr>
        <w:t xml:space="preserve"> identify change in OHP members</w:t>
      </w:r>
      <w:r>
        <w:rPr>
          <w:rFonts w:cstheme="minorHAnsi"/>
          <w:sz w:val="22"/>
          <w:szCs w:val="22"/>
        </w:rPr>
        <w:t>’</w:t>
      </w:r>
      <w:r w:rsidRPr="005C70F3">
        <w:rPr>
          <w:rFonts w:cstheme="minorHAnsi"/>
          <w:sz w:val="22"/>
          <w:szCs w:val="22"/>
        </w:rPr>
        <w:t xml:space="preserve"> perception of access overall but did find improved (yes/no) satisfaction scores for adults from rural and </w:t>
      </w:r>
      <w:r>
        <w:rPr>
          <w:rFonts w:cstheme="minorHAnsi"/>
          <w:sz w:val="22"/>
          <w:szCs w:val="22"/>
        </w:rPr>
        <w:t>remote</w:t>
      </w:r>
      <w:r w:rsidRPr="005C70F3">
        <w:rPr>
          <w:rFonts w:cstheme="minorHAnsi"/>
          <w:sz w:val="22"/>
          <w:szCs w:val="22"/>
        </w:rPr>
        <w:t xml:space="preserve"> areas in the first post-implementation period. For children and youth, satisfaction scores for access increased for urban respondents in the first post-implementation period.</w:t>
      </w:r>
      <w:r>
        <w:rPr>
          <w:rFonts w:cstheme="minorHAnsi"/>
          <w:sz w:val="22"/>
          <w:szCs w:val="22"/>
        </w:rPr>
        <w:t xml:space="preserve"> </w:t>
      </w:r>
    </w:p>
    <w:p w14:paraId="3F1A2290" w14:textId="77777777" w:rsidR="005B7416" w:rsidRPr="00766E0F" w:rsidRDefault="005B7416" w:rsidP="005B7416">
      <w:pPr>
        <w:rPr>
          <w:rFonts w:cstheme="minorHAnsi"/>
          <w:sz w:val="22"/>
          <w:szCs w:val="22"/>
        </w:rPr>
      </w:pPr>
    </w:p>
    <w:p w14:paraId="26CC7F93" w14:textId="6156B846" w:rsidR="008F573D" w:rsidRPr="00062EF8" w:rsidRDefault="005B7416" w:rsidP="005B7416">
      <w:pPr>
        <w:rPr>
          <w:rFonts w:cstheme="minorHAnsi"/>
          <w:sz w:val="22"/>
          <w:szCs w:val="22"/>
        </w:rPr>
      </w:pPr>
      <w:r w:rsidRPr="00261B2D">
        <w:rPr>
          <w:rFonts w:cstheme="minorHAnsi"/>
          <w:color w:val="6A7F0F"/>
          <w:sz w:val="22"/>
          <w:szCs w:val="22"/>
        </w:rPr>
        <w:t xml:space="preserve">Figure 5 </w:t>
      </w:r>
      <w:r w:rsidRPr="00024530">
        <w:rPr>
          <w:rFonts w:cstheme="minorHAnsi"/>
          <w:sz w:val="22"/>
          <w:szCs w:val="22"/>
        </w:rPr>
        <w:t>provides estimates of the change in quarterly use and visits per person for mental health and</w:t>
      </w:r>
      <w:r w:rsidRPr="00062EF8">
        <w:rPr>
          <w:rFonts w:cstheme="minorHAnsi"/>
          <w:sz w:val="22"/>
          <w:szCs w:val="22"/>
        </w:rPr>
        <w:t xml:space="preserve"> substance use services from the baseline pre-CCBHC period to each of the two post-CCBHC periods</w:t>
      </w:r>
      <w:r>
        <w:rPr>
          <w:rFonts w:cstheme="minorHAnsi"/>
          <w:sz w:val="22"/>
          <w:szCs w:val="22"/>
        </w:rPr>
        <w:t>,</w:t>
      </w:r>
      <w:r w:rsidRPr="00062EF8">
        <w:rPr>
          <w:rFonts w:cstheme="minorHAnsi"/>
          <w:sz w:val="22"/>
          <w:szCs w:val="22"/>
        </w:rPr>
        <w:t xml:space="preserve"> after taking into account any contemporaneous changes among the non-CCBHC CMHP comparison group.</w:t>
      </w:r>
      <w:r w:rsidR="008F573D" w:rsidRPr="00062EF8">
        <w:rPr>
          <w:rFonts w:cstheme="minorHAnsi"/>
          <w:sz w:val="22"/>
          <w:szCs w:val="22"/>
        </w:rPr>
        <w:t xml:space="preserve"> </w:t>
      </w:r>
      <w:hyperlink w:anchor="Appendix6_Table_A61a" w:history="1">
        <w:r w:rsidR="008F573D" w:rsidRPr="005B7416">
          <w:rPr>
            <w:rStyle w:val="Hyperlink"/>
            <w:rFonts w:cstheme="minorHAnsi"/>
            <w:sz w:val="22"/>
            <w:szCs w:val="22"/>
          </w:rPr>
          <w:t>Tables A</w:t>
        </w:r>
        <w:r w:rsidR="00E9071F">
          <w:rPr>
            <w:rStyle w:val="Hyperlink"/>
            <w:rFonts w:cstheme="minorHAnsi"/>
            <w:sz w:val="22"/>
            <w:szCs w:val="22"/>
          </w:rPr>
          <w:t>7</w:t>
        </w:r>
        <w:r w:rsidR="008F573D" w:rsidRPr="005B7416">
          <w:rPr>
            <w:rStyle w:val="Hyperlink"/>
            <w:rFonts w:cstheme="minorHAnsi"/>
            <w:sz w:val="22"/>
            <w:szCs w:val="22"/>
          </w:rPr>
          <w:t>.1a</w:t>
        </w:r>
      </w:hyperlink>
      <w:r w:rsidR="008F573D" w:rsidRPr="00A106BD">
        <w:rPr>
          <w:rFonts w:cstheme="minorHAnsi"/>
          <w:sz w:val="22"/>
          <w:szCs w:val="22"/>
        </w:rPr>
        <w:t xml:space="preserve"> </w:t>
      </w:r>
      <w:r w:rsidR="00517AAA">
        <w:rPr>
          <w:rFonts w:cstheme="minorHAnsi"/>
          <w:sz w:val="22"/>
          <w:szCs w:val="22"/>
        </w:rPr>
        <w:t>and</w:t>
      </w:r>
      <w:r>
        <w:rPr>
          <w:rFonts w:cstheme="minorHAnsi"/>
          <w:sz w:val="22"/>
          <w:szCs w:val="22"/>
        </w:rPr>
        <w:t xml:space="preserve"> </w:t>
      </w:r>
      <w:hyperlink w:anchor="Appendix6_Table_A61b" w:history="1">
        <w:r w:rsidR="008F573D" w:rsidRPr="005B7416">
          <w:rPr>
            <w:rStyle w:val="Hyperlink"/>
            <w:rFonts w:cstheme="minorHAnsi"/>
            <w:sz w:val="22"/>
            <w:szCs w:val="22"/>
          </w:rPr>
          <w:t>A</w:t>
        </w:r>
        <w:r w:rsidR="00E9071F">
          <w:rPr>
            <w:rStyle w:val="Hyperlink"/>
            <w:rFonts w:cstheme="minorHAnsi"/>
            <w:sz w:val="22"/>
            <w:szCs w:val="22"/>
          </w:rPr>
          <w:t>7</w:t>
        </w:r>
        <w:r w:rsidR="008F573D" w:rsidRPr="005B7416">
          <w:rPr>
            <w:rStyle w:val="Hyperlink"/>
            <w:rFonts w:cstheme="minorHAnsi"/>
            <w:sz w:val="22"/>
            <w:szCs w:val="22"/>
          </w:rPr>
          <w:t>.1b</w:t>
        </w:r>
      </w:hyperlink>
      <w:r w:rsidR="008F573D" w:rsidRPr="00A106BD">
        <w:rPr>
          <w:rFonts w:cstheme="minorHAnsi"/>
          <w:sz w:val="22"/>
          <w:szCs w:val="22"/>
        </w:rPr>
        <w:t xml:space="preserve"> in </w:t>
      </w:r>
      <w:hyperlink w:anchor="_Appendix_7:_Additional" w:history="1">
        <w:r w:rsidR="008F573D" w:rsidRPr="00281A72">
          <w:rPr>
            <w:rStyle w:val="Hyperlink"/>
            <w:rFonts w:cstheme="minorHAnsi"/>
            <w:sz w:val="22"/>
            <w:szCs w:val="22"/>
          </w:rPr>
          <w:t>Appendix 7</w:t>
        </w:r>
      </w:hyperlink>
      <w:r w:rsidR="008F573D" w:rsidRPr="00A106BD">
        <w:rPr>
          <w:rFonts w:cstheme="minorHAnsi"/>
          <w:sz w:val="22"/>
          <w:szCs w:val="22"/>
        </w:rPr>
        <w:t xml:space="preserve"> provide estimates of changes in these measures across</w:t>
      </w:r>
      <w:r w:rsidR="008F573D" w:rsidRPr="00062EF8">
        <w:rPr>
          <w:rFonts w:cstheme="minorHAnsi"/>
          <w:sz w:val="22"/>
          <w:szCs w:val="22"/>
        </w:rPr>
        <w:t xml:space="preserve"> race/ethnicity and urban</w:t>
      </w:r>
      <w:r w:rsidR="008F573D">
        <w:rPr>
          <w:rFonts w:cstheme="minorHAnsi"/>
          <w:sz w:val="22"/>
          <w:szCs w:val="22"/>
        </w:rPr>
        <w:t>/</w:t>
      </w:r>
      <w:r w:rsidR="008F573D" w:rsidRPr="00062EF8">
        <w:rPr>
          <w:rFonts w:cstheme="minorHAnsi"/>
          <w:sz w:val="22"/>
          <w:szCs w:val="22"/>
        </w:rPr>
        <w:t>rural</w:t>
      </w:r>
      <w:r w:rsidR="008F573D">
        <w:rPr>
          <w:rFonts w:cstheme="minorHAnsi"/>
          <w:sz w:val="22"/>
          <w:szCs w:val="22"/>
        </w:rPr>
        <w:t>/remote</w:t>
      </w:r>
      <w:r w:rsidR="008F573D" w:rsidRPr="00062EF8">
        <w:rPr>
          <w:rFonts w:cstheme="minorHAnsi"/>
          <w:sz w:val="22"/>
          <w:szCs w:val="22"/>
        </w:rPr>
        <w:t xml:space="preserve"> residence. Quarterly use represents the change in the percentage of individuals attributed to CCBHCs who use any service in a calendar quarter. Visits per person reflect</w:t>
      </w:r>
      <w:r w:rsidR="008F573D">
        <w:rPr>
          <w:rFonts w:cstheme="minorHAnsi"/>
          <w:sz w:val="22"/>
          <w:szCs w:val="22"/>
        </w:rPr>
        <w:t>s</w:t>
      </w:r>
      <w:r w:rsidR="008F573D" w:rsidRPr="00062EF8">
        <w:rPr>
          <w:rFonts w:cstheme="minorHAnsi"/>
          <w:sz w:val="22"/>
          <w:szCs w:val="22"/>
        </w:rPr>
        <w:t xml:space="preserve"> the percentage change in the average quarterly number of visits across the CCBHC</w:t>
      </w:r>
      <w:r w:rsidR="008F573D">
        <w:rPr>
          <w:rFonts w:cstheme="minorHAnsi"/>
          <w:sz w:val="22"/>
          <w:szCs w:val="22"/>
        </w:rPr>
        <w:t>-</w:t>
      </w:r>
      <w:r w:rsidR="008F573D" w:rsidRPr="00062EF8">
        <w:rPr>
          <w:rFonts w:cstheme="minorHAnsi"/>
          <w:sz w:val="22"/>
          <w:szCs w:val="22"/>
        </w:rPr>
        <w:t>attributed individuals studied. Quarterly use represents the likelihood of any use, while visits per person can be interpreted, in part, as the intensity of services provided.</w:t>
      </w:r>
    </w:p>
    <w:p w14:paraId="0E46DFFB" w14:textId="0F2AD66F" w:rsidR="008F573D" w:rsidRDefault="008F573D" w:rsidP="008F573D">
      <w:pPr>
        <w:rPr>
          <w:rFonts w:cstheme="minorHAnsi"/>
          <w:sz w:val="22"/>
          <w:szCs w:val="22"/>
        </w:rPr>
      </w:pPr>
    </w:p>
    <w:p w14:paraId="02988B12" w14:textId="77777777" w:rsidR="00FC5B2B" w:rsidRPr="00062EF8" w:rsidRDefault="00FC5B2B" w:rsidP="00FC5B2B">
      <w:pPr>
        <w:rPr>
          <w:rFonts w:cstheme="minorHAnsi"/>
          <w:sz w:val="22"/>
          <w:szCs w:val="22"/>
        </w:rPr>
      </w:pPr>
      <w:r w:rsidRPr="00062EF8">
        <w:rPr>
          <w:rFonts w:cstheme="minorHAnsi"/>
          <w:sz w:val="22"/>
          <w:szCs w:val="22"/>
        </w:rPr>
        <w:t>For mental health services overall, CCBHCs increased both quarterly use</w:t>
      </w:r>
      <w:r>
        <w:rPr>
          <w:rFonts w:cstheme="minorHAnsi"/>
          <w:sz w:val="22"/>
          <w:szCs w:val="22"/>
        </w:rPr>
        <w:t xml:space="preserve"> (2.3% and 14.8%, respectively)</w:t>
      </w:r>
      <w:r w:rsidRPr="00062EF8">
        <w:rPr>
          <w:rFonts w:cstheme="minorHAnsi"/>
          <w:sz w:val="22"/>
          <w:szCs w:val="22"/>
        </w:rPr>
        <w:t xml:space="preserve"> and visits per person</w:t>
      </w:r>
      <w:r>
        <w:rPr>
          <w:rFonts w:cstheme="minorHAnsi"/>
          <w:sz w:val="22"/>
          <w:szCs w:val="22"/>
        </w:rPr>
        <w:t xml:space="preserve"> (6.6% and 9.5%, respectively)</w:t>
      </w:r>
      <w:r w:rsidRPr="00062EF8">
        <w:rPr>
          <w:rFonts w:cstheme="minorHAnsi"/>
          <w:sz w:val="22"/>
          <w:szCs w:val="22"/>
        </w:rPr>
        <w:t xml:space="preserve"> across both periods, with increasing levels from the first to second periods. These increases were distributed differently across race/ethnicity groups</w:t>
      </w:r>
      <w:r>
        <w:rPr>
          <w:rFonts w:cstheme="minorHAnsi"/>
          <w:sz w:val="22"/>
          <w:szCs w:val="22"/>
        </w:rPr>
        <w:t xml:space="preserve"> particularly for</w:t>
      </w:r>
      <w:r w:rsidRPr="00062EF8">
        <w:rPr>
          <w:rFonts w:cstheme="minorHAnsi"/>
          <w:sz w:val="22"/>
          <w:szCs w:val="22"/>
        </w:rPr>
        <w:t xml:space="preserve"> </w:t>
      </w:r>
      <w:bookmarkStart w:id="28" w:name="_Hlk120799889"/>
      <w:r w:rsidRPr="00062EF8">
        <w:rPr>
          <w:rFonts w:cstheme="minorHAnsi"/>
          <w:sz w:val="22"/>
          <w:szCs w:val="22"/>
        </w:rPr>
        <w:t xml:space="preserve">American </w:t>
      </w:r>
      <w:r>
        <w:rPr>
          <w:rFonts w:cstheme="minorHAnsi"/>
          <w:sz w:val="22"/>
          <w:szCs w:val="22"/>
        </w:rPr>
        <w:t xml:space="preserve">Indian/Alaskan </w:t>
      </w:r>
      <w:r w:rsidRPr="00062EF8">
        <w:rPr>
          <w:rFonts w:cstheme="minorHAnsi"/>
          <w:sz w:val="22"/>
          <w:szCs w:val="22"/>
        </w:rPr>
        <w:t xml:space="preserve">Native and </w:t>
      </w:r>
      <w:bookmarkEnd w:id="28"/>
      <w:r w:rsidRPr="00062EF8">
        <w:rPr>
          <w:rFonts w:cstheme="minorHAnsi"/>
          <w:sz w:val="22"/>
          <w:szCs w:val="22"/>
        </w:rPr>
        <w:t>Black</w:t>
      </w:r>
      <w:r>
        <w:rPr>
          <w:rFonts w:cstheme="minorHAnsi"/>
          <w:sz w:val="22"/>
          <w:szCs w:val="22"/>
        </w:rPr>
        <w:t>/African American</w:t>
      </w:r>
      <w:r w:rsidRPr="00062EF8">
        <w:rPr>
          <w:rFonts w:cstheme="minorHAnsi"/>
          <w:sz w:val="22"/>
          <w:szCs w:val="22"/>
        </w:rPr>
        <w:t xml:space="preserve"> groups</w:t>
      </w:r>
      <w:r>
        <w:rPr>
          <w:rFonts w:cstheme="minorHAnsi"/>
          <w:sz w:val="22"/>
          <w:szCs w:val="22"/>
        </w:rPr>
        <w:t xml:space="preserve">. </w:t>
      </w:r>
      <w:r w:rsidRPr="00062EF8">
        <w:rPr>
          <w:rFonts w:cstheme="minorHAnsi"/>
          <w:sz w:val="22"/>
          <w:szCs w:val="22"/>
        </w:rPr>
        <w:t xml:space="preserve">American </w:t>
      </w:r>
      <w:r>
        <w:rPr>
          <w:rFonts w:cstheme="minorHAnsi"/>
          <w:sz w:val="22"/>
          <w:szCs w:val="22"/>
        </w:rPr>
        <w:t xml:space="preserve">Indian/ Alaskan </w:t>
      </w:r>
      <w:r w:rsidRPr="00062EF8">
        <w:rPr>
          <w:rFonts w:cstheme="minorHAnsi"/>
          <w:sz w:val="22"/>
          <w:szCs w:val="22"/>
        </w:rPr>
        <w:t>Native</w:t>
      </w:r>
      <w:r>
        <w:rPr>
          <w:rFonts w:cstheme="minorHAnsi"/>
          <w:sz w:val="22"/>
          <w:szCs w:val="22"/>
        </w:rPr>
        <w:t xml:space="preserve"> service users had a decrease in any service use (9.3%) but a 21.2% increase in visits per person in the first period, with flat or non-significant changes in the second period. Black/African American service users had either flat or smaller than average increases in both periods</w:t>
      </w:r>
      <w:r w:rsidRPr="00062EF8">
        <w:rPr>
          <w:rFonts w:cstheme="minorHAnsi"/>
          <w:sz w:val="22"/>
          <w:szCs w:val="22"/>
        </w:rPr>
        <w:t xml:space="preserve">. </w:t>
      </w:r>
      <w:r>
        <w:rPr>
          <w:rFonts w:cstheme="minorHAnsi"/>
          <w:sz w:val="22"/>
          <w:szCs w:val="22"/>
        </w:rPr>
        <w:t xml:space="preserve">Across both periods, </w:t>
      </w:r>
      <w:r w:rsidRPr="00062EF8">
        <w:rPr>
          <w:rFonts w:cstheme="minorHAnsi"/>
          <w:sz w:val="22"/>
          <w:szCs w:val="22"/>
        </w:rPr>
        <w:t>increases in</w:t>
      </w:r>
      <w:r>
        <w:rPr>
          <w:rFonts w:cstheme="minorHAnsi"/>
          <w:sz w:val="22"/>
          <w:szCs w:val="22"/>
        </w:rPr>
        <w:t xml:space="preserve"> any outpatient </w:t>
      </w:r>
      <w:r w:rsidRPr="00062EF8">
        <w:rPr>
          <w:rFonts w:cstheme="minorHAnsi"/>
          <w:sz w:val="22"/>
          <w:szCs w:val="22"/>
        </w:rPr>
        <w:t>mental health service</w:t>
      </w:r>
      <w:r>
        <w:rPr>
          <w:rFonts w:cstheme="minorHAnsi"/>
          <w:sz w:val="22"/>
          <w:szCs w:val="22"/>
        </w:rPr>
        <w:t xml:space="preserve"> use (9.1% and 24.2%, respectively) and visits (12.6% and 15.5%, respectively)</w:t>
      </w:r>
      <w:r w:rsidRPr="00062EF8">
        <w:rPr>
          <w:rFonts w:cstheme="minorHAnsi"/>
          <w:sz w:val="22"/>
          <w:szCs w:val="22"/>
        </w:rPr>
        <w:t xml:space="preserve"> were entirely concentrated among rural or </w:t>
      </w:r>
      <w:r>
        <w:rPr>
          <w:rFonts w:cstheme="minorHAnsi"/>
          <w:sz w:val="22"/>
          <w:szCs w:val="22"/>
        </w:rPr>
        <w:t>remote</w:t>
      </w:r>
      <w:r w:rsidRPr="00062EF8">
        <w:rPr>
          <w:rFonts w:cstheme="minorHAnsi"/>
          <w:sz w:val="22"/>
          <w:szCs w:val="22"/>
        </w:rPr>
        <w:t xml:space="preserve"> residents.</w:t>
      </w:r>
      <w:r>
        <w:rPr>
          <w:rFonts w:cstheme="minorHAnsi"/>
          <w:sz w:val="22"/>
          <w:szCs w:val="22"/>
        </w:rPr>
        <w:t xml:space="preserve"> Urban residents had decreased use (6.7%) in the first period, and virtually unchanged use in the second post-implementation period with similar findings for visits in either period.</w:t>
      </w:r>
    </w:p>
    <w:p w14:paraId="49AC88B9" w14:textId="56DE9AF6" w:rsidR="008F573D" w:rsidRPr="004247FE" w:rsidRDefault="0074151A" w:rsidP="00281A72">
      <w:pPr>
        <w:pStyle w:val="Caption"/>
        <w:keepNext/>
        <w:jc w:val="center"/>
        <w:rPr>
          <w:b/>
          <w:bCs/>
          <w:color w:val="6A7F0F"/>
          <w:sz w:val="22"/>
          <w:szCs w:val="22"/>
        </w:rPr>
      </w:pPr>
      <w:bookmarkStart w:id="29" w:name="_Toc125504950"/>
      <w:r w:rsidRPr="004247FE">
        <w:rPr>
          <w:b/>
          <w:bCs/>
          <w:i w:val="0"/>
          <w:iCs w:val="0"/>
          <w:color w:val="6A7F0F"/>
          <w:sz w:val="22"/>
          <w:szCs w:val="22"/>
        </w:rPr>
        <w:t xml:space="preserve">Figure </w:t>
      </w:r>
      <w:r w:rsidRPr="004247FE">
        <w:rPr>
          <w:b/>
          <w:bCs/>
          <w:i w:val="0"/>
          <w:iCs w:val="0"/>
          <w:color w:val="6A7F0F"/>
          <w:sz w:val="22"/>
          <w:szCs w:val="22"/>
        </w:rPr>
        <w:fldChar w:fldCharType="begin"/>
      </w:r>
      <w:r w:rsidRPr="004247FE">
        <w:rPr>
          <w:b/>
          <w:bCs/>
          <w:i w:val="0"/>
          <w:iCs w:val="0"/>
          <w:color w:val="6A7F0F"/>
          <w:sz w:val="22"/>
          <w:szCs w:val="22"/>
        </w:rPr>
        <w:instrText xml:space="preserve"> SEQ Figure \* ARABIC </w:instrText>
      </w:r>
      <w:r w:rsidRPr="004247FE">
        <w:rPr>
          <w:b/>
          <w:bCs/>
          <w:i w:val="0"/>
          <w:iCs w:val="0"/>
          <w:color w:val="6A7F0F"/>
          <w:sz w:val="22"/>
          <w:szCs w:val="22"/>
        </w:rPr>
        <w:fldChar w:fldCharType="separate"/>
      </w:r>
      <w:r w:rsidR="00DA018F">
        <w:rPr>
          <w:b/>
          <w:bCs/>
          <w:i w:val="0"/>
          <w:iCs w:val="0"/>
          <w:noProof/>
          <w:color w:val="6A7F0F"/>
          <w:sz w:val="22"/>
          <w:szCs w:val="22"/>
        </w:rPr>
        <w:t>5</w:t>
      </w:r>
      <w:r w:rsidRPr="004247FE">
        <w:rPr>
          <w:b/>
          <w:bCs/>
          <w:i w:val="0"/>
          <w:iCs w:val="0"/>
          <w:color w:val="6A7F0F"/>
          <w:sz w:val="22"/>
          <w:szCs w:val="22"/>
        </w:rPr>
        <w:fldChar w:fldCharType="end"/>
      </w:r>
      <w:r w:rsidRPr="004247FE">
        <w:rPr>
          <w:b/>
          <w:bCs/>
          <w:i w:val="0"/>
          <w:iCs w:val="0"/>
          <w:color w:val="6A7F0F"/>
          <w:sz w:val="22"/>
          <w:szCs w:val="22"/>
        </w:rPr>
        <w:t xml:space="preserve">: Change in Mental Health and Substance Service Quarterly Use and </w:t>
      </w:r>
      <w:r w:rsidRPr="004247FE">
        <w:rPr>
          <w:b/>
          <w:bCs/>
          <w:i w:val="0"/>
          <w:iCs w:val="0"/>
          <w:color w:val="6A7F0F"/>
          <w:sz w:val="22"/>
          <w:szCs w:val="22"/>
        </w:rPr>
        <w:br/>
        <w:t>Visits Per Person for CCBHC OHP Members</w:t>
      </w:r>
      <w:bookmarkEnd w:id="29"/>
    </w:p>
    <w:p w14:paraId="7EB955CE" w14:textId="271DBC85" w:rsidR="00281A72" w:rsidRPr="00281A72" w:rsidRDefault="00281A72" w:rsidP="00281A72">
      <w:pPr>
        <w:jc w:val="center"/>
      </w:pPr>
      <w:r>
        <w:rPr>
          <w:noProof/>
        </w:rPr>
        <w:drawing>
          <wp:inline distT="0" distB="0" distL="0" distR="0" wp14:anchorId="3AD5F762" wp14:editId="128E7A56">
            <wp:extent cx="4208974" cy="3557392"/>
            <wp:effectExtent l="0" t="0" r="0" b="0"/>
            <wp:docPr id="35" name="Picture 3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waterfall chart&#10;&#10;Description automatically generated"/>
                    <pic:cNvPicPr/>
                  </pic:nvPicPr>
                  <pic:blipFill>
                    <a:blip r:embed="rId20"/>
                    <a:stretch>
                      <a:fillRect/>
                    </a:stretch>
                  </pic:blipFill>
                  <pic:spPr>
                    <a:xfrm>
                      <a:off x="0" y="0"/>
                      <a:ext cx="4241720" cy="3585068"/>
                    </a:xfrm>
                    <a:prstGeom prst="rect">
                      <a:avLst/>
                    </a:prstGeom>
                  </pic:spPr>
                </pic:pic>
              </a:graphicData>
            </a:graphic>
          </wp:inline>
        </w:drawing>
      </w:r>
    </w:p>
    <w:p w14:paraId="7B05EBAF" w14:textId="77777777" w:rsidR="008F573D" w:rsidRPr="0083431D" w:rsidRDefault="008F573D" w:rsidP="00C0146C">
      <w:pPr>
        <w:jc w:val="center"/>
        <w:rPr>
          <w:rFonts w:cstheme="minorHAnsi"/>
          <w:sz w:val="20"/>
          <w:szCs w:val="20"/>
        </w:rPr>
      </w:pPr>
      <w:r w:rsidRPr="0083431D">
        <w:rPr>
          <w:rFonts w:cstheme="minorHAnsi"/>
          <w:sz w:val="20"/>
          <w:szCs w:val="20"/>
        </w:rPr>
        <w:t>* = statistical significance at p&lt;.05</w:t>
      </w:r>
    </w:p>
    <w:p w14:paraId="2D2F878B" w14:textId="77777777" w:rsidR="008F573D" w:rsidRDefault="008F573D" w:rsidP="008F573D">
      <w:pPr>
        <w:rPr>
          <w:rFonts w:cstheme="minorHAnsi"/>
          <w:sz w:val="22"/>
          <w:szCs w:val="22"/>
        </w:rPr>
      </w:pPr>
    </w:p>
    <w:p w14:paraId="23D13575" w14:textId="311BE2C5" w:rsidR="005B7416" w:rsidRDefault="005B7416" w:rsidP="005B7416">
      <w:pPr>
        <w:rPr>
          <w:rFonts w:cstheme="minorHAnsi"/>
          <w:sz w:val="22"/>
          <w:szCs w:val="22"/>
        </w:rPr>
      </w:pPr>
      <w:r w:rsidRPr="00062EF8">
        <w:rPr>
          <w:rFonts w:cstheme="minorHAnsi"/>
          <w:sz w:val="22"/>
          <w:szCs w:val="22"/>
        </w:rPr>
        <w:t xml:space="preserve">For substance use services overall, quarterly use increased but </w:t>
      </w:r>
      <w:r>
        <w:rPr>
          <w:rFonts w:cstheme="minorHAnsi"/>
          <w:sz w:val="22"/>
          <w:szCs w:val="22"/>
        </w:rPr>
        <w:t xml:space="preserve">was </w:t>
      </w:r>
      <w:r w:rsidRPr="00062EF8">
        <w:rPr>
          <w:rFonts w:cstheme="minorHAnsi"/>
          <w:sz w:val="22"/>
          <w:szCs w:val="22"/>
        </w:rPr>
        <w:t>attenuated in the second period</w:t>
      </w:r>
      <w:r>
        <w:rPr>
          <w:rFonts w:cstheme="minorHAnsi"/>
          <w:sz w:val="22"/>
          <w:szCs w:val="22"/>
        </w:rPr>
        <w:t xml:space="preserve"> (11.4% and 6.1%, respectively)</w:t>
      </w:r>
      <w:r w:rsidRPr="00062EF8">
        <w:rPr>
          <w:rFonts w:cstheme="minorHAnsi"/>
          <w:sz w:val="22"/>
          <w:szCs w:val="22"/>
        </w:rPr>
        <w:t>. Visits per person increased in the first period</w:t>
      </w:r>
      <w:r>
        <w:rPr>
          <w:rFonts w:cstheme="minorHAnsi"/>
          <w:sz w:val="22"/>
          <w:szCs w:val="22"/>
        </w:rPr>
        <w:t xml:space="preserve"> (14.9%)</w:t>
      </w:r>
      <w:r w:rsidRPr="00062EF8">
        <w:rPr>
          <w:rFonts w:cstheme="minorHAnsi"/>
          <w:sz w:val="22"/>
          <w:szCs w:val="22"/>
        </w:rPr>
        <w:t xml:space="preserve"> then decreased significantly in the second period</w:t>
      </w:r>
      <w:r>
        <w:rPr>
          <w:rFonts w:cstheme="minorHAnsi"/>
          <w:sz w:val="22"/>
          <w:szCs w:val="22"/>
        </w:rPr>
        <w:t xml:space="preserve"> (26.9%)</w:t>
      </w:r>
      <w:r w:rsidRPr="00062EF8">
        <w:rPr>
          <w:rFonts w:cstheme="minorHAnsi"/>
          <w:sz w:val="22"/>
          <w:szCs w:val="22"/>
        </w:rPr>
        <w:t xml:space="preserve">. </w:t>
      </w:r>
      <w:r>
        <w:rPr>
          <w:rFonts w:cstheme="minorHAnsi"/>
          <w:sz w:val="22"/>
          <w:szCs w:val="22"/>
        </w:rPr>
        <w:t>American Indian/Alaskan Native</w:t>
      </w:r>
      <w:r w:rsidRPr="00062EF8">
        <w:rPr>
          <w:rFonts w:cstheme="minorHAnsi"/>
          <w:sz w:val="22"/>
          <w:szCs w:val="22"/>
        </w:rPr>
        <w:t>, Black</w:t>
      </w:r>
      <w:r>
        <w:rPr>
          <w:rFonts w:cstheme="minorHAnsi"/>
          <w:sz w:val="22"/>
          <w:szCs w:val="22"/>
        </w:rPr>
        <w:t>/African American</w:t>
      </w:r>
      <w:r w:rsidRPr="00062EF8">
        <w:rPr>
          <w:rFonts w:cstheme="minorHAnsi"/>
          <w:sz w:val="22"/>
          <w:szCs w:val="22"/>
        </w:rPr>
        <w:t xml:space="preserve">, and Hispanic/Latino/a/x service users did not experience increases in quarterly use. </w:t>
      </w:r>
      <w:r>
        <w:rPr>
          <w:rFonts w:cstheme="minorHAnsi"/>
          <w:sz w:val="22"/>
          <w:szCs w:val="22"/>
        </w:rPr>
        <w:t>American Indian/Alaskan Native service</w:t>
      </w:r>
      <w:r w:rsidRPr="00062EF8">
        <w:rPr>
          <w:rFonts w:cstheme="minorHAnsi"/>
          <w:sz w:val="22"/>
          <w:szCs w:val="22"/>
        </w:rPr>
        <w:t xml:space="preserve"> users experienced much larger decreases in visits per person in the second period</w:t>
      </w:r>
      <w:r>
        <w:rPr>
          <w:rFonts w:cstheme="minorHAnsi"/>
          <w:sz w:val="22"/>
          <w:szCs w:val="22"/>
        </w:rPr>
        <w:t xml:space="preserve"> (45.2%)</w:t>
      </w:r>
      <w:r w:rsidRPr="00062EF8">
        <w:rPr>
          <w:rFonts w:cstheme="minorHAnsi"/>
          <w:sz w:val="22"/>
          <w:szCs w:val="22"/>
        </w:rPr>
        <w:t>. Increases in quarterly use were heavily concentrated among urban residents</w:t>
      </w:r>
      <w:r>
        <w:rPr>
          <w:rFonts w:cstheme="minorHAnsi"/>
          <w:sz w:val="22"/>
          <w:szCs w:val="22"/>
        </w:rPr>
        <w:t xml:space="preserve"> (24.7% and 76.4%, respectively);</w:t>
      </w:r>
      <w:r w:rsidRPr="00062EF8">
        <w:rPr>
          <w:rFonts w:cstheme="minorHAnsi"/>
          <w:sz w:val="22"/>
          <w:szCs w:val="22"/>
        </w:rPr>
        <w:t xml:space="preserve"> quarterly use increased</w:t>
      </w:r>
      <w:r>
        <w:rPr>
          <w:rFonts w:cstheme="minorHAnsi"/>
          <w:sz w:val="22"/>
          <w:szCs w:val="22"/>
        </w:rPr>
        <w:t xml:space="preserve"> (7.6%),</w:t>
      </w:r>
      <w:r w:rsidRPr="00062EF8">
        <w:rPr>
          <w:rFonts w:cstheme="minorHAnsi"/>
          <w:sz w:val="22"/>
          <w:szCs w:val="22"/>
        </w:rPr>
        <w:t xml:space="preserve"> then decreased</w:t>
      </w:r>
      <w:r>
        <w:rPr>
          <w:rFonts w:cstheme="minorHAnsi"/>
          <w:sz w:val="22"/>
          <w:szCs w:val="22"/>
        </w:rPr>
        <w:t xml:space="preserve"> (14.4%),</w:t>
      </w:r>
      <w:r w:rsidRPr="00062EF8">
        <w:rPr>
          <w:rFonts w:cstheme="minorHAnsi"/>
          <w:sz w:val="22"/>
          <w:szCs w:val="22"/>
        </w:rPr>
        <w:t xml:space="preserve"> for rural or </w:t>
      </w:r>
      <w:r>
        <w:rPr>
          <w:rFonts w:cstheme="minorHAnsi"/>
          <w:sz w:val="22"/>
          <w:szCs w:val="22"/>
        </w:rPr>
        <w:t>remote</w:t>
      </w:r>
      <w:r w:rsidRPr="00062EF8">
        <w:rPr>
          <w:rFonts w:cstheme="minorHAnsi"/>
          <w:sz w:val="22"/>
          <w:szCs w:val="22"/>
        </w:rPr>
        <w:t xml:space="preserve"> residents. Increased visits </w:t>
      </w:r>
      <w:r>
        <w:rPr>
          <w:rFonts w:cstheme="minorHAnsi"/>
          <w:sz w:val="22"/>
          <w:szCs w:val="22"/>
        </w:rPr>
        <w:t>w</w:t>
      </w:r>
      <w:r w:rsidRPr="00062EF8">
        <w:rPr>
          <w:rFonts w:cstheme="minorHAnsi"/>
          <w:sz w:val="22"/>
          <w:szCs w:val="22"/>
        </w:rPr>
        <w:t>ere more concentrated among rural residents</w:t>
      </w:r>
      <w:r>
        <w:rPr>
          <w:rFonts w:cstheme="minorHAnsi"/>
          <w:sz w:val="22"/>
          <w:szCs w:val="22"/>
        </w:rPr>
        <w:t xml:space="preserve"> in both periods (20.0% and 34.4%, respectively)</w:t>
      </w:r>
      <w:r w:rsidRPr="00062EF8">
        <w:rPr>
          <w:rFonts w:cstheme="minorHAnsi"/>
          <w:sz w:val="22"/>
          <w:szCs w:val="22"/>
        </w:rPr>
        <w:t>.</w:t>
      </w:r>
    </w:p>
    <w:p w14:paraId="15D76003" w14:textId="77777777" w:rsidR="00FC5B2B" w:rsidRPr="00062EF8" w:rsidRDefault="00FC5B2B" w:rsidP="005B7416">
      <w:pPr>
        <w:rPr>
          <w:rFonts w:cstheme="minorHAnsi"/>
          <w:sz w:val="22"/>
          <w:szCs w:val="22"/>
        </w:rPr>
      </w:pPr>
    </w:p>
    <w:p w14:paraId="7FA1441F" w14:textId="77777777" w:rsidR="008F573D" w:rsidRPr="00C81486" w:rsidRDefault="008F573D" w:rsidP="00C81486">
      <w:pPr>
        <w:spacing w:after="120"/>
        <w:rPr>
          <w:b/>
          <w:bCs/>
          <w:i/>
          <w:iCs/>
          <w:color w:val="6A7F0F"/>
          <w:highlight w:val="white"/>
        </w:rPr>
      </w:pPr>
      <w:r w:rsidRPr="00C81486">
        <w:rPr>
          <w:b/>
          <w:bCs/>
          <w:i/>
          <w:iCs/>
          <w:color w:val="6A7F0F"/>
          <w:highlight w:val="white"/>
        </w:rPr>
        <w:t xml:space="preserve">Characteristics of CCBHC OHP Members </w:t>
      </w:r>
    </w:p>
    <w:p w14:paraId="72D94C63" w14:textId="77777777" w:rsidR="005B7416" w:rsidRDefault="005B7416" w:rsidP="005B7416">
      <w:pPr>
        <w:rPr>
          <w:rFonts w:cstheme="minorHAnsi"/>
          <w:sz w:val="22"/>
          <w:szCs w:val="22"/>
        </w:rPr>
      </w:pPr>
      <w:r w:rsidRPr="00261B2D">
        <w:rPr>
          <w:rFonts w:cstheme="minorHAnsi"/>
          <w:color w:val="6A7F0F"/>
          <w:sz w:val="22"/>
          <w:szCs w:val="22"/>
        </w:rPr>
        <w:t xml:space="preserve">Table 4 </w:t>
      </w:r>
      <w:r w:rsidRPr="006A5750">
        <w:rPr>
          <w:rFonts w:cstheme="minorHAnsi"/>
          <w:sz w:val="22"/>
          <w:szCs w:val="22"/>
        </w:rPr>
        <w:t>presents the characteristics of CCBHC OHP members across the pre-implementation and two post-implementation periods, changes from the baseline to the post-implementation periods, and the characteristics of the propensity score matched study sample. The CCBHC OHP population in the pre-CCBHC period was predominately 2</w:t>
      </w:r>
      <w:r>
        <w:rPr>
          <w:rFonts w:cstheme="minorHAnsi"/>
          <w:sz w:val="22"/>
          <w:szCs w:val="22"/>
        </w:rPr>
        <w:t>6</w:t>
      </w:r>
      <w:r w:rsidRPr="006A5750">
        <w:rPr>
          <w:rFonts w:cstheme="minorHAnsi"/>
          <w:sz w:val="22"/>
          <w:szCs w:val="22"/>
        </w:rPr>
        <w:t>-64 years old (mean age 3</w:t>
      </w:r>
      <w:r>
        <w:rPr>
          <w:rFonts w:cstheme="minorHAnsi"/>
          <w:sz w:val="22"/>
          <w:szCs w:val="22"/>
        </w:rPr>
        <w:t>2 years</w:t>
      </w:r>
      <w:r w:rsidRPr="006A5750">
        <w:rPr>
          <w:rFonts w:cstheme="minorHAnsi"/>
          <w:sz w:val="22"/>
          <w:szCs w:val="22"/>
        </w:rPr>
        <w:t>), majority female, urban residence, White race/ethnicity, English primary language</w:t>
      </w:r>
      <w:r>
        <w:rPr>
          <w:rFonts w:cstheme="minorHAnsi"/>
          <w:sz w:val="22"/>
          <w:szCs w:val="22"/>
        </w:rPr>
        <w:t>,</w:t>
      </w:r>
      <w:r w:rsidRPr="006A5750">
        <w:rPr>
          <w:rFonts w:cstheme="minorHAnsi"/>
          <w:sz w:val="22"/>
          <w:szCs w:val="22"/>
        </w:rPr>
        <w:t xml:space="preserve"> and OHP e</w:t>
      </w:r>
      <w:r>
        <w:rPr>
          <w:rFonts w:cstheme="minorHAnsi"/>
          <w:sz w:val="22"/>
          <w:szCs w:val="22"/>
        </w:rPr>
        <w:t>nrolled</w:t>
      </w:r>
      <w:r w:rsidRPr="006A5750">
        <w:rPr>
          <w:rFonts w:cstheme="minorHAnsi"/>
          <w:sz w:val="22"/>
          <w:szCs w:val="22"/>
        </w:rPr>
        <w:t xml:space="preserve"> for a </w:t>
      </w:r>
      <w:r>
        <w:rPr>
          <w:rFonts w:cstheme="minorHAnsi"/>
          <w:sz w:val="22"/>
          <w:szCs w:val="22"/>
        </w:rPr>
        <w:t xml:space="preserve">full </w:t>
      </w:r>
      <w:r w:rsidRPr="006A5750">
        <w:rPr>
          <w:rFonts w:cstheme="minorHAnsi"/>
          <w:sz w:val="22"/>
          <w:szCs w:val="22"/>
        </w:rPr>
        <w:t xml:space="preserve">study year. </w:t>
      </w:r>
      <w:r>
        <w:rPr>
          <w:rFonts w:cstheme="minorHAnsi"/>
          <w:sz w:val="22"/>
          <w:szCs w:val="22"/>
        </w:rPr>
        <w:t>Prospective risk scores were calculated based on t</w:t>
      </w:r>
      <w:r w:rsidRPr="005D5939">
        <w:rPr>
          <w:rFonts w:cstheme="minorHAnsi"/>
          <w:sz w:val="22"/>
          <w:szCs w:val="22"/>
        </w:rPr>
        <w:t xml:space="preserve">he Chronic Illness and Disability Payment System </w:t>
      </w:r>
      <w:r>
        <w:rPr>
          <w:rFonts w:cstheme="minorHAnsi"/>
          <w:sz w:val="22"/>
          <w:szCs w:val="22"/>
        </w:rPr>
        <w:t xml:space="preserve">(CDPS), </w:t>
      </w:r>
      <w:r w:rsidRPr="005D5939">
        <w:rPr>
          <w:rFonts w:cstheme="minorHAnsi"/>
          <w:sz w:val="22"/>
          <w:szCs w:val="22"/>
        </w:rPr>
        <w:t>a risk adjustment model based on diagnostic data that is used to adjust capitated payments for Medicaid plans</w:t>
      </w:r>
      <w:r>
        <w:rPr>
          <w:rFonts w:cstheme="minorHAnsi"/>
          <w:sz w:val="22"/>
          <w:szCs w:val="22"/>
        </w:rPr>
        <w:t>.</w:t>
      </w:r>
      <w:r w:rsidRPr="004734E3">
        <w:rPr>
          <w:i/>
          <w:iCs/>
        </w:rPr>
        <w:t xml:space="preserve"> </w:t>
      </w:r>
      <w:r w:rsidRPr="006A5750">
        <w:rPr>
          <w:rFonts w:cstheme="minorHAnsi"/>
          <w:sz w:val="22"/>
          <w:szCs w:val="22"/>
        </w:rPr>
        <w:t xml:space="preserve">The </w:t>
      </w:r>
      <w:r w:rsidRPr="00F53262">
        <w:rPr>
          <w:rFonts w:cstheme="minorHAnsi"/>
          <w:sz w:val="22"/>
          <w:szCs w:val="22"/>
        </w:rPr>
        <w:t>total CDPS prospective risk score (sum of the</w:t>
      </w:r>
      <w:r w:rsidRPr="006A5750">
        <w:rPr>
          <w:rFonts w:cstheme="minorHAnsi"/>
          <w:sz w:val="22"/>
          <w:szCs w:val="22"/>
        </w:rPr>
        <w:t xml:space="preserve"> physical, mental health</w:t>
      </w:r>
      <w:r>
        <w:rPr>
          <w:rFonts w:cstheme="minorHAnsi"/>
          <w:sz w:val="22"/>
          <w:szCs w:val="22"/>
        </w:rPr>
        <w:t>,</w:t>
      </w:r>
      <w:r w:rsidRPr="006A5750">
        <w:rPr>
          <w:rFonts w:cstheme="minorHAnsi"/>
          <w:sz w:val="22"/>
          <w:szCs w:val="22"/>
        </w:rPr>
        <w:t xml:space="preserve"> and substance use components</w:t>
      </w:r>
      <w:r>
        <w:rPr>
          <w:rFonts w:cstheme="minorHAnsi"/>
          <w:sz w:val="22"/>
          <w:szCs w:val="22"/>
        </w:rPr>
        <w:t>)</w:t>
      </w:r>
      <w:r w:rsidRPr="006A5750">
        <w:rPr>
          <w:rFonts w:cstheme="minorHAnsi"/>
          <w:sz w:val="22"/>
          <w:szCs w:val="22"/>
        </w:rPr>
        <w:t xml:space="preserve"> was 1.</w:t>
      </w:r>
      <w:r>
        <w:rPr>
          <w:rFonts w:cstheme="minorHAnsi"/>
          <w:sz w:val="22"/>
          <w:szCs w:val="22"/>
        </w:rPr>
        <w:t>6,</w:t>
      </w:r>
      <w:r w:rsidRPr="006A5750">
        <w:rPr>
          <w:rFonts w:cstheme="minorHAnsi"/>
          <w:sz w:val="22"/>
          <w:szCs w:val="22"/>
        </w:rPr>
        <w:t xml:space="preserve"> indicating expected future expenditures at 1.</w:t>
      </w:r>
      <w:r>
        <w:rPr>
          <w:rFonts w:cstheme="minorHAnsi"/>
          <w:sz w:val="22"/>
          <w:szCs w:val="22"/>
        </w:rPr>
        <w:t>6</w:t>
      </w:r>
      <w:r w:rsidRPr="006A5750">
        <w:rPr>
          <w:rFonts w:cstheme="minorHAnsi"/>
          <w:sz w:val="22"/>
          <w:szCs w:val="22"/>
        </w:rPr>
        <w:t xml:space="preserve"> times the average</w:t>
      </w:r>
      <w:r>
        <w:rPr>
          <w:rFonts w:cstheme="minorHAnsi"/>
          <w:sz w:val="22"/>
          <w:szCs w:val="22"/>
        </w:rPr>
        <w:t xml:space="preserve"> for all OHP members</w:t>
      </w:r>
      <w:r w:rsidRPr="006A5750">
        <w:rPr>
          <w:rFonts w:cstheme="minorHAnsi"/>
          <w:sz w:val="22"/>
          <w:szCs w:val="22"/>
        </w:rPr>
        <w:t xml:space="preserve">. </w:t>
      </w:r>
    </w:p>
    <w:p w14:paraId="5DC0F35A" w14:textId="6D1650D0" w:rsidR="008F573D" w:rsidRPr="004247FE" w:rsidRDefault="0074151A" w:rsidP="0074151A">
      <w:pPr>
        <w:pStyle w:val="Caption"/>
        <w:keepNext/>
        <w:jc w:val="center"/>
        <w:rPr>
          <w:b/>
          <w:bCs/>
          <w:i w:val="0"/>
          <w:iCs w:val="0"/>
          <w:color w:val="6A7F0F"/>
          <w:sz w:val="22"/>
          <w:szCs w:val="22"/>
        </w:rPr>
      </w:pPr>
      <w:bookmarkStart w:id="30" w:name="_Toc125501670"/>
      <w:bookmarkStart w:id="31" w:name="_Toc125555785"/>
      <w:r w:rsidRPr="004247FE">
        <w:rPr>
          <w:b/>
          <w:bCs/>
          <w:i w:val="0"/>
          <w:iCs w:val="0"/>
          <w:color w:val="6A7F0F"/>
          <w:sz w:val="22"/>
          <w:szCs w:val="22"/>
        </w:rPr>
        <w:t xml:space="preserve">Table </w:t>
      </w:r>
      <w:r w:rsidR="00DE4F99" w:rsidRPr="004247FE">
        <w:rPr>
          <w:b/>
          <w:bCs/>
          <w:i w:val="0"/>
          <w:iCs w:val="0"/>
          <w:color w:val="6A7F0F"/>
          <w:sz w:val="22"/>
          <w:szCs w:val="22"/>
        </w:rPr>
        <w:fldChar w:fldCharType="begin"/>
      </w:r>
      <w:r w:rsidR="00DE4F99" w:rsidRPr="004247FE">
        <w:rPr>
          <w:b/>
          <w:bCs/>
          <w:i w:val="0"/>
          <w:iCs w:val="0"/>
          <w:color w:val="6A7F0F"/>
          <w:sz w:val="22"/>
          <w:szCs w:val="22"/>
        </w:rPr>
        <w:instrText xml:space="preserve"> SEQ Table \* ARABIC </w:instrText>
      </w:r>
      <w:r w:rsidR="00DE4F99" w:rsidRPr="004247FE">
        <w:rPr>
          <w:b/>
          <w:bCs/>
          <w:i w:val="0"/>
          <w:iCs w:val="0"/>
          <w:color w:val="6A7F0F"/>
          <w:sz w:val="22"/>
          <w:szCs w:val="22"/>
        </w:rPr>
        <w:fldChar w:fldCharType="separate"/>
      </w:r>
      <w:r w:rsidR="00DA018F">
        <w:rPr>
          <w:b/>
          <w:bCs/>
          <w:i w:val="0"/>
          <w:iCs w:val="0"/>
          <w:noProof/>
          <w:color w:val="6A7F0F"/>
          <w:sz w:val="22"/>
          <w:szCs w:val="22"/>
        </w:rPr>
        <w:t>4</w:t>
      </w:r>
      <w:r w:rsidR="00DE4F99" w:rsidRPr="004247FE">
        <w:rPr>
          <w:b/>
          <w:bCs/>
          <w:i w:val="0"/>
          <w:iCs w:val="0"/>
          <w:color w:val="6A7F0F"/>
          <w:sz w:val="22"/>
          <w:szCs w:val="22"/>
        </w:rPr>
        <w:fldChar w:fldCharType="end"/>
      </w:r>
      <w:r w:rsidRPr="004247FE">
        <w:rPr>
          <w:b/>
          <w:bCs/>
          <w:i w:val="0"/>
          <w:iCs w:val="0"/>
          <w:color w:val="6A7F0F"/>
          <w:sz w:val="22"/>
          <w:szCs w:val="22"/>
        </w:rPr>
        <w:t>: CCBHC OHP Member Demographics by Period</w:t>
      </w:r>
      <w:bookmarkEnd w:id="30"/>
      <w:bookmarkEnd w:id="31"/>
    </w:p>
    <w:tbl>
      <w:tblPr>
        <w:tblW w:w="8365" w:type="dxa"/>
        <w:jc w:val="center"/>
        <w:tblLook w:val="04A0" w:firstRow="1" w:lastRow="0" w:firstColumn="1" w:lastColumn="0" w:noHBand="0" w:noVBand="1"/>
      </w:tblPr>
      <w:tblGrid>
        <w:gridCol w:w="1900"/>
        <w:gridCol w:w="1704"/>
        <w:gridCol w:w="1045"/>
        <w:gridCol w:w="1001"/>
        <w:gridCol w:w="893"/>
        <w:gridCol w:w="1001"/>
        <w:gridCol w:w="893"/>
      </w:tblGrid>
      <w:tr w:rsidR="001A6543" w:rsidRPr="00C01E6E" w14:paraId="4168FEEB"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44D13FB7" w14:textId="77777777" w:rsidR="001A6543" w:rsidRPr="002168BE" w:rsidRDefault="001A6543" w:rsidP="00E72162">
            <w:pPr>
              <w:rPr>
                <w:rFonts w:cstheme="minorHAnsi"/>
                <w:sz w:val="22"/>
                <w:szCs w:val="22"/>
              </w:rPr>
            </w:pPr>
            <w:bookmarkStart w:id="32" w:name="_Hlk120723623"/>
          </w:p>
        </w:tc>
        <w:tc>
          <w:tcPr>
            <w:tcW w:w="1704" w:type="dxa"/>
            <w:tcBorders>
              <w:top w:val="nil"/>
              <w:left w:val="nil"/>
              <w:bottom w:val="nil"/>
              <w:right w:val="nil"/>
            </w:tcBorders>
            <w:shd w:val="clear" w:color="auto" w:fill="auto"/>
            <w:noWrap/>
            <w:vAlign w:val="bottom"/>
            <w:hideMark/>
          </w:tcPr>
          <w:p w14:paraId="2A863276" w14:textId="77777777" w:rsidR="001A6543" w:rsidRPr="002168BE" w:rsidRDefault="001A6543" w:rsidP="00E72162">
            <w:pPr>
              <w:rPr>
                <w:rFonts w:cstheme="minorHAnsi"/>
                <w:sz w:val="22"/>
                <w:szCs w:val="22"/>
              </w:rPr>
            </w:pPr>
          </w:p>
        </w:tc>
        <w:tc>
          <w:tcPr>
            <w:tcW w:w="4761" w:type="dxa"/>
            <w:gridSpan w:val="5"/>
            <w:tcBorders>
              <w:top w:val="nil"/>
              <w:left w:val="nil"/>
              <w:bottom w:val="nil"/>
              <w:right w:val="nil"/>
            </w:tcBorders>
            <w:shd w:val="clear" w:color="auto" w:fill="auto"/>
            <w:noWrap/>
            <w:vAlign w:val="bottom"/>
            <w:hideMark/>
          </w:tcPr>
          <w:p w14:paraId="794AB0AE"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CCBHC Period</w:t>
            </w:r>
          </w:p>
        </w:tc>
      </w:tr>
      <w:tr w:rsidR="001A6543" w:rsidRPr="00C01E6E" w14:paraId="0454C189"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74085303" w14:textId="77777777" w:rsidR="001A6543" w:rsidRPr="002168BE" w:rsidRDefault="001A6543" w:rsidP="00E72162">
            <w:pPr>
              <w:jc w:val="center"/>
              <w:rPr>
                <w:rFonts w:cstheme="minorHAnsi"/>
                <w:b/>
                <w:bCs/>
                <w:color w:val="000000"/>
                <w:sz w:val="22"/>
                <w:szCs w:val="22"/>
              </w:rPr>
            </w:pPr>
          </w:p>
        </w:tc>
        <w:tc>
          <w:tcPr>
            <w:tcW w:w="1704" w:type="dxa"/>
            <w:tcBorders>
              <w:top w:val="nil"/>
              <w:left w:val="nil"/>
              <w:bottom w:val="nil"/>
              <w:right w:val="nil"/>
            </w:tcBorders>
            <w:shd w:val="clear" w:color="auto" w:fill="auto"/>
            <w:noWrap/>
            <w:vAlign w:val="bottom"/>
            <w:hideMark/>
          </w:tcPr>
          <w:p w14:paraId="7E658B87"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18A6BA8C"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Pre -</w:t>
            </w:r>
          </w:p>
        </w:tc>
        <w:tc>
          <w:tcPr>
            <w:tcW w:w="1858" w:type="dxa"/>
            <w:gridSpan w:val="2"/>
            <w:tcBorders>
              <w:top w:val="nil"/>
              <w:left w:val="nil"/>
              <w:bottom w:val="nil"/>
              <w:right w:val="nil"/>
            </w:tcBorders>
            <w:shd w:val="clear" w:color="auto" w:fill="auto"/>
            <w:noWrap/>
            <w:vAlign w:val="bottom"/>
            <w:hideMark/>
          </w:tcPr>
          <w:p w14:paraId="4F4F541E"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First</w:t>
            </w:r>
          </w:p>
        </w:tc>
        <w:tc>
          <w:tcPr>
            <w:tcW w:w="1858" w:type="dxa"/>
            <w:gridSpan w:val="2"/>
            <w:tcBorders>
              <w:top w:val="nil"/>
              <w:left w:val="nil"/>
              <w:bottom w:val="nil"/>
              <w:right w:val="nil"/>
            </w:tcBorders>
            <w:shd w:val="clear" w:color="auto" w:fill="auto"/>
            <w:noWrap/>
            <w:vAlign w:val="bottom"/>
            <w:hideMark/>
          </w:tcPr>
          <w:p w14:paraId="315AD2C6"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Second</w:t>
            </w:r>
          </w:p>
        </w:tc>
      </w:tr>
      <w:tr w:rsidR="001A6543" w:rsidRPr="00C01E6E" w14:paraId="14DDC524"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429162CF" w14:textId="77777777" w:rsidR="001A6543" w:rsidRPr="002168BE" w:rsidRDefault="001A6543" w:rsidP="00E72162">
            <w:pPr>
              <w:jc w:val="center"/>
              <w:rPr>
                <w:rFonts w:cstheme="minorHAnsi"/>
                <w:b/>
                <w:bCs/>
                <w:color w:val="000000"/>
                <w:sz w:val="22"/>
                <w:szCs w:val="22"/>
              </w:rPr>
            </w:pPr>
          </w:p>
        </w:tc>
        <w:tc>
          <w:tcPr>
            <w:tcW w:w="1704" w:type="dxa"/>
            <w:tcBorders>
              <w:top w:val="nil"/>
              <w:left w:val="nil"/>
              <w:bottom w:val="nil"/>
              <w:right w:val="nil"/>
            </w:tcBorders>
            <w:shd w:val="clear" w:color="auto" w:fill="auto"/>
            <w:noWrap/>
            <w:vAlign w:val="bottom"/>
            <w:hideMark/>
          </w:tcPr>
          <w:p w14:paraId="5E888852"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36E2ABEC"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2015Q2 -</w:t>
            </w:r>
          </w:p>
        </w:tc>
        <w:tc>
          <w:tcPr>
            <w:tcW w:w="1858" w:type="dxa"/>
            <w:gridSpan w:val="2"/>
            <w:tcBorders>
              <w:top w:val="nil"/>
              <w:left w:val="nil"/>
              <w:bottom w:val="nil"/>
              <w:right w:val="nil"/>
            </w:tcBorders>
            <w:shd w:val="clear" w:color="auto" w:fill="auto"/>
            <w:noWrap/>
            <w:vAlign w:val="bottom"/>
            <w:hideMark/>
          </w:tcPr>
          <w:p w14:paraId="30EA596C"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 xml:space="preserve">2017Q2 - </w:t>
            </w:r>
          </w:p>
        </w:tc>
        <w:tc>
          <w:tcPr>
            <w:tcW w:w="1858" w:type="dxa"/>
            <w:gridSpan w:val="2"/>
            <w:tcBorders>
              <w:top w:val="nil"/>
              <w:left w:val="nil"/>
              <w:bottom w:val="nil"/>
              <w:right w:val="nil"/>
            </w:tcBorders>
            <w:shd w:val="clear" w:color="auto" w:fill="auto"/>
            <w:noWrap/>
            <w:vAlign w:val="bottom"/>
            <w:hideMark/>
          </w:tcPr>
          <w:p w14:paraId="29755229"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2019Q2 -</w:t>
            </w:r>
          </w:p>
        </w:tc>
      </w:tr>
      <w:tr w:rsidR="001A6543" w:rsidRPr="00C01E6E" w14:paraId="6E5C5B30"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1AE0AC2E" w14:textId="77777777" w:rsidR="001A6543" w:rsidRPr="002168BE" w:rsidRDefault="001A6543" w:rsidP="00E72162">
            <w:pPr>
              <w:jc w:val="center"/>
              <w:rPr>
                <w:rFonts w:cstheme="minorHAnsi"/>
                <w:b/>
                <w:bCs/>
                <w:color w:val="000000"/>
                <w:sz w:val="22"/>
                <w:szCs w:val="22"/>
              </w:rPr>
            </w:pPr>
          </w:p>
        </w:tc>
        <w:tc>
          <w:tcPr>
            <w:tcW w:w="1704" w:type="dxa"/>
            <w:tcBorders>
              <w:top w:val="nil"/>
              <w:left w:val="nil"/>
              <w:bottom w:val="nil"/>
              <w:right w:val="nil"/>
            </w:tcBorders>
            <w:shd w:val="clear" w:color="auto" w:fill="auto"/>
            <w:noWrap/>
            <w:vAlign w:val="bottom"/>
            <w:hideMark/>
          </w:tcPr>
          <w:p w14:paraId="383A19BB"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27F9FD8B"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2017Q1</w:t>
            </w:r>
          </w:p>
        </w:tc>
        <w:tc>
          <w:tcPr>
            <w:tcW w:w="1858" w:type="dxa"/>
            <w:gridSpan w:val="2"/>
            <w:tcBorders>
              <w:top w:val="nil"/>
              <w:left w:val="nil"/>
              <w:bottom w:val="nil"/>
              <w:right w:val="nil"/>
            </w:tcBorders>
            <w:shd w:val="clear" w:color="auto" w:fill="auto"/>
            <w:noWrap/>
            <w:vAlign w:val="bottom"/>
            <w:hideMark/>
          </w:tcPr>
          <w:p w14:paraId="3C807279"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2019Q2</w:t>
            </w:r>
          </w:p>
        </w:tc>
        <w:tc>
          <w:tcPr>
            <w:tcW w:w="1858" w:type="dxa"/>
            <w:gridSpan w:val="2"/>
            <w:tcBorders>
              <w:top w:val="nil"/>
              <w:left w:val="nil"/>
              <w:bottom w:val="nil"/>
              <w:right w:val="nil"/>
            </w:tcBorders>
            <w:shd w:val="clear" w:color="auto" w:fill="auto"/>
            <w:noWrap/>
            <w:vAlign w:val="bottom"/>
            <w:hideMark/>
          </w:tcPr>
          <w:p w14:paraId="26B44F8B"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2021Q2</w:t>
            </w:r>
          </w:p>
        </w:tc>
      </w:tr>
      <w:tr w:rsidR="001A6543" w:rsidRPr="00C01E6E" w14:paraId="3B68F017" w14:textId="77777777" w:rsidTr="00E72162">
        <w:trPr>
          <w:trHeight w:val="300"/>
          <w:jc w:val="center"/>
        </w:trPr>
        <w:tc>
          <w:tcPr>
            <w:tcW w:w="1900" w:type="dxa"/>
            <w:tcBorders>
              <w:top w:val="nil"/>
              <w:left w:val="nil"/>
              <w:bottom w:val="single" w:sz="4" w:space="0" w:color="auto"/>
              <w:right w:val="nil"/>
            </w:tcBorders>
            <w:shd w:val="clear" w:color="auto" w:fill="auto"/>
            <w:noWrap/>
            <w:vAlign w:val="bottom"/>
            <w:hideMark/>
          </w:tcPr>
          <w:p w14:paraId="68233C84"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Measure</w:t>
            </w:r>
          </w:p>
        </w:tc>
        <w:tc>
          <w:tcPr>
            <w:tcW w:w="1704" w:type="dxa"/>
            <w:tcBorders>
              <w:top w:val="nil"/>
              <w:left w:val="nil"/>
              <w:bottom w:val="single" w:sz="4" w:space="0" w:color="auto"/>
              <w:right w:val="nil"/>
            </w:tcBorders>
            <w:shd w:val="clear" w:color="auto" w:fill="auto"/>
            <w:noWrap/>
            <w:vAlign w:val="bottom"/>
            <w:hideMark/>
          </w:tcPr>
          <w:p w14:paraId="2AD58C5D"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Category</w:t>
            </w:r>
          </w:p>
        </w:tc>
        <w:tc>
          <w:tcPr>
            <w:tcW w:w="1045" w:type="dxa"/>
            <w:tcBorders>
              <w:top w:val="nil"/>
              <w:left w:val="nil"/>
              <w:bottom w:val="single" w:sz="4" w:space="0" w:color="auto"/>
              <w:right w:val="nil"/>
            </w:tcBorders>
            <w:shd w:val="clear" w:color="auto" w:fill="auto"/>
            <w:noWrap/>
            <w:vAlign w:val="bottom"/>
            <w:hideMark/>
          </w:tcPr>
          <w:p w14:paraId="5D76A1A7"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%/Mean</w:t>
            </w:r>
          </w:p>
        </w:tc>
        <w:tc>
          <w:tcPr>
            <w:tcW w:w="995" w:type="dxa"/>
            <w:tcBorders>
              <w:top w:val="nil"/>
              <w:left w:val="nil"/>
              <w:bottom w:val="single" w:sz="4" w:space="0" w:color="auto"/>
              <w:right w:val="nil"/>
            </w:tcBorders>
            <w:shd w:val="clear" w:color="auto" w:fill="auto"/>
            <w:noWrap/>
            <w:vAlign w:val="bottom"/>
            <w:hideMark/>
          </w:tcPr>
          <w:p w14:paraId="2B2463A7"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%/Mean</w:t>
            </w:r>
          </w:p>
        </w:tc>
        <w:tc>
          <w:tcPr>
            <w:tcW w:w="863" w:type="dxa"/>
            <w:tcBorders>
              <w:top w:val="nil"/>
              <w:left w:val="nil"/>
              <w:bottom w:val="single" w:sz="4" w:space="0" w:color="auto"/>
              <w:right w:val="nil"/>
            </w:tcBorders>
            <w:shd w:val="clear" w:color="auto" w:fill="auto"/>
            <w:noWrap/>
            <w:vAlign w:val="bottom"/>
            <w:hideMark/>
          </w:tcPr>
          <w:p w14:paraId="2E0FCB4C"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Change</w:t>
            </w:r>
          </w:p>
        </w:tc>
        <w:tc>
          <w:tcPr>
            <w:tcW w:w="995" w:type="dxa"/>
            <w:tcBorders>
              <w:top w:val="nil"/>
              <w:left w:val="nil"/>
              <w:bottom w:val="single" w:sz="4" w:space="0" w:color="auto"/>
              <w:right w:val="nil"/>
            </w:tcBorders>
            <w:shd w:val="clear" w:color="auto" w:fill="auto"/>
            <w:noWrap/>
            <w:vAlign w:val="bottom"/>
            <w:hideMark/>
          </w:tcPr>
          <w:p w14:paraId="2EF6DCFB"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%/Mean</w:t>
            </w:r>
          </w:p>
        </w:tc>
        <w:tc>
          <w:tcPr>
            <w:tcW w:w="863" w:type="dxa"/>
            <w:tcBorders>
              <w:top w:val="nil"/>
              <w:left w:val="nil"/>
              <w:bottom w:val="single" w:sz="4" w:space="0" w:color="auto"/>
              <w:right w:val="nil"/>
            </w:tcBorders>
            <w:shd w:val="clear" w:color="auto" w:fill="auto"/>
            <w:noWrap/>
            <w:vAlign w:val="bottom"/>
            <w:hideMark/>
          </w:tcPr>
          <w:p w14:paraId="4F884FC4" w14:textId="77777777" w:rsidR="001A6543" w:rsidRPr="002168BE" w:rsidRDefault="001A6543" w:rsidP="00E72162">
            <w:pPr>
              <w:jc w:val="center"/>
              <w:rPr>
                <w:rFonts w:cstheme="minorHAnsi"/>
                <w:b/>
                <w:bCs/>
                <w:color w:val="000000"/>
                <w:sz w:val="22"/>
                <w:szCs w:val="22"/>
              </w:rPr>
            </w:pPr>
            <w:r w:rsidRPr="002168BE">
              <w:rPr>
                <w:rFonts w:cstheme="minorHAnsi"/>
                <w:b/>
                <w:bCs/>
                <w:color w:val="000000"/>
                <w:sz w:val="22"/>
                <w:szCs w:val="22"/>
              </w:rPr>
              <w:t>Change</w:t>
            </w:r>
          </w:p>
        </w:tc>
      </w:tr>
      <w:tr w:rsidR="001A6543" w:rsidRPr="00C01E6E" w14:paraId="5A9ED84B"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43CF6CAF"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Age Group</w:t>
            </w:r>
          </w:p>
        </w:tc>
        <w:tc>
          <w:tcPr>
            <w:tcW w:w="1704" w:type="dxa"/>
            <w:tcBorders>
              <w:top w:val="nil"/>
              <w:left w:val="nil"/>
              <w:bottom w:val="nil"/>
              <w:right w:val="nil"/>
            </w:tcBorders>
            <w:shd w:val="clear" w:color="auto" w:fill="auto"/>
            <w:noWrap/>
            <w:vAlign w:val="bottom"/>
            <w:hideMark/>
          </w:tcPr>
          <w:p w14:paraId="0789569C"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&lt;18 years</w:t>
            </w:r>
          </w:p>
        </w:tc>
        <w:tc>
          <w:tcPr>
            <w:tcW w:w="1045" w:type="dxa"/>
            <w:tcBorders>
              <w:top w:val="nil"/>
              <w:left w:val="nil"/>
              <w:bottom w:val="nil"/>
              <w:right w:val="nil"/>
            </w:tcBorders>
            <w:shd w:val="clear" w:color="auto" w:fill="auto"/>
            <w:noWrap/>
            <w:vAlign w:val="bottom"/>
            <w:hideMark/>
          </w:tcPr>
          <w:p w14:paraId="3ACC5AC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25.6%</w:t>
            </w:r>
          </w:p>
        </w:tc>
        <w:tc>
          <w:tcPr>
            <w:tcW w:w="995" w:type="dxa"/>
            <w:tcBorders>
              <w:top w:val="nil"/>
              <w:left w:val="nil"/>
              <w:bottom w:val="nil"/>
              <w:right w:val="nil"/>
            </w:tcBorders>
            <w:shd w:val="clear" w:color="auto" w:fill="auto"/>
            <w:noWrap/>
            <w:vAlign w:val="bottom"/>
            <w:hideMark/>
          </w:tcPr>
          <w:p w14:paraId="4CC2DE9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27.1%</w:t>
            </w:r>
          </w:p>
        </w:tc>
        <w:tc>
          <w:tcPr>
            <w:tcW w:w="863" w:type="dxa"/>
            <w:tcBorders>
              <w:top w:val="nil"/>
              <w:left w:val="nil"/>
              <w:bottom w:val="nil"/>
              <w:right w:val="nil"/>
            </w:tcBorders>
            <w:shd w:val="clear" w:color="auto" w:fill="auto"/>
            <w:noWrap/>
            <w:vAlign w:val="bottom"/>
            <w:hideMark/>
          </w:tcPr>
          <w:p w14:paraId="6AE2AC2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1.5%</w:t>
            </w:r>
          </w:p>
        </w:tc>
        <w:tc>
          <w:tcPr>
            <w:tcW w:w="995" w:type="dxa"/>
            <w:tcBorders>
              <w:top w:val="nil"/>
              <w:left w:val="nil"/>
              <w:bottom w:val="nil"/>
              <w:right w:val="nil"/>
            </w:tcBorders>
            <w:shd w:val="clear" w:color="auto" w:fill="auto"/>
            <w:noWrap/>
            <w:vAlign w:val="bottom"/>
            <w:hideMark/>
          </w:tcPr>
          <w:p w14:paraId="14F28DA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25.4%</w:t>
            </w:r>
          </w:p>
        </w:tc>
        <w:tc>
          <w:tcPr>
            <w:tcW w:w="863" w:type="dxa"/>
            <w:tcBorders>
              <w:top w:val="nil"/>
              <w:left w:val="nil"/>
              <w:bottom w:val="nil"/>
              <w:right w:val="nil"/>
            </w:tcBorders>
            <w:shd w:val="clear" w:color="auto" w:fill="auto"/>
            <w:noWrap/>
            <w:vAlign w:val="bottom"/>
            <w:hideMark/>
          </w:tcPr>
          <w:p w14:paraId="3831693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-0.2%</w:t>
            </w:r>
          </w:p>
        </w:tc>
      </w:tr>
      <w:tr w:rsidR="001A6543" w:rsidRPr="00C01E6E" w14:paraId="017B3324"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1ADCA99D"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1E63A2E3"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18-25 yrs</w:t>
            </w:r>
          </w:p>
        </w:tc>
        <w:tc>
          <w:tcPr>
            <w:tcW w:w="1045" w:type="dxa"/>
            <w:tcBorders>
              <w:top w:val="nil"/>
              <w:left w:val="nil"/>
              <w:bottom w:val="nil"/>
              <w:right w:val="nil"/>
            </w:tcBorders>
            <w:shd w:val="clear" w:color="auto" w:fill="auto"/>
            <w:noWrap/>
            <w:vAlign w:val="bottom"/>
            <w:hideMark/>
          </w:tcPr>
          <w:p w14:paraId="6F6C907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12.6%</w:t>
            </w:r>
          </w:p>
        </w:tc>
        <w:tc>
          <w:tcPr>
            <w:tcW w:w="995" w:type="dxa"/>
            <w:tcBorders>
              <w:top w:val="nil"/>
              <w:left w:val="nil"/>
              <w:bottom w:val="nil"/>
              <w:right w:val="nil"/>
            </w:tcBorders>
            <w:shd w:val="clear" w:color="auto" w:fill="auto"/>
            <w:noWrap/>
            <w:vAlign w:val="bottom"/>
            <w:hideMark/>
          </w:tcPr>
          <w:p w14:paraId="32EE1EC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13.0%</w:t>
            </w:r>
          </w:p>
        </w:tc>
        <w:tc>
          <w:tcPr>
            <w:tcW w:w="863" w:type="dxa"/>
            <w:tcBorders>
              <w:top w:val="nil"/>
              <w:left w:val="nil"/>
              <w:bottom w:val="nil"/>
              <w:right w:val="nil"/>
            </w:tcBorders>
            <w:shd w:val="clear" w:color="auto" w:fill="auto"/>
            <w:noWrap/>
            <w:vAlign w:val="bottom"/>
            <w:hideMark/>
          </w:tcPr>
          <w:p w14:paraId="7420CA6E"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0.4%</w:t>
            </w:r>
          </w:p>
        </w:tc>
        <w:tc>
          <w:tcPr>
            <w:tcW w:w="995" w:type="dxa"/>
            <w:tcBorders>
              <w:top w:val="nil"/>
              <w:left w:val="nil"/>
              <w:bottom w:val="nil"/>
              <w:right w:val="nil"/>
            </w:tcBorders>
            <w:shd w:val="clear" w:color="auto" w:fill="auto"/>
            <w:noWrap/>
            <w:vAlign w:val="bottom"/>
            <w:hideMark/>
          </w:tcPr>
          <w:p w14:paraId="2902D8F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13.5%</w:t>
            </w:r>
          </w:p>
        </w:tc>
        <w:tc>
          <w:tcPr>
            <w:tcW w:w="863" w:type="dxa"/>
            <w:tcBorders>
              <w:top w:val="nil"/>
              <w:left w:val="nil"/>
              <w:bottom w:val="nil"/>
              <w:right w:val="nil"/>
            </w:tcBorders>
            <w:shd w:val="clear" w:color="auto" w:fill="auto"/>
            <w:noWrap/>
            <w:vAlign w:val="bottom"/>
            <w:hideMark/>
          </w:tcPr>
          <w:p w14:paraId="6D4B6C0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0.9%</w:t>
            </w:r>
          </w:p>
        </w:tc>
      </w:tr>
      <w:tr w:rsidR="001A6543" w:rsidRPr="00C01E6E" w14:paraId="193BC64D"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6E65985C"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4A92E8A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26-64 yrs</w:t>
            </w:r>
          </w:p>
        </w:tc>
        <w:tc>
          <w:tcPr>
            <w:tcW w:w="1045" w:type="dxa"/>
            <w:tcBorders>
              <w:top w:val="nil"/>
              <w:left w:val="nil"/>
              <w:bottom w:val="nil"/>
              <w:right w:val="nil"/>
            </w:tcBorders>
            <w:shd w:val="clear" w:color="auto" w:fill="auto"/>
            <w:noWrap/>
            <w:vAlign w:val="bottom"/>
            <w:hideMark/>
          </w:tcPr>
          <w:p w14:paraId="00F4FF6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58.8%</w:t>
            </w:r>
          </w:p>
        </w:tc>
        <w:tc>
          <w:tcPr>
            <w:tcW w:w="995" w:type="dxa"/>
            <w:tcBorders>
              <w:top w:val="nil"/>
              <w:left w:val="nil"/>
              <w:bottom w:val="nil"/>
              <w:right w:val="nil"/>
            </w:tcBorders>
            <w:shd w:val="clear" w:color="auto" w:fill="auto"/>
            <w:noWrap/>
            <w:vAlign w:val="bottom"/>
            <w:hideMark/>
          </w:tcPr>
          <w:p w14:paraId="51F6E1FE"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56.3%</w:t>
            </w:r>
          </w:p>
        </w:tc>
        <w:tc>
          <w:tcPr>
            <w:tcW w:w="863" w:type="dxa"/>
            <w:tcBorders>
              <w:top w:val="nil"/>
              <w:left w:val="nil"/>
              <w:bottom w:val="nil"/>
              <w:right w:val="nil"/>
            </w:tcBorders>
            <w:shd w:val="clear" w:color="auto" w:fill="auto"/>
            <w:noWrap/>
            <w:vAlign w:val="bottom"/>
            <w:hideMark/>
          </w:tcPr>
          <w:p w14:paraId="0748A35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-2.6%</w:t>
            </w:r>
          </w:p>
        </w:tc>
        <w:tc>
          <w:tcPr>
            <w:tcW w:w="995" w:type="dxa"/>
            <w:tcBorders>
              <w:top w:val="nil"/>
              <w:left w:val="nil"/>
              <w:bottom w:val="nil"/>
              <w:right w:val="nil"/>
            </w:tcBorders>
            <w:shd w:val="clear" w:color="auto" w:fill="auto"/>
            <w:noWrap/>
            <w:vAlign w:val="bottom"/>
            <w:hideMark/>
          </w:tcPr>
          <w:p w14:paraId="08B0272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56.7%</w:t>
            </w:r>
          </w:p>
        </w:tc>
        <w:tc>
          <w:tcPr>
            <w:tcW w:w="863" w:type="dxa"/>
            <w:tcBorders>
              <w:top w:val="nil"/>
              <w:left w:val="nil"/>
              <w:bottom w:val="nil"/>
              <w:right w:val="nil"/>
            </w:tcBorders>
            <w:shd w:val="clear" w:color="auto" w:fill="auto"/>
            <w:noWrap/>
            <w:vAlign w:val="bottom"/>
            <w:hideMark/>
          </w:tcPr>
          <w:p w14:paraId="68DA495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-2.1%</w:t>
            </w:r>
          </w:p>
        </w:tc>
      </w:tr>
      <w:tr w:rsidR="001A6543" w:rsidRPr="00C01E6E" w14:paraId="4E10F566"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253346F3"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3B359CF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65+ yrs</w:t>
            </w:r>
          </w:p>
        </w:tc>
        <w:tc>
          <w:tcPr>
            <w:tcW w:w="1045" w:type="dxa"/>
            <w:tcBorders>
              <w:top w:val="nil"/>
              <w:left w:val="nil"/>
              <w:bottom w:val="nil"/>
              <w:right w:val="nil"/>
            </w:tcBorders>
            <w:shd w:val="clear" w:color="auto" w:fill="auto"/>
            <w:noWrap/>
            <w:vAlign w:val="bottom"/>
            <w:hideMark/>
          </w:tcPr>
          <w:p w14:paraId="12D45F0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2.9%</w:t>
            </w:r>
          </w:p>
        </w:tc>
        <w:tc>
          <w:tcPr>
            <w:tcW w:w="995" w:type="dxa"/>
            <w:tcBorders>
              <w:top w:val="nil"/>
              <w:left w:val="nil"/>
              <w:bottom w:val="nil"/>
              <w:right w:val="nil"/>
            </w:tcBorders>
            <w:shd w:val="clear" w:color="auto" w:fill="auto"/>
            <w:noWrap/>
            <w:vAlign w:val="bottom"/>
            <w:hideMark/>
          </w:tcPr>
          <w:p w14:paraId="784EE74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3.6%</w:t>
            </w:r>
          </w:p>
        </w:tc>
        <w:tc>
          <w:tcPr>
            <w:tcW w:w="863" w:type="dxa"/>
            <w:tcBorders>
              <w:top w:val="nil"/>
              <w:left w:val="nil"/>
              <w:bottom w:val="nil"/>
              <w:right w:val="nil"/>
            </w:tcBorders>
            <w:shd w:val="clear" w:color="auto" w:fill="auto"/>
            <w:noWrap/>
            <w:vAlign w:val="bottom"/>
            <w:hideMark/>
          </w:tcPr>
          <w:p w14:paraId="060ACD0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0.7%</w:t>
            </w:r>
          </w:p>
        </w:tc>
        <w:tc>
          <w:tcPr>
            <w:tcW w:w="995" w:type="dxa"/>
            <w:tcBorders>
              <w:top w:val="nil"/>
              <w:left w:val="nil"/>
              <w:bottom w:val="nil"/>
              <w:right w:val="nil"/>
            </w:tcBorders>
            <w:shd w:val="clear" w:color="auto" w:fill="auto"/>
            <w:noWrap/>
            <w:vAlign w:val="bottom"/>
            <w:hideMark/>
          </w:tcPr>
          <w:p w14:paraId="67678D4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4.3%</w:t>
            </w:r>
          </w:p>
        </w:tc>
        <w:tc>
          <w:tcPr>
            <w:tcW w:w="863" w:type="dxa"/>
            <w:tcBorders>
              <w:top w:val="nil"/>
              <w:left w:val="nil"/>
              <w:bottom w:val="nil"/>
              <w:right w:val="nil"/>
            </w:tcBorders>
            <w:shd w:val="clear" w:color="auto" w:fill="auto"/>
            <w:noWrap/>
            <w:vAlign w:val="bottom"/>
            <w:hideMark/>
          </w:tcPr>
          <w:p w14:paraId="0AA3EEE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1.4%</w:t>
            </w:r>
          </w:p>
        </w:tc>
      </w:tr>
      <w:tr w:rsidR="001A6543" w:rsidRPr="00C01E6E" w14:paraId="79C06E1F"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7BA32FF4"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3E73A50B"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758F6525"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19282797"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34839C1B"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38087FE4"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391F1DA1" w14:textId="77777777" w:rsidR="001A6543" w:rsidRPr="002168BE" w:rsidRDefault="001A6543" w:rsidP="00E72162">
            <w:pPr>
              <w:rPr>
                <w:rFonts w:cstheme="minorHAnsi"/>
                <w:sz w:val="22"/>
                <w:szCs w:val="22"/>
              </w:rPr>
            </w:pPr>
          </w:p>
        </w:tc>
      </w:tr>
      <w:tr w:rsidR="001A6543" w:rsidRPr="00C01E6E" w14:paraId="4F82F39F"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664D83C9"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 xml:space="preserve">Age </w:t>
            </w:r>
          </w:p>
        </w:tc>
        <w:tc>
          <w:tcPr>
            <w:tcW w:w="1704" w:type="dxa"/>
            <w:tcBorders>
              <w:top w:val="nil"/>
              <w:left w:val="nil"/>
              <w:bottom w:val="nil"/>
              <w:right w:val="nil"/>
            </w:tcBorders>
            <w:shd w:val="clear" w:color="auto" w:fill="auto"/>
            <w:noWrap/>
            <w:vAlign w:val="bottom"/>
            <w:hideMark/>
          </w:tcPr>
          <w:p w14:paraId="46C59ED8" w14:textId="77777777" w:rsidR="001A6543" w:rsidRPr="002168BE" w:rsidRDefault="001A6543" w:rsidP="00E72162">
            <w:pPr>
              <w:rPr>
                <w:rFonts w:cstheme="minorHAnsi"/>
                <w:b/>
                <w:bCs/>
                <w:color w:val="000000"/>
                <w:sz w:val="22"/>
                <w:szCs w:val="22"/>
              </w:rPr>
            </w:pPr>
          </w:p>
        </w:tc>
        <w:tc>
          <w:tcPr>
            <w:tcW w:w="1045" w:type="dxa"/>
            <w:tcBorders>
              <w:top w:val="nil"/>
              <w:left w:val="nil"/>
              <w:bottom w:val="nil"/>
              <w:right w:val="nil"/>
            </w:tcBorders>
            <w:shd w:val="clear" w:color="auto" w:fill="auto"/>
            <w:noWrap/>
            <w:vAlign w:val="bottom"/>
            <w:hideMark/>
          </w:tcPr>
          <w:p w14:paraId="266BA2B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32.4</w:t>
            </w:r>
          </w:p>
        </w:tc>
        <w:tc>
          <w:tcPr>
            <w:tcW w:w="995" w:type="dxa"/>
            <w:tcBorders>
              <w:top w:val="nil"/>
              <w:left w:val="nil"/>
              <w:bottom w:val="nil"/>
              <w:right w:val="nil"/>
            </w:tcBorders>
            <w:shd w:val="clear" w:color="auto" w:fill="auto"/>
            <w:noWrap/>
            <w:vAlign w:val="bottom"/>
            <w:hideMark/>
          </w:tcPr>
          <w:p w14:paraId="0A4EA6B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31.9</w:t>
            </w:r>
          </w:p>
        </w:tc>
        <w:tc>
          <w:tcPr>
            <w:tcW w:w="863" w:type="dxa"/>
            <w:tcBorders>
              <w:top w:val="nil"/>
              <w:left w:val="nil"/>
              <w:bottom w:val="nil"/>
              <w:right w:val="nil"/>
            </w:tcBorders>
            <w:shd w:val="clear" w:color="auto" w:fill="auto"/>
            <w:noWrap/>
            <w:vAlign w:val="bottom"/>
            <w:hideMark/>
          </w:tcPr>
          <w:p w14:paraId="065F937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-0.5</w:t>
            </w:r>
          </w:p>
        </w:tc>
        <w:tc>
          <w:tcPr>
            <w:tcW w:w="995" w:type="dxa"/>
            <w:tcBorders>
              <w:top w:val="nil"/>
              <w:left w:val="nil"/>
              <w:bottom w:val="nil"/>
              <w:right w:val="nil"/>
            </w:tcBorders>
            <w:shd w:val="clear" w:color="auto" w:fill="auto"/>
            <w:noWrap/>
            <w:vAlign w:val="bottom"/>
            <w:hideMark/>
          </w:tcPr>
          <w:p w14:paraId="1BA8871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32.5</w:t>
            </w:r>
          </w:p>
        </w:tc>
        <w:tc>
          <w:tcPr>
            <w:tcW w:w="863" w:type="dxa"/>
            <w:tcBorders>
              <w:top w:val="nil"/>
              <w:left w:val="nil"/>
              <w:bottom w:val="nil"/>
              <w:right w:val="nil"/>
            </w:tcBorders>
            <w:shd w:val="clear" w:color="auto" w:fill="auto"/>
            <w:noWrap/>
            <w:vAlign w:val="bottom"/>
            <w:hideMark/>
          </w:tcPr>
          <w:p w14:paraId="2B53F8F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r>
      <w:tr w:rsidR="001A6543" w:rsidRPr="00C01E6E" w14:paraId="4B535168"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6DC8F712"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51BB6559"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1D2BF242"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39F9892C"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3510237E"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472E6FB1"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5B7FA7C0" w14:textId="77777777" w:rsidR="001A6543" w:rsidRPr="002168BE" w:rsidRDefault="001A6543" w:rsidP="00E72162">
            <w:pPr>
              <w:rPr>
                <w:rFonts w:cstheme="minorHAnsi"/>
                <w:sz w:val="22"/>
                <w:szCs w:val="22"/>
              </w:rPr>
            </w:pPr>
          </w:p>
        </w:tc>
      </w:tr>
      <w:tr w:rsidR="001A6543" w:rsidRPr="00C01E6E" w14:paraId="74E0C4FD"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5666E8C2"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Gender</w:t>
            </w:r>
          </w:p>
        </w:tc>
        <w:tc>
          <w:tcPr>
            <w:tcW w:w="1704" w:type="dxa"/>
            <w:tcBorders>
              <w:top w:val="nil"/>
              <w:left w:val="nil"/>
              <w:bottom w:val="nil"/>
              <w:right w:val="nil"/>
            </w:tcBorders>
            <w:shd w:val="clear" w:color="auto" w:fill="auto"/>
            <w:noWrap/>
            <w:vAlign w:val="bottom"/>
            <w:hideMark/>
          </w:tcPr>
          <w:p w14:paraId="44FC3C7C"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Female</w:t>
            </w:r>
          </w:p>
        </w:tc>
        <w:tc>
          <w:tcPr>
            <w:tcW w:w="1045" w:type="dxa"/>
            <w:tcBorders>
              <w:top w:val="nil"/>
              <w:left w:val="nil"/>
              <w:bottom w:val="nil"/>
              <w:right w:val="nil"/>
            </w:tcBorders>
            <w:shd w:val="clear" w:color="auto" w:fill="auto"/>
            <w:noWrap/>
            <w:vAlign w:val="bottom"/>
            <w:hideMark/>
          </w:tcPr>
          <w:p w14:paraId="1BA92B0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39.8%</w:t>
            </w:r>
          </w:p>
        </w:tc>
        <w:tc>
          <w:tcPr>
            <w:tcW w:w="995" w:type="dxa"/>
            <w:tcBorders>
              <w:top w:val="nil"/>
              <w:left w:val="nil"/>
              <w:bottom w:val="nil"/>
              <w:right w:val="nil"/>
            </w:tcBorders>
            <w:shd w:val="clear" w:color="auto" w:fill="auto"/>
            <w:noWrap/>
            <w:vAlign w:val="bottom"/>
            <w:hideMark/>
          </w:tcPr>
          <w:p w14:paraId="43E3838E"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40.8%</w:t>
            </w:r>
          </w:p>
        </w:tc>
        <w:tc>
          <w:tcPr>
            <w:tcW w:w="863" w:type="dxa"/>
            <w:tcBorders>
              <w:top w:val="nil"/>
              <w:left w:val="nil"/>
              <w:bottom w:val="nil"/>
              <w:right w:val="nil"/>
            </w:tcBorders>
            <w:shd w:val="clear" w:color="auto" w:fill="auto"/>
            <w:noWrap/>
            <w:vAlign w:val="bottom"/>
            <w:hideMark/>
          </w:tcPr>
          <w:p w14:paraId="0A3AAF4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w:t>
            </w:r>
          </w:p>
        </w:tc>
        <w:tc>
          <w:tcPr>
            <w:tcW w:w="995" w:type="dxa"/>
            <w:tcBorders>
              <w:top w:val="nil"/>
              <w:left w:val="nil"/>
              <w:bottom w:val="nil"/>
              <w:right w:val="nil"/>
            </w:tcBorders>
            <w:shd w:val="clear" w:color="auto" w:fill="auto"/>
            <w:noWrap/>
            <w:vAlign w:val="bottom"/>
            <w:hideMark/>
          </w:tcPr>
          <w:p w14:paraId="08634F0D"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40.8%</w:t>
            </w:r>
          </w:p>
        </w:tc>
        <w:tc>
          <w:tcPr>
            <w:tcW w:w="863" w:type="dxa"/>
            <w:tcBorders>
              <w:top w:val="nil"/>
              <w:left w:val="nil"/>
              <w:bottom w:val="nil"/>
              <w:right w:val="nil"/>
            </w:tcBorders>
            <w:shd w:val="clear" w:color="auto" w:fill="auto"/>
            <w:noWrap/>
            <w:vAlign w:val="bottom"/>
            <w:hideMark/>
          </w:tcPr>
          <w:p w14:paraId="64DC5CC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w:t>
            </w:r>
          </w:p>
        </w:tc>
      </w:tr>
      <w:tr w:rsidR="001A6543" w:rsidRPr="00C01E6E" w14:paraId="5C6F5BFA"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6DF217AB"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7B82DB67"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Male</w:t>
            </w:r>
          </w:p>
        </w:tc>
        <w:tc>
          <w:tcPr>
            <w:tcW w:w="1045" w:type="dxa"/>
            <w:tcBorders>
              <w:top w:val="nil"/>
              <w:left w:val="nil"/>
              <w:bottom w:val="nil"/>
              <w:right w:val="nil"/>
            </w:tcBorders>
            <w:shd w:val="clear" w:color="auto" w:fill="auto"/>
            <w:noWrap/>
            <w:vAlign w:val="bottom"/>
            <w:hideMark/>
          </w:tcPr>
          <w:p w14:paraId="6627E7FD"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60.2%</w:t>
            </w:r>
          </w:p>
        </w:tc>
        <w:tc>
          <w:tcPr>
            <w:tcW w:w="995" w:type="dxa"/>
            <w:tcBorders>
              <w:top w:val="nil"/>
              <w:left w:val="nil"/>
              <w:bottom w:val="nil"/>
              <w:right w:val="nil"/>
            </w:tcBorders>
            <w:shd w:val="clear" w:color="auto" w:fill="auto"/>
            <w:noWrap/>
            <w:vAlign w:val="bottom"/>
            <w:hideMark/>
          </w:tcPr>
          <w:p w14:paraId="23FBD29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59.2%</w:t>
            </w:r>
          </w:p>
        </w:tc>
        <w:tc>
          <w:tcPr>
            <w:tcW w:w="863" w:type="dxa"/>
            <w:tcBorders>
              <w:top w:val="nil"/>
              <w:left w:val="nil"/>
              <w:bottom w:val="nil"/>
              <w:right w:val="nil"/>
            </w:tcBorders>
            <w:shd w:val="clear" w:color="auto" w:fill="auto"/>
            <w:noWrap/>
            <w:vAlign w:val="bottom"/>
            <w:hideMark/>
          </w:tcPr>
          <w:p w14:paraId="0EC9CF9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w:t>
            </w:r>
          </w:p>
        </w:tc>
        <w:tc>
          <w:tcPr>
            <w:tcW w:w="995" w:type="dxa"/>
            <w:tcBorders>
              <w:top w:val="nil"/>
              <w:left w:val="nil"/>
              <w:bottom w:val="nil"/>
              <w:right w:val="nil"/>
            </w:tcBorders>
            <w:shd w:val="clear" w:color="auto" w:fill="auto"/>
            <w:noWrap/>
            <w:vAlign w:val="bottom"/>
            <w:hideMark/>
          </w:tcPr>
          <w:p w14:paraId="6F2E395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59.2%</w:t>
            </w:r>
          </w:p>
        </w:tc>
        <w:tc>
          <w:tcPr>
            <w:tcW w:w="863" w:type="dxa"/>
            <w:tcBorders>
              <w:top w:val="nil"/>
              <w:left w:val="nil"/>
              <w:bottom w:val="nil"/>
              <w:right w:val="nil"/>
            </w:tcBorders>
            <w:shd w:val="clear" w:color="auto" w:fill="auto"/>
            <w:noWrap/>
            <w:vAlign w:val="bottom"/>
            <w:hideMark/>
          </w:tcPr>
          <w:p w14:paraId="5B5B664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w:t>
            </w:r>
          </w:p>
        </w:tc>
      </w:tr>
      <w:tr w:rsidR="001A6543" w:rsidRPr="00C01E6E" w14:paraId="2D1631AC"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372869C7"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246EB69C"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466044CE"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763C6D45"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0738F97D"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2FC7E8FB"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2341C458" w14:textId="77777777" w:rsidR="001A6543" w:rsidRPr="002168BE" w:rsidRDefault="001A6543" w:rsidP="00E72162">
            <w:pPr>
              <w:rPr>
                <w:rFonts w:cstheme="minorHAnsi"/>
                <w:sz w:val="22"/>
                <w:szCs w:val="22"/>
              </w:rPr>
            </w:pPr>
          </w:p>
        </w:tc>
      </w:tr>
      <w:tr w:rsidR="001A6543" w:rsidRPr="00C01E6E" w14:paraId="305BE05C"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477C54D2"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Residence</w:t>
            </w:r>
          </w:p>
        </w:tc>
        <w:tc>
          <w:tcPr>
            <w:tcW w:w="1704" w:type="dxa"/>
            <w:tcBorders>
              <w:top w:val="nil"/>
              <w:left w:val="nil"/>
              <w:bottom w:val="nil"/>
              <w:right w:val="nil"/>
            </w:tcBorders>
            <w:shd w:val="clear" w:color="auto" w:fill="auto"/>
            <w:noWrap/>
            <w:vAlign w:val="bottom"/>
            <w:hideMark/>
          </w:tcPr>
          <w:p w14:paraId="07CEE51E"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Urban</w:t>
            </w:r>
          </w:p>
        </w:tc>
        <w:tc>
          <w:tcPr>
            <w:tcW w:w="1045" w:type="dxa"/>
            <w:tcBorders>
              <w:top w:val="nil"/>
              <w:left w:val="nil"/>
              <w:bottom w:val="nil"/>
              <w:right w:val="nil"/>
            </w:tcBorders>
            <w:shd w:val="clear" w:color="auto" w:fill="auto"/>
            <w:noWrap/>
            <w:vAlign w:val="bottom"/>
            <w:hideMark/>
          </w:tcPr>
          <w:p w14:paraId="273867C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57.5%</w:t>
            </w:r>
          </w:p>
        </w:tc>
        <w:tc>
          <w:tcPr>
            <w:tcW w:w="995" w:type="dxa"/>
            <w:tcBorders>
              <w:top w:val="nil"/>
              <w:left w:val="nil"/>
              <w:bottom w:val="nil"/>
              <w:right w:val="nil"/>
            </w:tcBorders>
            <w:shd w:val="clear" w:color="auto" w:fill="auto"/>
            <w:noWrap/>
            <w:vAlign w:val="bottom"/>
            <w:hideMark/>
          </w:tcPr>
          <w:p w14:paraId="39F2C3E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55.8%</w:t>
            </w:r>
          </w:p>
        </w:tc>
        <w:tc>
          <w:tcPr>
            <w:tcW w:w="863" w:type="dxa"/>
            <w:tcBorders>
              <w:top w:val="nil"/>
              <w:left w:val="nil"/>
              <w:bottom w:val="nil"/>
              <w:right w:val="nil"/>
            </w:tcBorders>
            <w:shd w:val="clear" w:color="auto" w:fill="auto"/>
            <w:noWrap/>
            <w:vAlign w:val="bottom"/>
            <w:hideMark/>
          </w:tcPr>
          <w:p w14:paraId="3152DACD"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-1.7%</w:t>
            </w:r>
          </w:p>
        </w:tc>
        <w:tc>
          <w:tcPr>
            <w:tcW w:w="995" w:type="dxa"/>
            <w:tcBorders>
              <w:top w:val="nil"/>
              <w:left w:val="nil"/>
              <w:bottom w:val="nil"/>
              <w:right w:val="nil"/>
            </w:tcBorders>
            <w:shd w:val="clear" w:color="auto" w:fill="auto"/>
            <w:noWrap/>
            <w:vAlign w:val="bottom"/>
            <w:hideMark/>
          </w:tcPr>
          <w:p w14:paraId="52A0A87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56.6%</w:t>
            </w:r>
          </w:p>
        </w:tc>
        <w:tc>
          <w:tcPr>
            <w:tcW w:w="863" w:type="dxa"/>
            <w:tcBorders>
              <w:top w:val="nil"/>
              <w:left w:val="nil"/>
              <w:bottom w:val="nil"/>
              <w:right w:val="nil"/>
            </w:tcBorders>
            <w:shd w:val="clear" w:color="auto" w:fill="auto"/>
            <w:noWrap/>
            <w:vAlign w:val="bottom"/>
            <w:hideMark/>
          </w:tcPr>
          <w:p w14:paraId="786AB2D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-0.9%</w:t>
            </w:r>
          </w:p>
        </w:tc>
      </w:tr>
      <w:tr w:rsidR="001A6543" w:rsidRPr="00C01E6E" w14:paraId="6EDE1649"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4FBB05CF"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54DAAE9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Rural</w:t>
            </w:r>
          </w:p>
        </w:tc>
        <w:tc>
          <w:tcPr>
            <w:tcW w:w="1045" w:type="dxa"/>
            <w:tcBorders>
              <w:top w:val="nil"/>
              <w:left w:val="nil"/>
              <w:bottom w:val="nil"/>
              <w:right w:val="nil"/>
            </w:tcBorders>
            <w:shd w:val="clear" w:color="auto" w:fill="auto"/>
            <w:noWrap/>
            <w:vAlign w:val="bottom"/>
            <w:hideMark/>
          </w:tcPr>
          <w:p w14:paraId="6469A3C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40.9%</w:t>
            </w:r>
          </w:p>
        </w:tc>
        <w:tc>
          <w:tcPr>
            <w:tcW w:w="995" w:type="dxa"/>
            <w:tcBorders>
              <w:top w:val="nil"/>
              <w:left w:val="nil"/>
              <w:bottom w:val="nil"/>
              <w:right w:val="nil"/>
            </w:tcBorders>
            <w:shd w:val="clear" w:color="auto" w:fill="auto"/>
            <w:noWrap/>
            <w:vAlign w:val="bottom"/>
            <w:hideMark/>
          </w:tcPr>
          <w:p w14:paraId="43BC4ACE"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41.6%</w:t>
            </w:r>
          </w:p>
        </w:tc>
        <w:tc>
          <w:tcPr>
            <w:tcW w:w="863" w:type="dxa"/>
            <w:tcBorders>
              <w:top w:val="nil"/>
              <w:left w:val="nil"/>
              <w:bottom w:val="nil"/>
              <w:right w:val="nil"/>
            </w:tcBorders>
            <w:shd w:val="clear" w:color="auto" w:fill="auto"/>
            <w:noWrap/>
            <w:vAlign w:val="bottom"/>
            <w:hideMark/>
          </w:tcPr>
          <w:p w14:paraId="298E87F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0.7%</w:t>
            </w:r>
          </w:p>
        </w:tc>
        <w:tc>
          <w:tcPr>
            <w:tcW w:w="995" w:type="dxa"/>
            <w:tcBorders>
              <w:top w:val="nil"/>
              <w:left w:val="nil"/>
              <w:bottom w:val="nil"/>
              <w:right w:val="nil"/>
            </w:tcBorders>
            <w:shd w:val="clear" w:color="auto" w:fill="auto"/>
            <w:noWrap/>
            <w:vAlign w:val="bottom"/>
            <w:hideMark/>
          </w:tcPr>
          <w:p w14:paraId="5C0210D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41.5%</w:t>
            </w:r>
          </w:p>
        </w:tc>
        <w:tc>
          <w:tcPr>
            <w:tcW w:w="863" w:type="dxa"/>
            <w:tcBorders>
              <w:top w:val="nil"/>
              <w:left w:val="nil"/>
              <w:bottom w:val="nil"/>
              <w:right w:val="nil"/>
            </w:tcBorders>
            <w:shd w:val="clear" w:color="auto" w:fill="auto"/>
            <w:noWrap/>
            <w:vAlign w:val="bottom"/>
            <w:hideMark/>
          </w:tcPr>
          <w:p w14:paraId="564D4F0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w:t>
            </w:r>
          </w:p>
        </w:tc>
      </w:tr>
      <w:tr w:rsidR="001A6543" w:rsidRPr="00C01E6E" w14:paraId="4E72DFF9"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5909DEB0"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6AB0DCA1" w14:textId="77777777" w:rsidR="001A6543" w:rsidRPr="002168BE" w:rsidRDefault="001A6543" w:rsidP="00E72162">
            <w:pPr>
              <w:jc w:val="right"/>
              <w:rPr>
                <w:rFonts w:cstheme="minorHAnsi"/>
                <w:b/>
                <w:bCs/>
                <w:color w:val="000000"/>
                <w:sz w:val="22"/>
                <w:szCs w:val="22"/>
              </w:rPr>
            </w:pPr>
            <w:r>
              <w:rPr>
                <w:rFonts w:cstheme="minorHAnsi"/>
                <w:b/>
                <w:bCs/>
                <w:color w:val="000000"/>
                <w:sz w:val="22"/>
                <w:szCs w:val="22"/>
              </w:rPr>
              <w:t>Remote</w:t>
            </w:r>
          </w:p>
        </w:tc>
        <w:tc>
          <w:tcPr>
            <w:tcW w:w="1045" w:type="dxa"/>
            <w:tcBorders>
              <w:top w:val="nil"/>
              <w:left w:val="nil"/>
              <w:bottom w:val="nil"/>
              <w:right w:val="nil"/>
            </w:tcBorders>
            <w:shd w:val="clear" w:color="auto" w:fill="auto"/>
            <w:noWrap/>
            <w:vAlign w:val="bottom"/>
            <w:hideMark/>
          </w:tcPr>
          <w:p w14:paraId="1E0CEC6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1.6%</w:t>
            </w:r>
          </w:p>
        </w:tc>
        <w:tc>
          <w:tcPr>
            <w:tcW w:w="995" w:type="dxa"/>
            <w:tcBorders>
              <w:top w:val="nil"/>
              <w:left w:val="nil"/>
              <w:bottom w:val="nil"/>
              <w:right w:val="nil"/>
            </w:tcBorders>
            <w:shd w:val="clear" w:color="auto" w:fill="auto"/>
            <w:noWrap/>
            <w:vAlign w:val="bottom"/>
            <w:hideMark/>
          </w:tcPr>
          <w:p w14:paraId="70D5CBB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2.6%</w:t>
            </w:r>
          </w:p>
        </w:tc>
        <w:tc>
          <w:tcPr>
            <w:tcW w:w="863" w:type="dxa"/>
            <w:tcBorders>
              <w:top w:val="nil"/>
              <w:left w:val="nil"/>
              <w:bottom w:val="nil"/>
              <w:right w:val="nil"/>
            </w:tcBorders>
            <w:shd w:val="clear" w:color="auto" w:fill="auto"/>
            <w:noWrap/>
            <w:vAlign w:val="bottom"/>
            <w:hideMark/>
          </w:tcPr>
          <w:p w14:paraId="54F4E9F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w:t>
            </w:r>
          </w:p>
        </w:tc>
        <w:tc>
          <w:tcPr>
            <w:tcW w:w="995" w:type="dxa"/>
            <w:tcBorders>
              <w:top w:val="nil"/>
              <w:left w:val="nil"/>
              <w:bottom w:val="nil"/>
              <w:right w:val="nil"/>
            </w:tcBorders>
            <w:shd w:val="clear" w:color="auto" w:fill="auto"/>
            <w:noWrap/>
            <w:vAlign w:val="bottom"/>
            <w:hideMark/>
          </w:tcPr>
          <w:p w14:paraId="52C0BBD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1.9%</w:t>
            </w:r>
          </w:p>
        </w:tc>
        <w:tc>
          <w:tcPr>
            <w:tcW w:w="863" w:type="dxa"/>
            <w:tcBorders>
              <w:top w:val="nil"/>
              <w:left w:val="nil"/>
              <w:bottom w:val="nil"/>
              <w:right w:val="nil"/>
            </w:tcBorders>
            <w:shd w:val="clear" w:color="auto" w:fill="auto"/>
            <w:noWrap/>
            <w:vAlign w:val="bottom"/>
            <w:hideMark/>
          </w:tcPr>
          <w:p w14:paraId="46F209E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r>
      <w:tr w:rsidR="001A6543" w:rsidRPr="00C01E6E" w14:paraId="6B770F69"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2807335E"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374A63CF"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3BE3BAB1"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2A7DDE83"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39CE02A2"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2F47DFC9"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7361012D" w14:textId="77777777" w:rsidR="001A6543" w:rsidRPr="002168BE" w:rsidRDefault="001A6543" w:rsidP="00E72162">
            <w:pPr>
              <w:rPr>
                <w:rFonts w:cstheme="minorHAnsi"/>
                <w:sz w:val="22"/>
                <w:szCs w:val="22"/>
              </w:rPr>
            </w:pPr>
          </w:p>
        </w:tc>
      </w:tr>
      <w:tr w:rsidR="001A6543" w:rsidRPr="00C01E6E" w14:paraId="621EE5B5"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519716EB" w14:textId="6FF6AC0B" w:rsidR="001A6543" w:rsidRPr="002168BE" w:rsidRDefault="001A6543" w:rsidP="00E72162">
            <w:pPr>
              <w:rPr>
                <w:rFonts w:cstheme="minorHAnsi"/>
                <w:b/>
                <w:bCs/>
                <w:color w:val="000000"/>
                <w:sz w:val="22"/>
                <w:szCs w:val="22"/>
              </w:rPr>
            </w:pPr>
            <w:r w:rsidRPr="002168BE">
              <w:rPr>
                <w:rFonts w:cstheme="minorHAnsi"/>
                <w:b/>
                <w:bCs/>
                <w:color w:val="000000"/>
                <w:sz w:val="22"/>
                <w:szCs w:val="22"/>
              </w:rPr>
              <w:t>Race/Ethnicity</w:t>
            </w:r>
          </w:p>
        </w:tc>
        <w:tc>
          <w:tcPr>
            <w:tcW w:w="1704" w:type="dxa"/>
            <w:tcBorders>
              <w:top w:val="nil"/>
              <w:left w:val="nil"/>
              <w:bottom w:val="nil"/>
              <w:right w:val="nil"/>
            </w:tcBorders>
            <w:shd w:val="clear" w:color="auto" w:fill="auto"/>
            <w:noWrap/>
            <w:vAlign w:val="bottom"/>
            <w:hideMark/>
          </w:tcPr>
          <w:p w14:paraId="2C57253E" w14:textId="77777777" w:rsidR="001A6543" w:rsidRPr="002168BE" w:rsidRDefault="001A6543" w:rsidP="00E72162">
            <w:pPr>
              <w:rPr>
                <w:rFonts w:cstheme="minorHAnsi"/>
                <w:b/>
                <w:bCs/>
                <w:color w:val="000000"/>
                <w:sz w:val="22"/>
                <w:szCs w:val="22"/>
              </w:rPr>
            </w:pPr>
          </w:p>
        </w:tc>
        <w:tc>
          <w:tcPr>
            <w:tcW w:w="1045" w:type="dxa"/>
            <w:tcBorders>
              <w:top w:val="nil"/>
              <w:left w:val="nil"/>
              <w:bottom w:val="nil"/>
              <w:right w:val="nil"/>
            </w:tcBorders>
            <w:shd w:val="clear" w:color="auto" w:fill="auto"/>
            <w:noWrap/>
            <w:vAlign w:val="bottom"/>
            <w:hideMark/>
          </w:tcPr>
          <w:p w14:paraId="263C7645"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7891F820"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12E8D345"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08FDCA6C"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0B4B483C" w14:textId="77777777" w:rsidR="001A6543" w:rsidRPr="002168BE" w:rsidRDefault="001A6543" w:rsidP="00E72162">
            <w:pPr>
              <w:rPr>
                <w:rFonts w:cstheme="minorHAnsi"/>
                <w:sz w:val="22"/>
                <w:szCs w:val="22"/>
              </w:rPr>
            </w:pPr>
          </w:p>
        </w:tc>
      </w:tr>
      <w:tr w:rsidR="001A6543" w:rsidRPr="00C01E6E" w14:paraId="70AEBB61"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565F4EA2" w14:textId="77777777" w:rsidR="001A6543" w:rsidRPr="002168BE" w:rsidRDefault="001A6543" w:rsidP="00E72162">
            <w:pPr>
              <w:jc w:val="right"/>
              <w:rPr>
                <w:rFonts w:cstheme="minorHAnsi"/>
                <w:b/>
                <w:bCs/>
                <w:color w:val="000000"/>
                <w:sz w:val="22"/>
                <w:szCs w:val="22"/>
              </w:rPr>
            </w:pPr>
            <w:r>
              <w:rPr>
                <w:rFonts w:cstheme="minorHAnsi"/>
                <w:b/>
                <w:bCs/>
                <w:color w:val="000000"/>
                <w:sz w:val="22"/>
                <w:szCs w:val="22"/>
              </w:rPr>
              <w:t>American Indian/Alaskan Native</w:t>
            </w:r>
          </w:p>
        </w:tc>
        <w:tc>
          <w:tcPr>
            <w:tcW w:w="1045" w:type="dxa"/>
            <w:tcBorders>
              <w:top w:val="nil"/>
              <w:left w:val="nil"/>
              <w:bottom w:val="nil"/>
              <w:right w:val="nil"/>
            </w:tcBorders>
            <w:shd w:val="clear" w:color="auto" w:fill="auto"/>
            <w:noWrap/>
            <w:vAlign w:val="bottom"/>
            <w:hideMark/>
          </w:tcPr>
          <w:p w14:paraId="21587CB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4.9%</w:t>
            </w:r>
          </w:p>
        </w:tc>
        <w:tc>
          <w:tcPr>
            <w:tcW w:w="995" w:type="dxa"/>
            <w:tcBorders>
              <w:top w:val="nil"/>
              <w:left w:val="nil"/>
              <w:bottom w:val="nil"/>
              <w:right w:val="nil"/>
            </w:tcBorders>
            <w:shd w:val="clear" w:color="auto" w:fill="auto"/>
            <w:noWrap/>
            <w:vAlign w:val="bottom"/>
            <w:hideMark/>
          </w:tcPr>
          <w:p w14:paraId="5AB42BA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5.4%</w:t>
            </w:r>
          </w:p>
        </w:tc>
        <w:tc>
          <w:tcPr>
            <w:tcW w:w="863" w:type="dxa"/>
            <w:tcBorders>
              <w:top w:val="nil"/>
              <w:left w:val="nil"/>
              <w:bottom w:val="nil"/>
              <w:right w:val="nil"/>
            </w:tcBorders>
            <w:shd w:val="clear" w:color="auto" w:fill="auto"/>
            <w:noWrap/>
            <w:vAlign w:val="bottom"/>
            <w:hideMark/>
          </w:tcPr>
          <w:p w14:paraId="4CFA821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0.5%</w:t>
            </w:r>
          </w:p>
        </w:tc>
        <w:tc>
          <w:tcPr>
            <w:tcW w:w="995" w:type="dxa"/>
            <w:tcBorders>
              <w:top w:val="nil"/>
              <w:left w:val="nil"/>
              <w:bottom w:val="nil"/>
              <w:right w:val="nil"/>
            </w:tcBorders>
            <w:shd w:val="clear" w:color="auto" w:fill="auto"/>
            <w:noWrap/>
            <w:vAlign w:val="bottom"/>
            <w:hideMark/>
          </w:tcPr>
          <w:p w14:paraId="415DE54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5.4%</w:t>
            </w:r>
          </w:p>
        </w:tc>
        <w:tc>
          <w:tcPr>
            <w:tcW w:w="863" w:type="dxa"/>
            <w:tcBorders>
              <w:top w:val="nil"/>
              <w:left w:val="nil"/>
              <w:bottom w:val="nil"/>
              <w:right w:val="nil"/>
            </w:tcBorders>
            <w:shd w:val="clear" w:color="auto" w:fill="auto"/>
            <w:noWrap/>
            <w:vAlign w:val="bottom"/>
            <w:hideMark/>
          </w:tcPr>
          <w:p w14:paraId="4A31B9B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0.5%</w:t>
            </w:r>
          </w:p>
        </w:tc>
      </w:tr>
      <w:tr w:rsidR="001A6543" w:rsidRPr="00C01E6E" w14:paraId="73140345"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7A577BE2"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093892DA"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Asian</w:t>
            </w:r>
          </w:p>
        </w:tc>
        <w:tc>
          <w:tcPr>
            <w:tcW w:w="1045" w:type="dxa"/>
            <w:tcBorders>
              <w:top w:val="nil"/>
              <w:left w:val="nil"/>
              <w:bottom w:val="nil"/>
              <w:right w:val="nil"/>
            </w:tcBorders>
            <w:shd w:val="clear" w:color="auto" w:fill="auto"/>
            <w:noWrap/>
            <w:vAlign w:val="bottom"/>
            <w:hideMark/>
          </w:tcPr>
          <w:p w14:paraId="5A66718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1.5%</w:t>
            </w:r>
          </w:p>
        </w:tc>
        <w:tc>
          <w:tcPr>
            <w:tcW w:w="995" w:type="dxa"/>
            <w:tcBorders>
              <w:top w:val="nil"/>
              <w:left w:val="nil"/>
              <w:bottom w:val="nil"/>
              <w:right w:val="nil"/>
            </w:tcBorders>
            <w:shd w:val="clear" w:color="auto" w:fill="auto"/>
            <w:noWrap/>
            <w:vAlign w:val="bottom"/>
            <w:hideMark/>
          </w:tcPr>
          <w:p w14:paraId="271D90E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1.6%</w:t>
            </w:r>
          </w:p>
        </w:tc>
        <w:tc>
          <w:tcPr>
            <w:tcW w:w="863" w:type="dxa"/>
            <w:tcBorders>
              <w:top w:val="nil"/>
              <w:left w:val="nil"/>
              <w:bottom w:val="nil"/>
              <w:right w:val="nil"/>
            </w:tcBorders>
            <w:shd w:val="clear" w:color="auto" w:fill="auto"/>
            <w:noWrap/>
            <w:vAlign w:val="bottom"/>
            <w:hideMark/>
          </w:tcPr>
          <w:p w14:paraId="344C870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c>
          <w:tcPr>
            <w:tcW w:w="995" w:type="dxa"/>
            <w:tcBorders>
              <w:top w:val="nil"/>
              <w:left w:val="nil"/>
              <w:bottom w:val="nil"/>
              <w:right w:val="nil"/>
            </w:tcBorders>
            <w:shd w:val="clear" w:color="auto" w:fill="auto"/>
            <w:noWrap/>
            <w:vAlign w:val="bottom"/>
            <w:hideMark/>
          </w:tcPr>
          <w:p w14:paraId="76E49EE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1.7%</w:t>
            </w:r>
          </w:p>
        </w:tc>
        <w:tc>
          <w:tcPr>
            <w:tcW w:w="863" w:type="dxa"/>
            <w:tcBorders>
              <w:top w:val="nil"/>
              <w:left w:val="nil"/>
              <w:bottom w:val="nil"/>
              <w:right w:val="nil"/>
            </w:tcBorders>
            <w:shd w:val="clear" w:color="auto" w:fill="auto"/>
            <w:noWrap/>
            <w:vAlign w:val="bottom"/>
            <w:hideMark/>
          </w:tcPr>
          <w:p w14:paraId="3BB03CA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0.2%</w:t>
            </w:r>
          </w:p>
        </w:tc>
      </w:tr>
      <w:tr w:rsidR="001A6543" w:rsidRPr="00C01E6E" w14:paraId="78B1A705"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61CE7323"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Black/African American</w:t>
            </w:r>
          </w:p>
        </w:tc>
        <w:tc>
          <w:tcPr>
            <w:tcW w:w="1045" w:type="dxa"/>
            <w:tcBorders>
              <w:top w:val="nil"/>
              <w:left w:val="nil"/>
              <w:bottom w:val="nil"/>
              <w:right w:val="nil"/>
            </w:tcBorders>
            <w:shd w:val="clear" w:color="auto" w:fill="auto"/>
            <w:noWrap/>
            <w:vAlign w:val="bottom"/>
            <w:hideMark/>
          </w:tcPr>
          <w:p w14:paraId="4823F65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6.2%</w:t>
            </w:r>
          </w:p>
        </w:tc>
        <w:tc>
          <w:tcPr>
            <w:tcW w:w="995" w:type="dxa"/>
            <w:tcBorders>
              <w:top w:val="nil"/>
              <w:left w:val="nil"/>
              <w:bottom w:val="nil"/>
              <w:right w:val="nil"/>
            </w:tcBorders>
            <w:shd w:val="clear" w:color="auto" w:fill="auto"/>
            <w:noWrap/>
            <w:vAlign w:val="bottom"/>
            <w:hideMark/>
          </w:tcPr>
          <w:p w14:paraId="26ADF4F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6.5%</w:t>
            </w:r>
          </w:p>
        </w:tc>
        <w:tc>
          <w:tcPr>
            <w:tcW w:w="863" w:type="dxa"/>
            <w:tcBorders>
              <w:top w:val="nil"/>
              <w:left w:val="nil"/>
              <w:bottom w:val="nil"/>
              <w:right w:val="nil"/>
            </w:tcBorders>
            <w:shd w:val="clear" w:color="auto" w:fill="auto"/>
            <w:noWrap/>
            <w:vAlign w:val="bottom"/>
            <w:hideMark/>
          </w:tcPr>
          <w:p w14:paraId="7A9AA82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995" w:type="dxa"/>
            <w:tcBorders>
              <w:top w:val="nil"/>
              <w:left w:val="nil"/>
              <w:bottom w:val="nil"/>
              <w:right w:val="nil"/>
            </w:tcBorders>
            <w:shd w:val="clear" w:color="auto" w:fill="auto"/>
            <w:noWrap/>
            <w:vAlign w:val="bottom"/>
            <w:hideMark/>
          </w:tcPr>
          <w:p w14:paraId="1A30C70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6.5%</w:t>
            </w:r>
          </w:p>
        </w:tc>
        <w:tc>
          <w:tcPr>
            <w:tcW w:w="863" w:type="dxa"/>
            <w:tcBorders>
              <w:top w:val="nil"/>
              <w:left w:val="nil"/>
              <w:bottom w:val="nil"/>
              <w:right w:val="nil"/>
            </w:tcBorders>
            <w:shd w:val="clear" w:color="auto" w:fill="auto"/>
            <w:noWrap/>
            <w:vAlign w:val="bottom"/>
            <w:hideMark/>
          </w:tcPr>
          <w:p w14:paraId="5C4FB3CD"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r>
      <w:tr w:rsidR="001A6543" w:rsidRPr="00C01E6E" w14:paraId="776C50CD"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52616C11"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Hispanic/Latino/a/x</w:t>
            </w:r>
          </w:p>
        </w:tc>
        <w:tc>
          <w:tcPr>
            <w:tcW w:w="1045" w:type="dxa"/>
            <w:tcBorders>
              <w:top w:val="nil"/>
              <w:left w:val="nil"/>
              <w:bottom w:val="nil"/>
              <w:right w:val="nil"/>
            </w:tcBorders>
            <w:shd w:val="clear" w:color="auto" w:fill="auto"/>
            <w:noWrap/>
            <w:vAlign w:val="bottom"/>
            <w:hideMark/>
          </w:tcPr>
          <w:p w14:paraId="7E7BAEC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9.1%</w:t>
            </w:r>
          </w:p>
        </w:tc>
        <w:tc>
          <w:tcPr>
            <w:tcW w:w="995" w:type="dxa"/>
            <w:tcBorders>
              <w:top w:val="nil"/>
              <w:left w:val="nil"/>
              <w:bottom w:val="nil"/>
              <w:right w:val="nil"/>
            </w:tcBorders>
            <w:shd w:val="clear" w:color="auto" w:fill="auto"/>
            <w:noWrap/>
            <w:vAlign w:val="bottom"/>
            <w:hideMark/>
          </w:tcPr>
          <w:p w14:paraId="69EBEF2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10.9%</w:t>
            </w:r>
          </w:p>
        </w:tc>
        <w:tc>
          <w:tcPr>
            <w:tcW w:w="863" w:type="dxa"/>
            <w:tcBorders>
              <w:top w:val="nil"/>
              <w:left w:val="nil"/>
              <w:bottom w:val="nil"/>
              <w:right w:val="nil"/>
            </w:tcBorders>
            <w:shd w:val="clear" w:color="auto" w:fill="auto"/>
            <w:noWrap/>
            <w:vAlign w:val="bottom"/>
            <w:hideMark/>
          </w:tcPr>
          <w:p w14:paraId="1B42076E"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1.8%</w:t>
            </w:r>
          </w:p>
        </w:tc>
        <w:tc>
          <w:tcPr>
            <w:tcW w:w="995" w:type="dxa"/>
            <w:tcBorders>
              <w:top w:val="nil"/>
              <w:left w:val="nil"/>
              <w:bottom w:val="nil"/>
              <w:right w:val="nil"/>
            </w:tcBorders>
            <w:shd w:val="clear" w:color="auto" w:fill="auto"/>
            <w:noWrap/>
            <w:vAlign w:val="bottom"/>
            <w:hideMark/>
          </w:tcPr>
          <w:p w14:paraId="4F23C82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11.2%</w:t>
            </w:r>
          </w:p>
        </w:tc>
        <w:tc>
          <w:tcPr>
            <w:tcW w:w="863" w:type="dxa"/>
            <w:tcBorders>
              <w:top w:val="nil"/>
              <w:left w:val="nil"/>
              <w:bottom w:val="nil"/>
              <w:right w:val="nil"/>
            </w:tcBorders>
            <w:shd w:val="clear" w:color="auto" w:fill="auto"/>
            <w:noWrap/>
            <w:vAlign w:val="bottom"/>
            <w:hideMark/>
          </w:tcPr>
          <w:p w14:paraId="2AC234B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2.0%</w:t>
            </w:r>
          </w:p>
        </w:tc>
      </w:tr>
      <w:tr w:rsidR="001A6543" w:rsidRPr="00C01E6E" w14:paraId="3A984B45"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1164B4E6"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Middle Eastern/North African</w:t>
            </w:r>
          </w:p>
        </w:tc>
        <w:tc>
          <w:tcPr>
            <w:tcW w:w="1045" w:type="dxa"/>
            <w:tcBorders>
              <w:top w:val="nil"/>
              <w:left w:val="nil"/>
              <w:bottom w:val="nil"/>
              <w:right w:val="nil"/>
            </w:tcBorders>
            <w:shd w:val="clear" w:color="auto" w:fill="auto"/>
            <w:noWrap/>
            <w:vAlign w:val="bottom"/>
            <w:hideMark/>
          </w:tcPr>
          <w:p w14:paraId="5F7C88B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c>
          <w:tcPr>
            <w:tcW w:w="995" w:type="dxa"/>
            <w:tcBorders>
              <w:top w:val="nil"/>
              <w:left w:val="nil"/>
              <w:bottom w:val="nil"/>
              <w:right w:val="nil"/>
            </w:tcBorders>
            <w:shd w:val="clear" w:color="auto" w:fill="auto"/>
            <w:noWrap/>
            <w:vAlign w:val="bottom"/>
            <w:hideMark/>
          </w:tcPr>
          <w:p w14:paraId="4796827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0.2%</w:t>
            </w:r>
          </w:p>
        </w:tc>
        <w:tc>
          <w:tcPr>
            <w:tcW w:w="863" w:type="dxa"/>
            <w:tcBorders>
              <w:top w:val="nil"/>
              <w:left w:val="nil"/>
              <w:bottom w:val="nil"/>
              <w:right w:val="nil"/>
            </w:tcBorders>
            <w:shd w:val="clear" w:color="auto" w:fill="auto"/>
            <w:noWrap/>
            <w:vAlign w:val="bottom"/>
            <w:hideMark/>
          </w:tcPr>
          <w:p w14:paraId="7417035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w:t>
            </w:r>
          </w:p>
        </w:tc>
        <w:tc>
          <w:tcPr>
            <w:tcW w:w="995" w:type="dxa"/>
            <w:tcBorders>
              <w:top w:val="nil"/>
              <w:left w:val="nil"/>
              <w:bottom w:val="nil"/>
              <w:right w:val="nil"/>
            </w:tcBorders>
            <w:shd w:val="clear" w:color="auto" w:fill="auto"/>
            <w:noWrap/>
            <w:vAlign w:val="bottom"/>
            <w:hideMark/>
          </w:tcPr>
          <w:p w14:paraId="31E7F5B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0.2%</w:t>
            </w:r>
          </w:p>
        </w:tc>
        <w:tc>
          <w:tcPr>
            <w:tcW w:w="863" w:type="dxa"/>
            <w:tcBorders>
              <w:top w:val="nil"/>
              <w:left w:val="nil"/>
              <w:bottom w:val="nil"/>
              <w:right w:val="nil"/>
            </w:tcBorders>
            <w:shd w:val="clear" w:color="auto" w:fill="auto"/>
            <w:noWrap/>
            <w:vAlign w:val="bottom"/>
            <w:hideMark/>
          </w:tcPr>
          <w:p w14:paraId="2ACAA13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r>
      <w:tr w:rsidR="001A6543" w:rsidRPr="00C01E6E" w14:paraId="7065FC63"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7F8C730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Native Hawaiian</w:t>
            </w:r>
            <w:r>
              <w:rPr>
                <w:rFonts w:cstheme="minorHAnsi"/>
                <w:b/>
                <w:bCs/>
                <w:color w:val="000000"/>
                <w:sz w:val="22"/>
                <w:szCs w:val="22"/>
              </w:rPr>
              <w:t>/</w:t>
            </w:r>
            <w:r w:rsidRPr="002168BE">
              <w:rPr>
                <w:rFonts w:cstheme="minorHAnsi"/>
                <w:b/>
                <w:bCs/>
                <w:color w:val="000000"/>
                <w:sz w:val="22"/>
                <w:szCs w:val="22"/>
              </w:rPr>
              <w:t>Pacific Islander</w:t>
            </w:r>
          </w:p>
        </w:tc>
        <w:tc>
          <w:tcPr>
            <w:tcW w:w="1045" w:type="dxa"/>
            <w:tcBorders>
              <w:top w:val="nil"/>
              <w:left w:val="nil"/>
              <w:bottom w:val="nil"/>
              <w:right w:val="nil"/>
            </w:tcBorders>
            <w:shd w:val="clear" w:color="auto" w:fill="auto"/>
            <w:noWrap/>
            <w:vAlign w:val="bottom"/>
            <w:hideMark/>
          </w:tcPr>
          <w:p w14:paraId="4A26A38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w:t>
            </w:r>
          </w:p>
        </w:tc>
        <w:tc>
          <w:tcPr>
            <w:tcW w:w="995" w:type="dxa"/>
            <w:tcBorders>
              <w:top w:val="nil"/>
              <w:left w:val="nil"/>
              <w:bottom w:val="nil"/>
              <w:right w:val="nil"/>
            </w:tcBorders>
            <w:shd w:val="clear" w:color="auto" w:fill="auto"/>
            <w:noWrap/>
            <w:vAlign w:val="bottom"/>
            <w:hideMark/>
          </w:tcPr>
          <w:p w14:paraId="475C117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w:t>
            </w:r>
          </w:p>
        </w:tc>
        <w:tc>
          <w:tcPr>
            <w:tcW w:w="863" w:type="dxa"/>
            <w:tcBorders>
              <w:top w:val="nil"/>
              <w:left w:val="nil"/>
              <w:bottom w:val="nil"/>
              <w:right w:val="nil"/>
            </w:tcBorders>
            <w:shd w:val="clear" w:color="auto" w:fill="auto"/>
            <w:noWrap/>
            <w:vAlign w:val="bottom"/>
            <w:hideMark/>
          </w:tcPr>
          <w:p w14:paraId="3215D3A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c>
          <w:tcPr>
            <w:tcW w:w="995" w:type="dxa"/>
            <w:tcBorders>
              <w:top w:val="nil"/>
              <w:left w:val="nil"/>
              <w:bottom w:val="nil"/>
              <w:right w:val="nil"/>
            </w:tcBorders>
            <w:shd w:val="clear" w:color="auto" w:fill="auto"/>
            <w:noWrap/>
            <w:vAlign w:val="bottom"/>
            <w:hideMark/>
          </w:tcPr>
          <w:p w14:paraId="0A65589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0.7%</w:t>
            </w:r>
          </w:p>
        </w:tc>
        <w:tc>
          <w:tcPr>
            <w:tcW w:w="863" w:type="dxa"/>
            <w:tcBorders>
              <w:top w:val="nil"/>
              <w:left w:val="nil"/>
              <w:bottom w:val="nil"/>
              <w:right w:val="nil"/>
            </w:tcBorders>
            <w:shd w:val="clear" w:color="auto" w:fill="auto"/>
            <w:noWrap/>
            <w:vAlign w:val="bottom"/>
            <w:hideMark/>
          </w:tcPr>
          <w:p w14:paraId="6D04E8D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0.1%</w:t>
            </w:r>
          </w:p>
        </w:tc>
      </w:tr>
      <w:tr w:rsidR="001A6543" w:rsidRPr="00C01E6E" w14:paraId="4DAD0C64"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13905249"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22B178C9"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White</w:t>
            </w:r>
          </w:p>
        </w:tc>
        <w:tc>
          <w:tcPr>
            <w:tcW w:w="1045" w:type="dxa"/>
            <w:tcBorders>
              <w:top w:val="nil"/>
              <w:left w:val="nil"/>
              <w:bottom w:val="nil"/>
              <w:right w:val="nil"/>
            </w:tcBorders>
            <w:shd w:val="clear" w:color="auto" w:fill="auto"/>
            <w:noWrap/>
            <w:vAlign w:val="bottom"/>
            <w:hideMark/>
          </w:tcPr>
          <w:p w14:paraId="0D738EB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73.4%</w:t>
            </w:r>
          </w:p>
        </w:tc>
        <w:tc>
          <w:tcPr>
            <w:tcW w:w="995" w:type="dxa"/>
            <w:tcBorders>
              <w:top w:val="nil"/>
              <w:left w:val="nil"/>
              <w:bottom w:val="nil"/>
              <w:right w:val="nil"/>
            </w:tcBorders>
            <w:shd w:val="clear" w:color="auto" w:fill="auto"/>
            <w:noWrap/>
            <w:vAlign w:val="bottom"/>
            <w:hideMark/>
          </w:tcPr>
          <w:p w14:paraId="2535BD5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73.7%</w:t>
            </w:r>
          </w:p>
        </w:tc>
        <w:tc>
          <w:tcPr>
            <w:tcW w:w="863" w:type="dxa"/>
            <w:tcBorders>
              <w:top w:val="nil"/>
              <w:left w:val="nil"/>
              <w:bottom w:val="nil"/>
              <w:right w:val="nil"/>
            </w:tcBorders>
            <w:shd w:val="clear" w:color="auto" w:fill="auto"/>
            <w:noWrap/>
            <w:vAlign w:val="bottom"/>
            <w:hideMark/>
          </w:tcPr>
          <w:p w14:paraId="19ADB6C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995" w:type="dxa"/>
            <w:tcBorders>
              <w:top w:val="nil"/>
              <w:left w:val="nil"/>
              <w:bottom w:val="nil"/>
              <w:right w:val="nil"/>
            </w:tcBorders>
            <w:shd w:val="clear" w:color="auto" w:fill="auto"/>
            <w:noWrap/>
            <w:vAlign w:val="bottom"/>
            <w:hideMark/>
          </w:tcPr>
          <w:p w14:paraId="3849DA0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72.1%</w:t>
            </w:r>
          </w:p>
        </w:tc>
        <w:tc>
          <w:tcPr>
            <w:tcW w:w="863" w:type="dxa"/>
            <w:tcBorders>
              <w:top w:val="nil"/>
              <w:left w:val="nil"/>
              <w:bottom w:val="nil"/>
              <w:right w:val="nil"/>
            </w:tcBorders>
            <w:shd w:val="clear" w:color="auto" w:fill="auto"/>
            <w:noWrap/>
            <w:vAlign w:val="bottom"/>
            <w:hideMark/>
          </w:tcPr>
          <w:p w14:paraId="043DB09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-1.3%</w:t>
            </w:r>
          </w:p>
        </w:tc>
      </w:tr>
      <w:tr w:rsidR="001A6543" w:rsidRPr="00C01E6E" w14:paraId="7BA9BA76" w14:textId="77777777" w:rsidTr="00E72162">
        <w:trPr>
          <w:trHeight w:val="300"/>
          <w:jc w:val="center"/>
        </w:trPr>
        <w:tc>
          <w:tcPr>
            <w:tcW w:w="3604" w:type="dxa"/>
            <w:gridSpan w:val="2"/>
            <w:tcBorders>
              <w:top w:val="nil"/>
              <w:left w:val="nil"/>
              <w:bottom w:val="nil"/>
              <w:right w:val="nil"/>
            </w:tcBorders>
            <w:shd w:val="clear" w:color="auto" w:fill="auto"/>
            <w:noWrap/>
            <w:vAlign w:val="bottom"/>
            <w:hideMark/>
          </w:tcPr>
          <w:p w14:paraId="02C12941"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Other/Multi-Ethnic/Unknown</w:t>
            </w:r>
          </w:p>
        </w:tc>
        <w:tc>
          <w:tcPr>
            <w:tcW w:w="1045" w:type="dxa"/>
            <w:tcBorders>
              <w:top w:val="nil"/>
              <w:left w:val="nil"/>
              <w:bottom w:val="nil"/>
              <w:right w:val="nil"/>
            </w:tcBorders>
            <w:shd w:val="clear" w:color="auto" w:fill="auto"/>
            <w:noWrap/>
            <w:vAlign w:val="bottom"/>
            <w:hideMark/>
          </w:tcPr>
          <w:p w14:paraId="47585CA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4.2%</w:t>
            </w:r>
          </w:p>
        </w:tc>
        <w:tc>
          <w:tcPr>
            <w:tcW w:w="995" w:type="dxa"/>
            <w:tcBorders>
              <w:top w:val="nil"/>
              <w:left w:val="nil"/>
              <w:bottom w:val="nil"/>
              <w:right w:val="nil"/>
            </w:tcBorders>
            <w:shd w:val="clear" w:color="auto" w:fill="auto"/>
            <w:noWrap/>
            <w:vAlign w:val="bottom"/>
            <w:hideMark/>
          </w:tcPr>
          <w:p w14:paraId="23E876A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1.1%</w:t>
            </w:r>
          </w:p>
        </w:tc>
        <w:tc>
          <w:tcPr>
            <w:tcW w:w="863" w:type="dxa"/>
            <w:tcBorders>
              <w:top w:val="nil"/>
              <w:left w:val="nil"/>
              <w:bottom w:val="nil"/>
              <w:right w:val="nil"/>
            </w:tcBorders>
            <w:shd w:val="clear" w:color="auto" w:fill="auto"/>
            <w:noWrap/>
            <w:vAlign w:val="bottom"/>
            <w:hideMark/>
          </w:tcPr>
          <w:p w14:paraId="281C9D5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-3.1%</w:t>
            </w:r>
          </w:p>
        </w:tc>
        <w:tc>
          <w:tcPr>
            <w:tcW w:w="995" w:type="dxa"/>
            <w:tcBorders>
              <w:top w:val="nil"/>
              <w:left w:val="nil"/>
              <w:bottom w:val="nil"/>
              <w:right w:val="nil"/>
            </w:tcBorders>
            <w:shd w:val="clear" w:color="auto" w:fill="auto"/>
            <w:noWrap/>
            <w:vAlign w:val="bottom"/>
            <w:hideMark/>
          </w:tcPr>
          <w:p w14:paraId="6CCBEC3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2.2%</w:t>
            </w:r>
          </w:p>
        </w:tc>
        <w:tc>
          <w:tcPr>
            <w:tcW w:w="863" w:type="dxa"/>
            <w:tcBorders>
              <w:top w:val="nil"/>
              <w:left w:val="nil"/>
              <w:bottom w:val="nil"/>
              <w:right w:val="nil"/>
            </w:tcBorders>
            <w:shd w:val="clear" w:color="auto" w:fill="auto"/>
            <w:noWrap/>
            <w:vAlign w:val="bottom"/>
            <w:hideMark/>
          </w:tcPr>
          <w:p w14:paraId="6630DD6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-2.0%</w:t>
            </w:r>
          </w:p>
        </w:tc>
      </w:tr>
      <w:tr w:rsidR="001A6543" w:rsidRPr="00C01E6E" w14:paraId="57BAB67E"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3963341C"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2DD2D7BC"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0CAB1EAB"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1BC431A8"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50B1C1F6"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4E6AE298"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7583AE18" w14:textId="77777777" w:rsidR="001A6543" w:rsidRPr="002168BE" w:rsidRDefault="001A6543" w:rsidP="00E72162">
            <w:pPr>
              <w:rPr>
                <w:rFonts w:cstheme="minorHAnsi"/>
                <w:sz w:val="22"/>
                <w:szCs w:val="22"/>
              </w:rPr>
            </w:pPr>
          </w:p>
        </w:tc>
      </w:tr>
      <w:tr w:rsidR="001A6543" w:rsidRPr="00C01E6E" w14:paraId="70337B91"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30F7EFA5"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Primary Language</w:t>
            </w:r>
          </w:p>
        </w:tc>
        <w:tc>
          <w:tcPr>
            <w:tcW w:w="1704" w:type="dxa"/>
            <w:tcBorders>
              <w:top w:val="nil"/>
              <w:left w:val="nil"/>
              <w:bottom w:val="nil"/>
              <w:right w:val="nil"/>
            </w:tcBorders>
            <w:shd w:val="clear" w:color="auto" w:fill="auto"/>
            <w:noWrap/>
            <w:vAlign w:val="bottom"/>
            <w:hideMark/>
          </w:tcPr>
          <w:p w14:paraId="32B147B0"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English</w:t>
            </w:r>
          </w:p>
        </w:tc>
        <w:tc>
          <w:tcPr>
            <w:tcW w:w="1045" w:type="dxa"/>
            <w:tcBorders>
              <w:top w:val="nil"/>
              <w:left w:val="nil"/>
              <w:bottom w:val="nil"/>
              <w:right w:val="nil"/>
            </w:tcBorders>
            <w:shd w:val="clear" w:color="auto" w:fill="auto"/>
            <w:noWrap/>
            <w:vAlign w:val="bottom"/>
            <w:hideMark/>
          </w:tcPr>
          <w:p w14:paraId="5617EDF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84.1%</w:t>
            </w:r>
          </w:p>
        </w:tc>
        <w:tc>
          <w:tcPr>
            <w:tcW w:w="995" w:type="dxa"/>
            <w:tcBorders>
              <w:top w:val="nil"/>
              <w:left w:val="nil"/>
              <w:bottom w:val="nil"/>
              <w:right w:val="nil"/>
            </w:tcBorders>
            <w:shd w:val="clear" w:color="auto" w:fill="auto"/>
            <w:noWrap/>
            <w:vAlign w:val="bottom"/>
            <w:hideMark/>
          </w:tcPr>
          <w:p w14:paraId="6F123F4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89.7%</w:t>
            </w:r>
          </w:p>
        </w:tc>
        <w:tc>
          <w:tcPr>
            <w:tcW w:w="863" w:type="dxa"/>
            <w:tcBorders>
              <w:top w:val="nil"/>
              <w:left w:val="nil"/>
              <w:bottom w:val="nil"/>
              <w:right w:val="nil"/>
            </w:tcBorders>
            <w:shd w:val="clear" w:color="auto" w:fill="auto"/>
            <w:noWrap/>
            <w:vAlign w:val="bottom"/>
            <w:hideMark/>
          </w:tcPr>
          <w:p w14:paraId="2A12795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5.7%</w:t>
            </w:r>
          </w:p>
        </w:tc>
        <w:tc>
          <w:tcPr>
            <w:tcW w:w="995" w:type="dxa"/>
            <w:tcBorders>
              <w:top w:val="nil"/>
              <w:left w:val="nil"/>
              <w:bottom w:val="nil"/>
              <w:right w:val="nil"/>
            </w:tcBorders>
            <w:shd w:val="clear" w:color="auto" w:fill="auto"/>
            <w:noWrap/>
            <w:vAlign w:val="bottom"/>
            <w:hideMark/>
          </w:tcPr>
          <w:p w14:paraId="21C68DE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91.8%</w:t>
            </w:r>
          </w:p>
        </w:tc>
        <w:tc>
          <w:tcPr>
            <w:tcW w:w="863" w:type="dxa"/>
            <w:tcBorders>
              <w:top w:val="nil"/>
              <w:left w:val="nil"/>
              <w:bottom w:val="nil"/>
              <w:right w:val="nil"/>
            </w:tcBorders>
            <w:shd w:val="clear" w:color="auto" w:fill="auto"/>
            <w:noWrap/>
            <w:vAlign w:val="bottom"/>
            <w:hideMark/>
          </w:tcPr>
          <w:p w14:paraId="593F65D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7.7%</w:t>
            </w:r>
          </w:p>
        </w:tc>
      </w:tr>
      <w:tr w:rsidR="001A6543" w:rsidRPr="00C01E6E" w14:paraId="57B24AA1"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021850EE"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79E5799F"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Spanish</w:t>
            </w:r>
          </w:p>
        </w:tc>
        <w:tc>
          <w:tcPr>
            <w:tcW w:w="1045" w:type="dxa"/>
            <w:tcBorders>
              <w:top w:val="nil"/>
              <w:left w:val="nil"/>
              <w:bottom w:val="nil"/>
              <w:right w:val="nil"/>
            </w:tcBorders>
            <w:shd w:val="clear" w:color="auto" w:fill="auto"/>
            <w:noWrap/>
            <w:vAlign w:val="bottom"/>
            <w:hideMark/>
          </w:tcPr>
          <w:p w14:paraId="7377CDAF"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2.5%</w:t>
            </w:r>
          </w:p>
        </w:tc>
        <w:tc>
          <w:tcPr>
            <w:tcW w:w="995" w:type="dxa"/>
            <w:tcBorders>
              <w:top w:val="nil"/>
              <w:left w:val="nil"/>
              <w:bottom w:val="nil"/>
              <w:right w:val="nil"/>
            </w:tcBorders>
            <w:shd w:val="clear" w:color="auto" w:fill="auto"/>
            <w:noWrap/>
            <w:vAlign w:val="bottom"/>
            <w:hideMark/>
          </w:tcPr>
          <w:p w14:paraId="561AAC5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2.8%</w:t>
            </w:r>
          </w:p>
        </w:tc>
        <w:tc>
          <w:tcPr>
            <w:tcW w:w="863" w:type="dxa"/>
            <w:tcBorders>
              <w:top w:val="nil"/>
              <w:left w:val="nil"/>
              <w:bottom w:val="nil"/>
              <w:right w:val="nil"/>
            </w:tcBorders>
            <w:shd w:val="clear" w:color="auto" w:fill="auto"/>
            <w:noWrap/>
            <w:vAlign w:val="bottom"/>
            <w:hideMark/>
          </w:tcPr>
          <w:p w14:paraId="5852192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995" w:type="dxa"/>
            <w:tcBorders>
              <w:top w:val="nil"/>
              <w:left w:val="nil"/>
              <w:bottom w:val="nil"/>
              <w:right w:val="nil"/>
            </w:tcBorders>
            <w:shd w:val="clear" w:color="auto" w:fill="auto"/>
            <w:noWrap/>
            <w:vAlign w:val="bottom"/>
            <w:hideMark/>
          </w:tcPr>
          <w:p w14:paraId="609C236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2.8%</w:t>
            </w:r>
          </w:p>
        </w:tc>
        <w:tc>
          <w:tcPr>
            <w:tcW w:w="863" w:type="dxa"/>
            <w:tcBorders>
              <w:top w:val="nil"/>
              <w:left w:val="nil"/>
              <w:bottom w:val="nil"/>
              <w:right w:val="nil"/>
            </w:tcBorders>
            <w:shd w:val="clear" w:color="auto" w:fill="auto"/>
            <w:noWrap/>
            <w:vAlign w:val="bottom"/>
            <w:hideMark/>
          </w:tcPr>
          <w:p w14:paraId="6106A9F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r>
      <w:tr w:rsidR="001A6543" w:rsidRPr="00C01E6E" w14:paraId="2E34EB1F"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6DE5F8A6"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2A80E34E"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Other Non-English</w:t>
            </w:r>
          </w:p>
        </w:tc>
        <w:tc>
          <w:tcPr>
            <w:tcW w:w="1045" w:type="dxa"/>
            <w:tcBorders>
              <w:top w:val="nil"/>
              <w:left w:val="nil"/>
              <w:bottom w:val="nil"/>
              <w:right w:val="nil"/>
            </w:tcBorders>
            <w:shd w:val="clear" w:color="auto" w:fill="auto"/>
            <w:noWrap/>
            <w:vAlign w:val="bottom"/>
            <w:hideMark/>
          </w:tcPr>
          <w:p w14:paraId="2D9CE980"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995" w:type="dxa"/>
            <w:tcBorders>
              <w:top w:val="nil"/>
              <w:left w:val="nil"/>
              <w:bottom w:val="nil"/>
              <w:right w:val="nil"/>
            </w:tcBorders>
            <w:shd w:val="clear" w:color="auto" w:fill="auto"/>
            <w:noWrap/>
            <w:vAlign w:val="bottom"/>
            <w:hideMark/>
          </w:tcPr>
          <w:p w14:paraId="77B695E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863" w:type="dxa"/>
            <w:tcBorders>
              <w:top w:val="nil"/>
              <w:left w:val="nil"/>
              <w:bottom w:val="nil"/>
              <w:right w:val="nil"/>
            </w:tcBorders>
            <w:shd w:val="clear" w:color="auto" w:fill="auto"/>
            <w:noWrap/>
            <w:vAlign w:val="bottom"/>
            <w:hideMark/>
          </w:tcPr>
          <w:p w14:paraId="32A0FCC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w:t>
            </w:r>
          </w:p>
        </w:tc>
        <w:tc>
          <w:tcPr>
            <w:tcW w:w="995" w:type="dxa"/>
            <w:tcBorders>
              <w:top w:val="nil"/>
              <w:left w:val="nil"/>
              <w:bottom w:val="nil"/>
              <w:right w:val="nil"/>
            </w:tcBorders>
            <w:shd w:val="clear" w:color="auto" w:fill="auto"/>
            <w:noWrap/>
            <w:vAlign w:val="bottom"/>
            <w:hideMark/>
          </w:tcPr>
          <w:p w14:paraId="650D697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0.3%</w:t>
            </w:r>
          </w:p>
        </w:tc>
        <w:tc>
          <w:tcPr>
            <w:tcW w:w="863" w:type="dxa"/>
            <w:tcBorders>
              <w:top w:val="nil"/>
              <w:left w:val="nil"/>
              <w:bottom w:val="nil"/>
              <w:right w:val="nil"/>
            </w:tcBorders>
            <w:shd w:val="clear" w:color="auto" w:fill="auto"/>
            <w:noWrap/>
            <w:vAlign w:val="bottom"/>
            <w:hideMark/>
          </w:tcPr>
          <w:p w14:paraId="4E9466B4"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w:t>
            </w:r>
          </w:p>
        </w:tc>
      </w:tr>
      <w:tr w:rsidR="001A6543" w:rsidRPr="00C01E6E" w14:paraId="1DBFAFD8"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3F2CD509"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35F58CC4"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Unknown</w:t>
            </w:r>
          </w:p>
        </w:tc>
        <w:tc>
          <w:tcPr>
            <w:tcW w:w="1045" w:type="dxa"/>
            <w:tcBorders>
              <w:top w:val="nil"/>
              <w:left w:val="nil"/>
              <w:bottom w:val="nil"/>
              <w:right w:val="nil"/>
            </w:tcBorders>
            <w:shd w:val="clear" w:color="auto" w:fill="auto"/>
            <w:noWrap/>
            <w:vAlign w:val="bottom"/>
            <w:hideMark/>
          </w:tcPr>
          <w:p w14:paraId="2826148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13.1%</w:t>
            </w:r>
          </w:p>
        </w:tc>
        <w:tc>
          <w:tcPr>
            <w:tcW w:w="995" w:type="dxa"/>
            <w:tcBorders>
              <w:top w:val="nil"/>
              <w:left w:val="nil"/>
              <w:bottom w:val="nil"/>
              <w:right w:val="nil"/>
            </w:tcBorders>
            <w:shd w:val="clear" w:color="auto" w:fill="auto"/>
            <w:noWrap/>
            <w:vAlign w:val="bottom"/>
            <w:hideMark/>
          </w:tcPr>
          <w:p w14:paraId="57EDF992"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7.2%</w:t>
            </w:r>
          </w:p>
        </w:tc>
        <w:tc>
          <w:tcPr>
            <w:tcW w:w="863" w:type="dxa"/>
            <w:tcBorders>
              <w:top w:val="nil"/>
              <w:left w:val="nil"/>
              <w:bottom w:val="nil"/>
              <w:right w:val="nil"/>
            </w:tcBorders>
            <w:shd w:val="clear" w:color="auto" w:fill="auto"/>
            <w:noWrap/>
            <w:vAlign w:val="bottom"/>
            <w:hideMark/>
          </w:tcPr>
          <w:p w14:paraId="5F8C4C4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-6.0%</w:t>
            </w:r>
          </w:p>
        </w:tc>
        <w:tc>
          <w:tcPr>
            <w:tcW w:w="995" w:type="dxa"/>
            <w:tcBorders>
              <w:top w:val="nil"/>
              <w:left w:val="nil"/>
              <w:bottom w:val="nil"/>
              <w:right w:val="nil"/>
            </w:tcBorders>
            <w:shd w:val="clear" w:color="auto" w:fill="auto"/>
            <w:noWrap/>
            <w:vAlign w:val="bottom"/>
            <w:hideMark/>
          </w:tcPr>
          <w:p w14:paraId="24570B6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5.1%</w:t>
            </w:r>
          </w:p>
        </w:tc>
        <w:tc>
          <w:tcPr>
            <w:tcW w:w="863" w:type="dxa"/>
            <w:tcBorders>
              <w:top w:val="nil"/>
              <w:left w:val="nil"/>
              <w:bottom w:val="nil"/>
              <w:right w:val="nil"/>
            </w:tcBorders>
            <w:shd w:val="clear" w:color="auto" w:fill="auto"/>
            <w:noWrap/>
            <w:vAlign w:val="bottom"/>
            <w:hideMark/>
          </w:tcPr>
          <w:p w14:paraId="3A5D0619"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-8.1%</w:t>
            </w:r>
          </w:p>
        </w:tc>
      </w:tr>
      <w:tr w:rsidR="001A6543" w:rsidRPr="00C01E6E" w14:paraId="5FC5851D"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5DC9C53D"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20A091D9" w14:textId="77777777" w:rsidR="001A6543" w:rsidRPr="002168BE" w:rsidRDefault="001A6543" w:rsidP="00E72162">
            <w:pPr>
              <w:rPr>
                <w:rFonts w:cstheme="minorHAnsi"/>
                <w:sz w:val="22"/>
                <w:szCs w:val="22"/>
              </w:rPr>
            </w:pPr>
          </w:p>
        </w:tc>
        <w:tc>
          <w:tcPr>
            <w:tcW w:w="1045" w:type="dxa"/>
            <w:tcBorders>
              <w:top w:val="nil"/>
              <w:left w:val="nil"/>
              <w:bottom w:val="nil"/>
              <w:right w:val="nil"/>
            </w:tcBorders>
            <w:shd w:val="clear" w:color="auto" w:fill="auto"/>
            <w:noWrap/>
            <w:vAlign w:val="bottom"/>
            <w:hideMark/>
          </w:tcPr>
          <w:p w14:paraId="4B07FFC2"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0CEB8BB9"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435BEE4E" w14:textId="77777777" w:rsidR="001A6543" w:rsidRPr="002168BE" w:rsidRDefault="001A6543" w:rsidP="00E72162">
            <w:pPr>
              <w:rPr>
                <w:rFonts w:cstheme="minorHAnsi"/>
                <w:sz w:val="22"/>
                <w:szCs w:val="22"/>
              </w:rPr>
            </w:pPr>
          </w:p>
        </w:tc>
        <w:tc>
          <w:tcPr>
            <w:tcW w:w="995" w:type="dxa"/>
            <w:tcBorders>
              <w:top w:val="nil"/>
              <w:left w:val="nil"/>
              <w:bottom w:val="nil"/>
              <w:right w:val="nil"/>
            </w:tcBorders>
            <w:shd w:val="clear" w:color="auto" w:fill="auto"/>
            <w:noWrap/>
            <w:vAlign w:val="bottom"/>
            <w:hideMark/>
          </w:tcPr>
          <w:p w14:paraId="38D205B8" w14:textId="77777777" w:rsidR="001A6543" w:rsidRPr="002168BE" w:rsidRDefault="001A6543" w:rsidP="00E72162">
            <w:pPr>
              <w:rPr>
                <w:rFonts w:cstheme="minorHAnsi"/>
                <w:sz w:val="22"/>
                <w:szCs w:val="22"/>
              </w:rPr>
            </w:pPr>
          </w:p>
        </w:tc>
        <w:tc>
          <w:tcPr>
            <w:tcW w:w="863" w:type="dxa"/>
            <w:tcBorders>
              <w:top w:val="nil"/>
              <w:left w:val="nil"/>
              <w:bottom w:val="nil"/>
              <w:right w:val="nil"/>
            </w:tcBorders>
            <w:shd w:val="clear" w:color="auto" w:fill="auto"/>
            <w:noWrap/>
            <w:vAlign w:val="bottom"/>
            <w:hideMark/>
          </w:tcPr>
          <w:p w14:paraId="6C324672" w14:textId="77777777" w:rsidR="001A6543" w:rsidRPr="002168BE" w:rsidRDefault="001A6543" w:rsidP="00E72162">
            <w:pPr>
              <w:rPr>
                <w:rFonts w:cstheme="minorHAnsi"/>
                <w:sz w:val="22"/>
                <w:szCs w:val="22"/>
              </w:rPr>
            </w:pPr>
          </w:p>
        </w:tc>
      </w:tr>
      <w:tr w:rsidR="001A6543" w:rsidRPr="00C01E6E" w14:paraId="668F7BAB"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3790938F" w14:textId="77777777" w:rsidR="001A6543" w:rsidRPr="002168BE" w:rsidRDefault="001A6543" w:rsidP="00E72162">
            <w:pPr>
              <w:rPr>
                <w:rFonts w:cstheme="minorHAnsi"/>
                <w:b/>
                <w:bCs/>
                <w:color w:val="000000"/>
                <w:sz w:val="22"/>
                <w:szCs w:val="22"/>
              </w:rPr>
            </w:pPr>
            <w:r w:rsidRPr="002168BE">
              <w:rPr>
                <w:rFonts w:cstheme="minorHAnsi"/>
                <w:b/>
                <w:bCs/>
                <w:color w:val="000000"/>
                <w:sz w:val="22"/>
                <w:szCs w:val="22"/>
              </w:rPr>
              <w:t>CDPS Risk Score</w:t>
            </w:r>
          </w:p>
        </w:tc>
        <w:tc>
          <w:tcPr>
            <w:tcW w:w="1704" w:type="dxa"/>
            <w:tcBorders>
              <w:top w:val="nil"/>
              <w:left w:val="nil"/>
              <w:bottom w:val="nil"/>
              <w:right w:val="nil"/>
            </w:tcBorders>
            <w:shd w:val="clear" w:color="auto" w:fill="auto"/>
            <w:noWrap/>
            <w:vAlign w:val="bottom"/>
            <w:hideMark/>
          </w:tcPr>
          <w:p w14:paraId="4079AF9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Physical Health</w:t>
            </w:r>
          </w:p>
        </w:tc>
        <w:tc>
          <w:tcPr>
            <w:tcW w:w="1045" w:type="dxa"/>
            <w:tcBorders>
              <w:top w:val="nil"/>
              <w:left w:val="nil"/>
              <w:bottom w:val="nil"/>
              <w:right w:val="nil"/>
            </w:tcBorders>
            <w:shd w:val="clear" w:color="auto" w:fill="auto"/>
            <w:noWrap/>
            <w:vAlign w:val="bottom"/>
            <w:hideMark/>
          </w:tcPr>
          <w:p w14:paraId="1752EBA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0.91</w:t>
            </w:r>
          </w:p>
        </w:tc>
        <w:tc>
          <w:tcPr>
            <w:tcW w:w="995" w:type="dxa"/>
            <w:tcBorders>
              <w:top w:val="nil"/>
              <w:left w:val="nil"/>
              <w:bottom w:val="nil"/>
              <w:right w:val="nil"/>
            </w:tcBorders>
            <w:shd w:val="clear" w:color="auto" w:fill="auto"/>
            <w:noWrap/>
            <w:vAlign w:val="bottom"/>
            <w:hideMark/>
          </w:tcPr>
          <w:p w14:paraId="6326784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0.94</w:t>
            </w:r>
          </w:p>
        </w:tc>
        <w:tc>
          <w:tcPr>
            <w:tcW w:w="863" w:type="dxa"/>
            <w:tcBorders>
              <w:top w:val="nil"/>
              <w:left w:val="nil"/>
              <w:bottom w:val="nil"/>
              <w:right w:val="nil"/>
            </w:tcBorders>
            <w:shd w:val="clear" w:color="auto" w:fill="auto"/>
            <w:noWrap/>
            <w:vAlign w:val="bottom"/>
            <w:hideMark/>
          </w:tcPr>
          <w:p w14:paraId="55E0E7C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0.03</w:t>
            </w:r>
          </w:p>
        </w:tc>
        <w:tc>
          <w:tcPr>
            <w:tcW w:w="995" w:type="dxa"/>
            <w:tcBorders>
              <w:top w:val="nil"/>
              <w:left w:val="nil"/>
              <w:bottom w:val="nil"/>
              <w:right w:val="nil"/>
            </w:tcBorders>
            <w:shd w:val="clear" w:color="auto" w:fill="auto"/>
            <w:noWrap/>
            <w:vAlign w:val="bottom"/>
            <w:hideMark/>
          </w:tcPr>
          <w:p w14:paraId="302888A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0.95</w:t>
            </w:r>
          </w:p>
        </w:tc>
        <w:tc>
          <w:tcPr>
            <w:tcW w:w="863" w:type="dxa"/>
            <w:tcBorders>
              <w:top w:val="nil"/>
              <w:left w:val="nil"/>
              <w:bottom w:val="nil"/>
              <w:right w:val="nil"/>
            </w:tcBorders>
            <w:shd w:val="clear" w:color="auto" w:fill="auto"/>
            <w:noWrap/>
            <w:vAlign w:val="bottom"/>
            <w:hideMark/>
          </w:tcPr>
          <w:p w14:paraId="1E0FFDFC"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0.04</w:t>
            </w:r>
          </w:p>
        </w:tc>
      </w:tr>
      <w:tr w:rsidR="001A6543" w:rsidRPr="00C01E6E" w14:paraId="27D94AF8" w14:textId="77777777" w:rsidTr="00E72162">
        <w:trPr>
          <w:trHeight w:val="300"/>
          <w:jc w:val="center"/>
        </w:trPr>
        <w:tc>
          <w:tcPr>
            <w:tcW w:w="1900" w:type="dxa"/>
            <w:tcBorders>
              <w:top w:val="nil"/>
              <w:left w:val="nil"/>
              <w:bottom w:val="nil"/>
              <w:right w:val="nil"/>
            </w:tcBorders>
            <w:shd w:val="clear" w:color="auto" w:fill="auto"/>
            <w:noWrap/>
            <w:vAlign w:val="bottom"/>
            <w:hideMark/>
          </w:tcPr>
          <w:p w14:paraId="29884822" w14:textId="77777777" w:rsidR="001A6543" w:rsidRPr="002168BE" w:rsidRDefault="001A6543" w:rsidP="00E72162">
            <w:pPr>
              <w:jc w:val="right"/>
              <w:rPr>
                <w:rFonts w:cstheme="minorHAnsi"/>
                <w:color w:val="000000"/>
                <w:sz w:val="22"/>
                <w:szCs w:val="22"/>
              </w:rPr>
            </w:pPr>
          </w:p>
        </w:tc>
        <w:tc>
          <w:tcPr>
            <w:tcW w:w="1704" w:type="dxa"/>
            <w:tcBorders>
              <w:top w:val="nil"/>
              <w:left w:val="nil"/>
              <w:bottom w:val="nil"/>
              <w:right w:val="nil"/>
            </w:tcBorders>
            <w:shd w:val="clear" w:color="auto" w:fill="auto"/>
            <w:noWrap/>
            <w:vAlign w:val="bottom"/>
            <w:hideMark/>
          </w:tcPr>
          <w:p w14:paraId="6C44013D"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Mental Health</w:t>
            </w:r>
          </w:p>
        </w:tc>
        <w:tc>
          <w:tcPr>
            <w:tcW w:w="1045" w:type="dxa"/>
            <w:tcBorders>
              <w:top w:val="nil"/>
              <w:left w:val="nil"/>
              <w:bottom w:val="nil"/>
              <w:right w:val="nil"/>
            </w:tcBorders>
            <w:shd w:val="clear" w:color="auto" w:fill="auto"/>
            <w:noWrap/>
            <w:vAlign w:val="bottom"/>
            <w:hideMark/>
          </w:tcPr>
          <w:p w14:paraId="07F0668B"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0.61</w:t>
            </w:r>
          </w:p>
        </w:tc>
        <w:tc>
          <w:tcPr>
            <w:tcW w:w="995" w:type="dxa"/>
            <w:tcBorders>
              <w:top w:val="nil"/>
              <w:left w:val="nil"/>
              <w:bottom w:val="nil"/>
              <w:right w:val="nil"/>
            </w:tcBorders>
            <w:shd w:val="clear" w:color="auto" w:fill="auto"/>
            <w:noWrap/>
            <w:vAlign w:val="bottom"/>
            <w:hideMark/>
          </w:tcPr>
          <w:p w14:paraId="2C9A8CD5"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0.64</w:t>
            </w:r>
          </w:p>
        </w:tc>
        <w:tc>
          <w:tcPr>
            <w:tcW w:w="863" w:type="dxa"/>
            <w:tcBorders>
              <w:top w:val="nil"/>
              <w:left w:val="nil"/>
              <w:bottom w:val="nil"/>
              <w:right w:val="nil"/>
            </w:tcBorders>
            <w:shd w:val="clear" w:color="auto" w:fill="auto"/>
            <w:noWrap/>
            <w:vAlign w:val="bottom"/>
            <w:hideMark/>
          </w:tcPr>
          <w:p w14:paraId="401992E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0.03</w:t>
            </w:r>
          </w:p>
        </w:tc>
        <w:tc>
          <w:tcPr>
            <w:tcW w:w="995" w:type="dxa"/>
            <w:tcBorders>
              <w:top w:val="nil"/>
              <w:left w:val="nil"/>
              <w:bottom w:val="nil"/>
              <w:right w:val="nil"/>
            </w:tcBorders>
            <w:shd w:val="clear" w:color="auto" w:fill="auto"/>
            <w:noWrap/>
            <w:vAlign w:val="bottom"/>
            <w:hideMark/>
          </w:tcPr>
          <w:p w14:paraId="3025ABB8"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0.63</w:t>
            </w:r>
          </w:p>
        </w:tc>
        <w:tc>
          <w:tcPr>
            <w:tcW w:w="863" w:type="dxa"/>
            <w:tcBorders>
              <w:top w:val="nil"/>
              <w:left w:val="nil"/>
              <w:bottom w:val="nil"/>
              <w:right w:val="nil"/>
            </w:tcBorders>
            <w:shd w:val="clear" w:color="auto" w:fill="auto"/>
            <w:noWrap/>
            <w:vAlign w:val="bottom"/>
            <w:hideMark/>
          </w:tcPr>
          <w:p w14:paraId="303978BA"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0.02</w:t>
            </w:r>
          </w:p>
        </w:tc>
      </w:tr>
      <w:tr w:rsidR="001A6543" w:rsidRPr="00C01E6E" w14:paraId="2FB35CD9" w14:textId="77777777" w:rsidTr="00E72162">
        <w:trPr>
          <w:trHeight w:val="300"/>
          <w:jc w:val="center"/>
        </w:trPr>
        <w:tc>
          <w:tcPr>
            <w:tcW w:w="1900" w:type="dxa"/>
            <w:tcBorders>
              <w:top w:val="nil"/>
              <w:left w:val="nil"/>
              <w:bottom w:val="single" w:sz="4" w:space="0" w:color="auto"/>
              <w:right w:val="nil"/>
            </w:tcBorders>
            <w:shd w:val="clear" w:color="auto" w:fill="auto"/>
            <w:noWrap/>
            <w:vAlign w:val="bottom"/>
            <w:hideMark/>
          </w:tcPr>
          <w:p w14:paraId="561DC5F0"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 </w:t>
            </w:r>
          </w:p>
        </w:tc>
        <w:tc>
          <w:tcPr>
            <w:tcW w:w="1704" w:type="dxa"/>
            <w:tcBorders>
              <w:top w:val="nil"/>
              <w:left w:val="nil"/>
              <w:bottom w:val="single" w:sz="4" w:space="0" w:color="auto"/>
              <w:right w:val="nil"/>
            </w:tcBorders>
            <w:shd w:val="clear" w:color="auto" w:fill="auto"/>
            <w:noWrap/>
            <w:vAlign w:val="bottom"/>
            <w:hideMark/>
          </w:tcPr>
          <w:p w14:paraId="4F3F6AB8" w14:textId="77777777" w:rsidR="001A6543" w:rsidRPr="002168BE" w:rsidRDefault="001A6543" w:rsidP="00E72162">
            <w:pPr>
              <w:jc w:val="right"/>
              <w:rPr>
                <w:rFonts w:cstheme="minorHAnsi"/>
                <w:b/>
                <w:bCs/>
                <w:color w:val="000000"/>
                <w:sz w:val="22"/>
                <w:szCs w:val="22"/>
              </w:rPr>
            </w:pPr>
            <w:r w:rsidRPr="002168BE">
              <w:rPr>
                <w:rFonts w:cstheme="minorHAnsi"/>
                <w:b/>
                <w:bCs/>
                <w:color w:val="000000"/>
                <w:sz w:val="22"/>
                <w:szCs w:val="22"/>
              </w:rPr>
              <w:t>Substance Use</w:t>
            </w:r>
          </w:p>
        </w:tc>
        <w:tc>
          <w:tcPr>
            <w:tcW w:w="1045" w:type="dxa"/>
            <w:tcBorders>
              <w:top w:val="nil"/>
              <w:left w:val="nil"/>
              <w:bottom w:val="single" w:sz="4" w:space="0" w:color="auto"/>
              <w:right w:val="nil"/>
            </w:tcBorders>
            <w:shd w:val="clear" w:color="auto" w:fill="auto"/>
            <w:noWrap/>
            <w:vAlign w:val="bottom"/>
            <w:hideMark/>
          </w:tcPr>
          <w:p w14:paraId="4EEDE936"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0.08</w:t>
            </w:r>
          </w:p>
        </w:tc>
        <w:tc>
          <w:tcPr>
            <w:tcW w:w="995" w:type="dxa"/>
            <w:tcBorders>
              <w:top w:val="nil"/>
              <w:left w:val="nil"/>
              <w:bottom w:val="single" w:sz="4" w:space="0" w:color="auto"/>
              <w:right w:val="nil"/>
            </w:tcBorders>
            <w:shd w:val="clear" w:color="auto" w:fill="auto"/>
            <w:noWrap/>
            <w:vAlign w:val="bottom"/>
            <w:hideMark/>
          </w:tcPr>
          <w:p w14:paraId="1818AAB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0.08</w:t>
            </w:r>
          </w:p>
        </w:tc>
        <w:tc>
          <w:tcPr>
            <w:tcW w:w="863" w:type="dxa"/>
            <w:tcBorders>
              <w:top w:val="nil"/>
              <w:left w:val="nil"/>
              <w:bottom w:val="single" w:sz="4" w:space="0" w:color="auto"/>
              <w:right w:val="nil"/>
            </w:tcBorders>
            <w:shd w:val="clear" w:color="auto" w:fill="auto"/>
            <w:noWrap/>
            <w:vAlign w:val="bottom"/>
            <w:hideMark/>
          </w:tcPr>
          <w:p w14:paraId="0558F543"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0.00</w:t>
            </w:r>
          </w:p>
        </w:tc>
        <w:tc>
          <w:tcPr>
            <w:tcW w:w="995" w:type="dxa"/>
            <w:tcBorders>
              <w:top w:val="nil"/>
              <w:left w:val="nil"/>
              <w:bottom w:val="single" w:sz="4" w:space="0" w:color="auto"/>
              <w:right w:val="nil"/>
            </w:tcBorders>
            <w:shd w:val="clear" w:color="auto" w:fill="auto"/>
            <w:noWrap/>
            <w:vAlign w:val="bottom"/>
            <w:hideMark/>
          </w:tcPr>
          <w:p w14:paraId="40C5BE37"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0.08</w:t>
            </w:r>
          </w:p>
        </w:tc>
        <w:tc>
          <w:tcPr>
            <w:tcW w:w="863" w:type="dxa"/>
            <w:tcBorders>
              <w:top w:val="nil"/>
              <w:left w:val="nil"/>
              <w:bottom w:val="single" w:sz="4" w:space="0" w:color="auto"/>
              <w:right w:val="nil"/>
            </w:tcBorders>
            <w:shd w:val="clear" w:color="auto" w:fill="auto"/>
            <w:noWrap/>
            <w:vAlign w:val="bottom"/>
            <w:hideMark/>
          </w:tcPr>
          <w:p w14:paraId="7D1F2AA1" w14:textId="77777777" w:rsidR="001A6543" w:rsidRPr="002168BE" w:rsidRDefault="001A6543" w:rsidP="00E72162">
            <w:pPr>
              <w:jc w:val="right"/>
              <w:rPr>
                <w:rFonts w:cstheme="minorHAnsi"/>
                <w:color w:val="000000"/>
                <w:sz w:val="22"/>
                <w:szCs w:val="22"/>
              </w:rPr>
            </w:pPr>
            <w:r w:rsidRPr="002168BE">
              <w:rPr>
                <w:rFonts w:cstheme="minorHAnsi"/>
                <w:color w:val="000000"/>
                <w:sz w:val="22"/>
                <w:szCs w:val="22"/>
              </w:rPr>
              <w:t>0.00</w:t>
            </w:r>
          </w:p>
        </w:tc>
      </w:tr>
    </w:tbl>
    <w:p w14:paraId="5224B78D" w14:textId="77777777" w:rsidR="008F573D" w:rsidRDefault="008F573D" w:rsidP="008F573D">
      <w:pPr>
        <w:rPr>
          <w:rFonts w:cstheme="minorHAnsi"/>
          <w:sz w:val="22"/>
          <w:szCs w:val="22"/>
        </w:rPr>
      </w:pPr>
    </w:p>
    <w:p w14:paraId="0803A6F3" w14:textId="77777777" w:rsidR="0021692A" w:rsidRDefault="0021692A" w:rsidP="008F573D">
      <w:pPr>
        <w:rPr>
          <w:i/>
          <w:sz w:val="22"/>
          <w:szCs w:val="22"/>
        </w:rPr>
      </w:pPr>
      <w:bookmarkStart w:id="33" w:name="_Hlk121063111"/>
    </w:p>
    <w:p w14:paraId="546A6672" w14:textId="77777777" w:rsidR="00FC5B2B" w:rsidRDefault="00FC5B2B" w:rsidP="00FC5B2B">
      <w:pPr>
        <w:rPr>
          <w:sz w:val="22"/>
          <w:szCs w:val="22"/>
        </w:rPr>
      </w:pPr>
      <w:r w:rsidRPr="006A5750">
        <w:rPr>
          <w:sz w:val="22"/>
          <w:szCs w:val="22"/>
        </w:rPr>
        <w:t>In terms of change</w:t>
      </w:r>
      <w:r>
        <w:rPr>
          <w:sz w:val="22"/>
          <w:szCs w:val="22"/>
        </w:rPr>
        <w:t>s</w:t>
      </w:r>
      <w:r w:rsidRPr="006A5750">
        <w:rPr>
          <w:sz w:val="22"/>
          <w:szCs w:val="22"/>
        </w:rPr>
        <w:t xml:space="preserve"> in the </w:t>
      </w:r>
      <w:r>
        <w:rPr>
          <w:sz w:val="22"/>
          <w:szCs w:val="22"/>
        </w:rPr>
        <w:t xml:space="preserve">OHP member </w:t>
      </w:r>
      <w:r w:rsidRPr="006A5750">
        <w:rPr>
          <w:sz w:val="22"/>
          <w:szCs w:val="22"/>
        </w:rPr>
        <w:t xml:space="preserve">demographics from the pre-CCBHC period to the first post-implementation period, </w:t>
      </w:r>
      <w:r>
        <w:rPr>
          <w:sz w:val="22"/>
          <w:szCs w:val="22"/>
        </w:rPr>
        <w:t xml:space="preserve">there were increases in the proportion of OHP CCBHC service users under </w:t>
      </w:r>
      <w:r w:rsidRPr="006A5750">
        <w:rPr>
          <w:sz w:val="22"/>
          <w:szCs w:val="22"/>
        </w:rPr>
        <w:t>2</w:t>
      </w:r>
      <w:r>
        <w:rPr>
          <w:sz w:val="22"/>
          <w:szCs w:val="22"/>
        </w:rPr>
        <w:t>6 years; the over 65</w:t>
      </w:r>
      <w:r w:rsidRPr="006A5750">
        <w:rPr>
          <w:sz w:val="22"/>
          <w:szCs w:val="22"/>
        </w:rPr>
        <w:t xml:space="preserve"> year</w:t>
      </w:r>
      <w:r>
        <w:rPr>
          <w:sz w:val="22"/>
          <w:szCs w:val="22"/>
        </w:rPr>
        <w:t>s</w:t>
      </w:r>
      <w:r w:rsidRPr="006A5750">
        <w:rPr>
          <w:sz w:val="22"/>
          <w:szCs w:val="22"/>
        </w:rPr>
        <w:t xml:space="preserve"> group increased by 3.6% (mean age decreased by 1.1 years)</w:t>
      </w:r>
      <w:r>
        <w:rPr>
          <w:sz w:val="22"/>
          <w:szCs w:val="22"/>
        </w:rPr>
        <w:t xml:space="preserve">. The proportion of service users identifying as female gender increased by 1%, while rural and remote resident proportions increased by 0.7% and 1.0%, respectively. The 1.0% percent increase in remote residents is notably large relative to its much smaller proportion overall and is consistent with rural site increases noted above. </w:t>
      </w:r>
    </w:p>
    <w:p w14:paraId="10E8F3F7" w14:textId="77777777" w:rsidR="00FC5B2B" w:rsidRDefault="00FC5B2B" w:rsidP="00FC5B2B">
      <w:pPr>
        <w:rPr>
          <w:sz w:val="22"/>
          <w:szCs w:val="22"/>
        </w:rPr>
      </w:pPr>
    </w:p>
    <w:p w14:paraId="53E40852" w14:textId="77777777" w:rsidR="00FC5B2B" w:rsidRDefault="00FC5B2B" w:rsidP="00FC5B2B">
      <w:pPr>
        <w:rPr>
          <w:sz w:val="22"/>
          <w:szCs w:val="22"/>
        </w:rPr>
      </w:pPr>
      <w:r>
        <w:rPr>
          <w:sz w:val="22"/>
          <w:szCs w:val="22"/>
        </w:rPr>
        <w:t>While increasing OHP service users overall, there is evidence of increases in the relative diversity of the CCBHC service user population in terms of race/ethnicity. Service users identifying in race/ethnicity categories other than White or Other/Multi-ethnic/Unknown increased by 2.8% overall, with the largest change for the Hispanic/Latino/a/x group at 1.8%. From the perspective of relative growth (i.e., taking into account the initial size of the populations), the American Indian/Alaskan Native and the Native Hawaiian/Pacific Islander groups also had large growth</w:t>
      </w:r>
      <w:r w:rsidRPr="006A5750">
        <w:rPr>
          <w:sz w:val="22"/>
          <w:szCs w:val="22"/>
        </w:rPr>
        <w:t xml:space="preserve">. </w:t>
      </w:r>
      <w:r>
        <w:rPr>
          <w:sz w:val="22"/>
          <w:szCs w:val="22"/>
        </w:rPr>
        <w:t xml:space="preserve">Changes in reporting over time led to reductions in the “unknown” categories for both race/ethnicity and primary language that incur increases in “known” groups. With adjustments in amount and rate of change of “unknown”, the increases for race/ethnicity still appear to hold in general. </w:t>
      </w:r>
    </w:p>
    <w:p w14:paraId="6E201777" w14:textId="77777777" w:rsidR="00FC5B2B" w:rsidRDefault="00FC5B2B" w:rsidP="00FC5B2B">
      <w:pPr>
        <w:rPr>
          <w:sz w:val="22"/>
          <w:szCs w:val="22"/>
        </w:rPr>
      </w:pPr>
    </w:p>
    <w:p w14:paraId="60311CBA" w14:textId="77777777" w:rsidR="00FC5B2B" w:rsidRDefault="00FC5B2B" w:rsidP="00FC5B2B">
      <w:pPr>
        <w:rPr>
          <w:sz w:val="22"/>
          <w:szCs w:val="22"/>
        </w:rPr>
      </w:pPr>
      <w:r>
        <w:rPr>
          <w:sz w:val="22"/>
          <w:szCs w:val="22"/>
        </w:rPr>
        <w:t>Similar to the changes in race/ethnicity, there appear to be some evidence of an increase in the number of OHP service users with a primary language other than English. English and Spanish p</w:t>
      </w:r>
      <w:r w:rsidRPr="006A5750">
        <w:rPr>
          <w:sz w:val="22"/>
          <w:szCs w:val="22"/>
        </w:rPr>
        <w:t>rimary language</w:t>
      </w:r>
      <w:r>
        <w:rPr>
          <w:sz w:val="22"/>
          <w:szCs w:val="22"/>
        </w:rPr>
        <w:t xml:space="preserve"> both increased; however, from a proportional change perspective, and considering the reduction in “unknown”, it appears that only Spanish primary language is likely to have actually increased. Quarterly enrollment was steady and average </w:t>
      </w:r>
      <w:r w:rsidRPr="006A5750">
        <w:rPr>
          <w:rFonts w:cstheme="minorHAnsi"/>
          <w:sz w:val="22"/>
          <w:szCs w:val="22"/>
        </w:rPr>
        <w:t>CDPS prospective risk score</w:t>
      </w:r>
      <w:r>
        <w:rPr>
          <w:rFonts w:cstheme="minorHAnsi"/>
          <w:sz w:val="22"/>
          <w:szCs w:val="22"/>
        </w:rPr>
        <w:t>s</w:t>
      </w:r>
      <w:r w:rsidRPr="006A5750">
        <w:rPr>
          <w:rFonts w:cstheme="minorHAnsi"/>
          <w:sz w:val="22"/>
          <w:szCs w:val="22"/>
        </w:rPr>
        <w:t xml:space="preserve"> </w:t>
      </w:r>
      <w:r>
        <w:rPr>
          <w:rFonts w:cstheme="minorHAnsi"/>
          <w:sz w:val="22"/>
          <w:szCs w:val="22"/>
        </w:rPr>
        <w:t xml:space="preserve">for </w:t>
      </w:r>
      <w:r w:rsidRPr="006A5750">
        <w:rPr>
          <w:rFonts w:cstheme="minorHAnsi"/>
          <w:sz w:val="22"/>
          <w:szCs w:val="22"/>
        </w:rPr>
        <w:t>physical</w:t>
      </w:r>
      <w:r>
        <w:rPr>
          <w:rFonts w:cstheme="minorHAnsi"/>
          <w:sz w:val="22"/>
          <w:szCs w:val="22"/>
        </w:rPr>
        <w:t xml:space="preserve"> and</w:t>
      </w:r>
      <w:r w:rsidRPr="006A5750">
        <w:rPr>
          <w:rFonts w:cstheme="minorHAnsi"/>
          <w:sz w:val="22"/>
          <w:szCs w:val="22"/>
        </w:rPr>
        <w:t xml:space="preserve"> mental health</w:t>
      </w:r>
      <w:r w:rsidRPr="006A5750">
        <w:rPr>
          <w:sz w:val="22"/>
          <w:szCs w:val="22"/>
        </w:rPr>
        <w:t xml:space="preserve"> </w:t>
      </w:r>
      <w:r>
        <w:rPr>
          <w:sz w:val="22"/>
          <w:szCs w:val="22"/>
        </w:rPr>
        <w:t xml:space="preserve">conditions increased slightly. </w:t>
      </w:r>
      <w:r w:rsidRPr="006A5750">
        <w:rPr>
          <w:sz w:val="22"/>
          <w:szCs w:val="22"/>
        </w:rPr>
        <w:t>These patterns of change, while attenuated, generally held for the second post-implementation period.</w:t>
      </w:r>
      <w:r>
        <w:rPr>
          <w:sz w:val="22"/>
          <w:szCs w:val="22"/>
        </w:rPr>
        <w:t xml:space="preserve"> An e</w:t>
      </w:r>
      <w:r w:rsidRPr="006A5750">
        <w:rPr>
          <w:sz w:val="22"/>
          <w:szCs w:val="22"/>
        </w:rPr>
        <w:t>xception w</w:t>
      </w:r>
      <w:r>
        <w:rPr>
          <w:sz w:val="22"/>
          <w:szCs w:val="22"/>
        </w:rPr>
        <w:t>as a large increase in</w:t>
      </w:r>
      <w:r w:rsidRPr="006A5750">
        <w:rPr>
          <w:sz w:val="22"/>
          <w:szCs w:val="22"/>
        </w:rPr>
        <w:t xml:space="preserve"> full year e</w:t>
      </w:r>
      <w:r>
        <w:rPr>
          <w:sz w:val="22"/>
          <w:szCs w:val="22"/>
        </w:rPr>
        <w:t>nrollment</w:t>
      </w:r>
      <w:r w:rsidRPr="006A5750">
        <w:rPr>
          <w:sz w:val="22"/>
          <w:szCs w:val="22"/>
        </w:rPr>
        <w:t xml:space="preserve"> (</w:t>
      </w:r>
      <w:r>
        <w:rPr>
          <w:sz w:val="22"/>
          <w:szCs w:val="22"/>
        </w:rPr>
        <w:t>6.</w:t>
      </w:r>
      <w:r w:rsidRPr="006A5750">
        <w:rPr>
          <w:sz w:val="22"/>
          <w:szCs w:val="22"/>
        </w:rPr>
        <w:t xml:space="preserve">1%) </w:t>
      </w:r>
      <w:r>
        <w:rPr>
          <w:sz w:val="22"/>
          <w:szCs w:val="22"/>
        </w:rPr>
        <w:t xml:space="preserve">that likely reflected pandemic related changes in OHP enrollment processes. </w:t>
      </w:r>
    </w:p>
    <w:p w14:paraId="61108070" w14:textId="77777777" w:rsidR="00FC5B2B" w:rsidRPr="006A5750" w:rsidRDefault="00FC5B2B" w:rsidP="00FC5B2B">
      <w:pPr>
        <w:rPr>
          <w:rFonts w:cstheme="minorHAnsi"/>
          <w:i/>
          <w:sz w:val="22"/>
          <w:szCs w:val="22"/>
        </w:rPr>
      </w:pPr>
    </w:p>
    <w:p w14:paraId="65A276BC" w14:textId="3E135DD6" w:rsidR="008F573D" w:rsidRPr="00C81486" w:rsidRDefault="008F573D" w:rsidP="00C81486">
      <w:pPr>
        <w:spacing w:after="120"/>
        <w:rPr>
          <w:b/>
          <w:bCs/>
          <w:i/>
          <w:iCs/>
          <w:color w:val="6A7F0F"/>
          <w:highlight w:val="white"/>
        </w:rPr>
      </w:pPr>
      <w:r w:rsidRPr="00C81486">
        <w:rPr>
          <w:b/>
          <w:bCs/>
          <w:i/>
          <w:iCs/>
          <w:color w:val="6A7F0F"/>
          <w:highlight w:val="white"/>
        </w:rPr>
        <w:t>Changes in Location of Service for CCBHC OHP Members</w:t>
      </w:r>
      <w:bookmarkEnd w:id="33"/>
    </w:p>
    <w:p w14:paraId="292C063E" w14:textId="58C67B63" w:rsidR="005B7416" w:rsidRDefault="005B7416" w:rsidP="005B7416">
      <w:pPr>
        <w:rPr>
          <w:sz w:val="22"/>
          <w:szCs w:val="22"/>
        </w:rPr>
      </w:pPr>
      <w:r>
        <w:rPr>
          <w:sz w:val="22"/>
          <w:szCs w:val="22"/>
        </w:rPr>
        <w:t xml:space="preserve">CCBHC clinic leaders indicated that the program provided an ability to move services “outside the four walls” and thus increase access by meeting service users where they are. </w:t>
      </w:r>
      <w:hyperlink w:anchor="Appendix6_Table_A62a" w:history="1">
        <w:r w:rsidRPr="005B7416">
          <w:rPr>
            <w:rStyle w:val="Hyperlink"/>
            <w:sz w:val="22"/>
            <w:szCs w:val="22"/>
          </w:rPr>
          <w:t>Table A</w:t>
        </w:r>
        <w:r w:rsidR="0067134D">
          <w:rPr>
            <w:rStyle w:val="Hyperlink"/>
            <w:sz w:val="22"/>
            <w:szCs w:val="22"/>
          </w:rPr>
          <w:t>7</w:t>
        </w:r>
        <w:r w:rsidRPr="005B7416">
          <w:rPr>
            <w:rStyle w:val="Hyperlink"/>
            <w:sz w:val="22"/>
            <w:szCs w:val="22"/>
          </w:rPr>
          <w:t>.2a</w:t>
        </w:r>
      </w:hyperlink>
      <w:r w:rsidRPr="00A106BD">
        <w:rPr>
          <w:sz w:val="22"/>
          <w:szCs w:val="22"/>
        </w:rPr>
        <w:t xml:space="preserve"> </w:t>
      </w:r>
      <w:r w:rsidR="00517AAA">
        <w:rPr>
          <w:sz w:val="22"/>
          <w:szCs w:val="22"/>
        </w:rPr>
        <w:t>and</w:t>
      </w:r>
      <w:r w:rsidRPr="00A106BD">
        <w:rPr>
          <w:sz w:val="22"/>
          <w:szCs w:val="22"/>
        </w:rPr>
        <w:t xml:space="preserve"> </w:t>
      </w:r>
      <w:hyperlink w:anchor="Appendix6_Table_A62b" w:history="1">
        <w:r w:rsidRPr="005B7416">
          <w:rPr>
            <w:rStyle w:val="Hyperlink"/>
            <w:sz w:val="22"/>
            <w:szCs w:val="22"/>
          </w:rPr>
          <w:t>A</w:t>
        </w:r>
        <w:r w:rsidR="0067134D">
          <w:rPr>
            <w:rStyle w:val="Hyperlink"/>
            <w:sz w:val="22"/>
            <w:szCs w:val="22"/>
          </w:rPr>
          <w:t>7</w:t>
        </w:r>
        <w:r w:rsidRPr="005B7416">
          <w:rPr>
            <w:rStyle w:val="Hyperlink"/>
            <w:sz w:val="22"/>
            <w:szCs w:val="22"/>
          </w:rPr>
          <w:t>.2b</w:t>
        </w:r>
      </w:hyperlink>
      <w:r w:rsidRPr="00A106BD">
        <w:rPr>
          <w:sz w:val="22"/>
          <w:szCs w:val="22"/>
        </w:rPr>
        <w:t xml:space="preserve"> in</w:t>
      </w:r>
      <w:r>
        <w:rPr>
          <w:sz w:val="22"/>
          <w:szCs w:val="22"/>
        </w:rPr>
        <w:t xml:space="preserve"> </w:t>
      </w:r>
      <w:hyperlink w:anchor="_Appendix_7:_Additional" w:history="1">
        <w:r w:rsidRPr="005B7416">
          <w:rPr>
            <w:rStyle w:val="Hyperlink"/>
            <w:sz w:val="22"/>
            <w:szCs w:val="22"/>
          </w:rPr>
          <w:t>Appendix 7</w:t>
        </w:r>
      </w:hyperlink>
      <w:r>
        <w:rPr>
          <w:sz w:val="22"/>
          <w:szCs w:val="22"/>
        </w:rPr>
        <w:t xml:space="preserve"> provide detail on the distribution of service location over time as recorded on claims through Place of Service (POS) codes. The distributions over time are broken down by recorded race/ethnicity and urban/rural/remote residence. These codes tend to be oriented towards assessing location in terms of medical facility type, as opposed to community location, but provide some insights into service location changes that occurred through the CCBHC program. Overall, this evidence is consistent with CCBHCs reporting shifts in service location “outside the four walls”, although office or clinic-based care, as recorded in claims data, was still the predominant location of service. While the focus here is on change over time, attention should be paid to the distribution of service location across service user subpopulations to assure that differences do not reflect inequities.  </w:t>
      </w:r>
    </w:p>
    <w:p w14:paraId="18F84C39" w14:textId="77777777" w:rsidR="005B7416" w:rsidRDefault="005B7416" w:rsidP="005B7416">
      <w:pPr>
        <w:rPr>
          <w:i/>
          <w:sz w:val="22"/>
          <w:szCs w:val="22"/>
          <w:u w:val="single"/>
        </w:rPr>
      </w:pPr>
    </w:p>
    <w:p w14:paraId="0890D611" w14:textId="77777777" w:rsidR="005B7416" w:rsidRDefault="005B7416" w:rsidP="005B7416">
      <w:pPr>
        <w:rPr>
          <w:rFonts w:cstheme="minorHAnsi"/>
          <w:sz w:val="22"/>
          <w:szCs w:val="22"/>
        </w:rPr>
      </w:pPr>
      <w:r w:rsidRPr="009F7654">
        <w:rPr>
          <w:rFonts w:cstheme="minorHAnsi"/>
          <w:sz w:val="22"/>
          <w:szCs w:val="22"/>
        </w:rPr>
        <w:t>From baseline to the first post-</w:t>
      </w:r>
      <w:r>
        <w:rPr>
          <w:rFonts w:cstheme="minorHAnsi"/>
          <w:sz w:val="22"/>
          <w:szCs w:val="22"/>
        </w:rPr>
        <w:t>implementation</w:t>
      </w:r>
      <w:r w:rsidRPr="009F7654">
        <w:rPr>
          <w:rFonts w:cstheme="minorHAnsi"/>
          <w:sz w:val="22"/>
          <w:szCs w:val="22"/>
        </w:rPr>
        <w:t xml:space="preserve"> period, there were increases in service</w:t>
      </w:r>
      <w:r>
        <w:rPr>
          <w:rFonts w:cstheme="minorHAnsi"/>
          <w:sz w:val="22"/>
          <w:szCs w:val="22"/>
        </w:rPr>
        <w:t xml:space="preserve"> locations indicated as </w:t>
      </w:r>
      <w:r w:rsidRPr="009F7654">
        <w:rPr>
          <w:rFonts w:cstheme="minorHAnsi"/>
          <w:sz w:val="22"/>
          <w:szCs w:val="22"/>
        </w:rPr>
        <w:t>Temporary Housing/Unhoused</w:t>
      </w:r>
      <w:r>
        <w:rPr>
          <w:rFonts w:cstheme="minorHAnsi"/>
          <w:sz w:val="22"/>
          <w:szCs w:val="22"/>
        </w:rPr>
        <w:t xml:space="preserve"> and</w:t>
      </w:r>
      <w:r w:rsidRPr="009F7654">
        <w:rPr>
          <w:rFonts w:cstheme="minorHAnsi"/>
          <w:sz w:val="22"/>
          <w:szCs w:val="22"/>
        </w:rPr>
        <w:t xml:space="preserve"> Correctional Facilities</w:t>
      </w:r>
      <w:r>
        <w:rPr>
          <w:rFonts w:cstheme="minorHAnsi"/>
          <w:sz w:val="22"/>
          <w:szCs w:val="22"/>
        </w:rPr>
        <w:t xml:space="preserve">; however, the volume of these services was very low overall. </w:t>
      </w:r>
      <w:r w:rsidRPr="009F7654">
        <w:rPr>
          <w:rFonts w:cstheme="minorHAnsi"/>
          <w:sz w:val="22"/>
          <w:szCs w:val="22"/>
        </w:rPr>
        <w:t xml:space="preserve">School, Home, </w:t>
      </w:r>
      <w:r>
        <w:rPr>
          <w:rFonts w:cstheme="minorHAnsi"/>
          <w:sz w:val="22"/>
          <w:szCs w:val="22"/>
        </w:rPr>
        <w:t xml:space="preserve">and </w:t>
      </w:r>
      <w:r w:rsidRPr="009F7654">
        <w:rPr>
          <w:rFonts w:cstheme="minorHAnsi"/>
          <w:sz w:val="22"/>
          <w:szCs w:val="22"/>
        </w:rPr>
        <w:t>Assisted Living/Group Home</w:t>
      </w:r>
      <w:r>
        <w:rPr>
          <w:rFonts w:cstheme="minorHAnsi"/>
          <w:sz w:val="22"/>
          <w:szCs w:val="22"/>
        </w:rPr>
        <w:t xml:space="preserve"> also increased and were of larger volume</w:t>
      </w:r>
      <w:r w:rsidRPr="009F7654">
        <w:rPr>
          <w:rFonts w:cstheme="minorHAnsi"/>
          <w:sz w:val="22"/>
          <w:szCs w:val="22"/>
        </w:rPr>
        <w:t>. Of these, all had persisting increases from baseline in the second post-</w:t>
      </w:r>
      <w:r>
        <w:rPr>
          <w:rFonts w:cstheme="minorHAnsi"/>
          <w:sz w:val="22"/>
          <w:szCs w:val="22"/>
        </w:rPr>
        <w:t>implementation</w:t>
      </w:r>
      <w:r w:rsidRPr="009F7654">
        <w:rPr>
          <w:rFonts w:cstheme="minorHAnsi"/>
          <w:sz w:val="22"/>
          <w:szCs w:val="22"/>
        </w:rPr>
        <w:t xml:space="preserve"> period except for Home and Correctional Facility. </w:t>
      </w:r>
      <w:r>
        <w:rPr>
          <w:rFonts w:cstheme="minorHAnsi"/>
          <w:sz w:val="22"/>
          <w:szCs w:val="22"/>
        </w:rPr>
        <w:t xml:space="preserve">Increases in </w:t>
      </w:r>
      <w:r w:rsidRPr="009F7654">
        <w:rPr>
          <w:rFonts w:cstheme="minorHAnsi"/>
          <w:sz w:val="22"/>
          <w:szCs w:val="22"/>
        </w:rPr>
        <w:t>Temporary Housing/Unhoused</w:t>
      </w:r>
      <w:r>
        <w:rPr>
          <w:rFonts w:cstheme="minorHAnsi"/>
          <w:sz w:val="22"/>
          <w:szCs w:val="22"/>
        </w:rPr>
        <w:t>-</w:t>
      </w:r>
      <w:r w:rsidRPr="009F7654">
        <w:rPr>
          <w:rFonts w:cstheme="minorHAnsi"/>
          <w:sz w:val="22"/>
          <w:szCs w:val="22"/>
        </w:rPr>
        <w:t>located services</w:t>
      </w:r>
      <w:r>
        <w:rPr>
          <w:rFonts w:cstheme="minorHAnsi"/>
          <w:sz w:val="22"/>
          <w:szCs w:val="22"/>
        </w:rPr>
        <w:t xml:space="preserve"> largely occurred among urban residents. All race/ethnicity categories</w:t>
      </w:r>
      <w:r w:rsidRPr="009F7654">
        <w:rPr>
          <w:rFonts w:cstheme="minorHAnsi"/>
          <w:sz w:val="22"/>
          <w:szCs w:val="22"/>
        </w:rPr>
        <w:t xml:space="preserve">, other than Middle Eastern, had increases </w:t>
      </w:r>
      <w:r>
        <w:rPr>
          <w:rFonts w:cstheme="minorHAnsi"/>
          <w:sz w:val="22"/>
          <w:szCs w:val="22"/>
        </w:rPr>
        <w:t>by</w:t>
      </w:r>
      <w:r w:rsidRPr="009F7654">
        <w:rPr>
          <w:rFonts w:cstheme="minorHAnsi"/>
          <w:sz w:val="22"/>
          <w:szCs w:val="22"/>
        </w:rPr>
        <w:t xml:space="preserve"> the second post-</w:t>
      </w:r>
      <w:r>
        <w:rPr>
          <w:rFonts w:cstheme="minorHAnsi"/>
          <w:sz w:val="22"/>
          <w:szCs w:val="22"/>
        </w:rPr>
        <w:t>implementation</w:t>
      </w:r>
      <w:r w:rsidRPr="009F7654">
        <w:rPr>
          <w:rFonts w:cstheme="minorHAnsi"/>
          <w:sz w:val="22"/>
          <w:szCs w:val="22"/>
        </w:rPr>
        <w:t xml:space="preserve"> period. </w:t>
      </w:r>
      <w:r>
        <w:rPr>
          <w:rFonts w:cstheme="minorHAnsi"/>
          <w:sz w:val="22"/>
          <w:szCs w:val="22"/>
        </w:rPr>
        <w:t xml:space="preserve">Increases in </w:t>
      </w:r>
      <w:r w:rsidRPr="009F7654">
        <w:rPr>
          <w:rFonts w:cstheme="minorHAnsi"/>
          <w:sz w:val="22"/>
          <w:szCs w:val="22"/>
        </w:rPr>
        <w:t>Correctional Facility</w:t>
      </w:r>
      <w:r>
        <w:rPr>
          <w:rFonts w:cstheme="minorHAnsi"/>
          <w:sz w:val="22"/>
          <w:szCs w:val="22"/>
        </w:rPr>
        <w:t>-</w:t>
      </w:r>
      <w:r w:rsidRPr="009F7654">
        <w:rPr>
          <w:rFonts w:cstheme="minorHAnsi"/>
          <w:sz w:val="22"/>
          <w:szCs w:val="22"/>
        </w:rPr>
        <w:t xml:space="preserve">located services </w:t>
      </w:r>
      <w:r>
        <w:rPr>
          <w:rFonts w:cstheme="minorHAnsi"/>
          <w:sz w:val="22"/>
          <w:szCs w:val="22"/>
        </w:rPr>
        <w:t>were predominately in rural or remote areas and centered in service users identifying as American Indian/Alaskan Native</w:t>
      </w:r>
      <w:r w:rsidRPr="009F7654">
        <w:rPr>
          <w:rFonts w:cstheme="minorHAnsi"/>
          <w:sz w:val="22"/>
          <w:szCs w:val="22"/>
        </w:rPr>
        <w:t>, Hispanic/Latino/a/x, White, and Other/Multi</w:t>
      </w:r>
      <w:r>
        <w:rPr>
          <w:rFonts w:cstheme="minorHAnsi"/>
          <w:sz w:val="22"/>
          <w:szCs w:val="22"/>
        </w:rPr>
        <w:t>-</w:t>
      </w:r>
      <w:r w:rsidRPr="009F7654">
        <w:rPr>
          <w:rFonts w:cstheme="minorHAnsi"/>
          <w:sz w:val="22"/>
          <w:szCs w:val="22"/>
        </w:rPr>
        <w:t xml:space="preserve">ethnic/Unknown. </w:t>
      </w:r>
    </w:p>
    <w:p w14:paraId="3770F5DC" w14:textId="77777777" w:rsidR="005B7416" w:rsidRDefault="005B7416" w:rsidP="005B7416">
      <w:pPr>
        <w:rPr>
          <w:sz w:val="22"/>
          <w:szCs w:val="22"/>
        </w:rPr>
      </w:pPr>
    </w:p>
    <w:p w14:paraId="0394CECB" w14:textId="77777777" w:rsidR="005B7416" w:rsidRDefault="005B7416" w:rsidP="005B7416">
      <w:pPr>
        <w:rPr>
          <w:rFonts w:cstheme="minorHAnsi"/>
          <w:sz w:val="22"/>
          <w:szCs w:val="22"/>
        </w:rPr>
      </w:pPr>
      <w:r w:rsidRPr="009F7654">
        <w:rPr>
          <w:rFonts w:cstheme="minorHAnsi"/>
          <w:sz w:val="22"/>
          <w:szCs w:val="22"/>
        </w:rPr>
        <w:t>School</w:t>
      </w:r>
      <w:r>
        <w:rPr>
          <w:rFonts w:cstheme="minorHAnsi"/>
          <w:sz w:val="22"/>
          <w:szCs w:val="22"/>
        </w:rPr>
        <w:t>-</w:t>
      </w:r>
      <w:r w:rsidRPr="009F7654">
        <w:rPr>
          <w:rFonts w:cstheme="minorHAnsi"/>
          <w:sz w:val="22"/>
          <w:szCs w:val="22"/>
        </w:rPr>
        <w:t xml:space="preserve">based services followed </w:t>
      </w:r>
      <w:r>
        <w:rPr>
          <w:rFonts w:cstheme="minorHAnsi"/>
          <w:sz w:val="22"/>
          <w:szCs w:val="22"/>
        </w:rPr>
        <w:t>a similar</w:t>
      </w:r>
      <w:r w:rsidRPr="009F7654">
        <w:rPr>
          <w:rFonts w:cstheme="minorHAnsi"/>
          <w:sz w:val="22"/>
          <w:szCs w:val="22"/>
        </w:rPr>
        <w:t xml:space="preserve"> </w:t>
      </w:r>
      <w:r>
        <w:rPr>
          <w:rFonts w:cstheme="minorHAnsi"/>
          <w:sz w:val="22"/>
          <w:szCs w:val="22"/>
        </w:rPr>
        <w:t>p</w:t>
      </w:r>
      <w:r w:rsidRPr="009F7654">
        <w:rPr>
          <w:rFonts w:cstheme="minorHAnsi"/>
          <w:sz w:val="22"/>
          <w:szCs w:val="22"/>
        </w:rPr>
        <w:t xml:space="preserve">attern </w:t>
      </w:r>
      <w:r>
        <w:rPr>
          <w:rFonts w:cstheme="minorHAnsi"/>
          <w:sz w:val="22"/>
          <w:szCs w:val="22"/>
        </w:rPr>
        <w:t xml:space="preserve">across most racial/ethnic groups with increases centered more in rural areas, while declining in remote areas. </w:t>
      </w:r>
      <w:r w:rsidRPr="009F7654">
        <w:rPr>
          <w:rFonts w:cstheme="minorHAnsi"/>
          <w:sz w:val="22"/>
          <w:szCs w:val="22"/>
        </w:rPr>
        <w:t>Home</w:t>
      </w:r>
      <w:r>
        <w:rPr>
          <w:rFonts w:cstheme="minorHAnsi"/>
          <w:sz w:val="22"/>
          <w:szCs w:val="22"/>
        </w:rPr>
        <w:t>-</w:t>
      </w:r>
      <w:r w:rsidRPr="009F7654">
        <w:rPr>
          <w:rFonts w:cstheme="minorHAnsi"/>
          <w:sz w:val="22"/>
          <w:szCs w:val="22"/>
        </w:rPr>
        <w:t xml:space="preserve">based services </w:t>
      </w:r>
      <w:r>
        <w:rPr>
          <w:rFonts w:cstheme="minorHAnsi"/>
          <w:sz w:val="22"/>
          <w:szCs w:val="22"/>
        </w:rPr>
        <w:t>also followed the same pattern</w:t>
      </w:r>
      <w:r w:rsidRPr="009F7654">
        <w:rPr>
          <w:rFonts w:cstheme="minorHAnsi"/>
          <w:sz w:val="22"/>
          <w:szCs w:val="22"/>
        </w:rPr>
        <w:t xml:space="preserve"> for most groups</w:t>
      </w:r>
      <w:r>
        <w:rPr>
          <w:rFonts w:cstheme="minorHAnsi"/>
          <w:sz w:val="22"/>
          <w:szCs w:val="22"/>
        </w:rPr>
        <w:t xml:space="preserve"> but increases were more focused in rural and remote areas and among </w:t>
      </w:r>
      <w:r w:rsidRPr="009F7654">
        <w:rPr>
          <w:rFonts w:cstheme="minorHAnsi"/>
          <w:sz w:val="22"/>
          <w:szCs w:val="22"/>
        </w:rPr>
        <w:t xml:space="preserve">Asian and </w:t>
      </w:r>
      <w:r>
        <w:rPr>
          <w:rFonts w:cstheme="minorHAnsi"/>
          <w:sz w:val="22"/>
          <w:szCs w:val="22"/>
        </w:rPr>
        <w:t xml:space="preserve">Native Hawaiian/Pacific Islander service users. Increases in Assisted Living/Group Home-based services occurred for most groups, particularly by the second, pandemic-related period, and were more focused in rural and remote areas and among White and </w:t>
      </w:r>
      <w:r w:rsidRPr="009F7654">
        <w:rPr>
          <w:rFonts w:cstheme="minorHAnsi"/>
          <w:sz w:val="22"/>
          <w:szCs w:val="22"/>
        </w:rPr>
        <w:t>Hispanic/Latino/a/x</w:t>
      </w:r>
      <w:r>
        <w:rPr>
          <w:rFonts w:cstheme="minorHAnsi"/>
          <w:sz w:val="22"/>
          <w:szCs w:val="22"/>
        </w:rPr>
        <w:t xml:space="preserve"> service users.</w:t>
      </w:r>
    </w:p>
    <w:p w14:paraId="7ECDFB5D" w14:textId="77777777" w:rsidR="005B7416" w:rsidRDefault="005B7416" w:rsidP="005B7416">
      <w:pPr>
        <w:rPr>
          <w:rFonts w:cstheme="minorHAnsi"/>
          <w:sz w:val="22"/>
          <w:szCs w:val="22"/>
        </w:rPr>
      </w:pPr>
    </w:p>
    <w:p w14:paraId="0E42C0E6" w14:textId="5695D932" w:rsidR="008F573D" w:rsidRDefault="005B7416" w:rsidP="008F573D">
      <w:pPr>
        <w:rPr>
          <w:rFonts w:cstheme="minorHAnsi"/>
          <w:sz w:val="22"/>
          <w:szCs w:val="22"/>
        </w:rPr>
      </w:pPr>
      <w:r>
        <w:rPr>
          <w:rFonts w:cstheme="minorHAnsi"/>
          <w:sz w:val="22"/>
          <w:szCs w:val="22"/>
        </w:rPr>
        <w:t xml:space="preserve">Telehealth services increased in the first </w:t>
      </w:r>
      <w:r w:rsidRPr="009F7654">
        <w:rPr>
          <w:rFonts w:cstheme="minorHAnsi"/>
          <w:sz w:val="22"/>
          <w:szCs w:val="22"/>
        </w:rPr>
        <w:t>post-</w:t>
      </w:r>
      <w:r>
        <w:rPr>
          <w:rFonts w:cstheme="minorHAnsi"/>
          <w:sz w:val="22"/>
          <w:szCs w:val="22"/>
        </w:rPr>
        <w:t>implementation</w:t>
      </w:r>
      <w:r w:rsidRPr="009F7654">
        <w:rPr>
          <w:rFonts w:cstheme="minorHAnsi"/>
          <w:sz w:val="22"/>
          <w:szCs w:val="22"/>
        </w:rPr>
        <w:t xml:space="preserve"> </w:t>
      </w:r>
      <w:r>
        <w:rPr>
          <w:rFonts w:cstheme="minorHAnsi"/>
          <w:sz w:val="22"/>
          <w:szCs w:val="22"/>
        </w:rPr>
        <w:t xml:space="preserve">period and then jumped significantly in the second </w:t>
      </w:r>
      <w:r w:rsidRPr="009F7654">
        <w:rPr>
          <w:rFonts w:cstheme="minorHAnsi"/>
          <w:sz w:val="22"/>
          <w:szCs w:val="22"/>
        </w:rPr>
        <w:t>post-</w:t>
      </w:r>
      <w:r>
        <w:rPr>
          <w:rFonts w:cstheme="minorHAnsi"/>
          <w:sz w:val="22"/>
          <w:szCs w:val="22"/>
        </w:rPr>
        <w:t>implementation</w:t>
      </w:r>
      <w:r w:rsidRPr="009F7654">
        <w:rPr>
          <w:rFonts w:cstheme="minorHAnsi"/>
          <w:sz w:val="22"/>
          <w:szCs w:val="22"/>
        </w:rPr>
        <w:t xml:space="preserve"> </w:t>
      </w:r>
      <w:r>
        <w:rPr>
          <w:rFonts w:cstheme="minorHAnsi"/>
          <w:sz w:val="22"/>
          <w:szCs w:val="22"/>
        </w:rPr>
        <w:t>period overall and for all groups,</w:t>
      </w:r>
      <w:r w:rsidRPr="009F7654">
        <w:rPr>
          <w:rFonts w:cstheme="minorHAnsi"/>
          <w:sz w:val="22"/>
          <w:szCs w:val="22"/>
        </w:rPr>
        <w:t xml:space="preserve"> but the </w:t>
      </w:r>
      <w:r>
        <w:rPr>
          <w:rFonts w:cstheme="minorHAnsi"/>
          <w:sz w:val="22"/>
          <w:szCs w:val="22"/>
        </w:rPr>
        <w:t>Native Hawaiian/Pacific Islander</w:t>
      </w:r>
      <w:r w:rsidRPr="009F7654">
        <w:rPr>
          <w:rFonts w:cstheme="minorHAnsi"/>
          <w:sz w:val="22"/>
          <w:szCs w:val="22"/>
        </w:rPr>
        <w:t xml:space="preserve"> </w:t>
      </w:r>
      <w:r>
        <w:rPr>
          <w:rFonts w:cstheme="minorHAnsi"/>
          <w:sz w:val="22"/>
          <w:szCs w:val="22"/>
        </w:rPr>
        <w:t>service users</w:t>
      </w:r>
      <w:r w:rsidRPr="009F7654">
        <w:rPr>
          <w:rFonts w:cstheme="minorHAnsi"/>
          <w:sz w:val="22"/>
          <w:szCs w:val="22"/>
        </w:rPr>
        <w:t xml:space="preserve"> had significantly less than average use of these services</w:t>
      </w:r>
      <w:r>
        <w:rPr>
          <w:rFonts w:cstheme="minorHAnsi"/>
          <w:sz w:val="22"/>
          <w:szCs w:val="22"/>
        </w:rPr>
        <w:t xml:space="preserve"> in general, and remote area residents also had slightly less than average use. Finally, several groups had large proportions of their services coded as “Other Place of Service” (</w:t>
      </w:r>
      <w:r w:rsidR="009835B9">
        <w:rPr>
          <w:rFonts w:cstheme="minorHAnsi"/>
          <w:sz w:val="22"/>
          <w:szCs w:val="22"/>
        </w:rPr>
        <w:t>e.g.</w:t>
      </w:r>
      <w:r>
        <w:rPr>
          <w:rFonts w:cstheme="minorHAnsi"/>
          <w:sz w:val="22"/>
          <w:szCs w:val="22"/>
        </w:rPr>
        <w:t>, Native Hawaiian/Pacific Islander at 60-70%). Although this category did not increase in general, it may reflect some of the “outside the four walls” services and outreach that CCBHCs are providing. Notably, Black/African American service users were one group that had an increase in this area and also had distinctly higher MHSIP scores related to access.</w:t>
      </w:r>
      <w:r w:rsidR="008F573D">
        <w:rPr>
          <w:rFonts w:cstheme="minorHAnsi"/>
          <w:sz w:val="22"/>
          <w:szCs w:val="22"/>
        </w:rPr>
        <w:t xml:space="preserve"> </w:t>
      </w:r>
    </w:p>
    <w:p w14:paraId="31EF0290" w14:textId="77777777" w:rsidR="008F573D" w:rsidRDefault="008F573D" w:rsidP="008F573D">
      <w:pPr>
        <w:rPr>
          <w:rFonts w:cstheme="minorHAnsi"/>
          <w:sz w:val="22"/>
          <w:szCs w:val="22"/>
        </w:rPr>
      </w:pPr>
    </w:p>
    <w:p w14:paraId="394211F9" w14:textId="77777777" w:rsidR="008F573D" w:rsidRPr="00C81486" w:rsidRDefault="008F573D" w:rsidP="00C81486">
      <w:pPr>
        <w:spacing w:after="120"/>
        <w:rPr>
          <w:b/>
          <w:bCs/>
          <w:i/>
          <w:iCs/>
          <w:color w:val="6A7F0F"/>
          <w:highlight w:val="white"/>
        </w:rPr>
      </w:pPr>
      <w:r w:rsidRPr="00C81486">
        <w:rPr>
          <w:b/>
          <w:bCs/>
          <w:i/>
          <w:iCs/>
          <w:color w:val="6A7F0F"/>
          <w:highlight w:val="white"/>
        </w:rPr>
        <w:t>Changes in Types of Service for CCBHC OHP Members</w:t>
      </w:r>
    </w:p>
    <w:p w14:paraId="603865A9" w14:textId="5B80EB81" w:rsidR="005B7416" w:rsidRDefault="005B7416" w:rsidP="005B7416">
      <w:pPr>
        <w:rPr>
          <w:rFonts w:cstheme="minorHAnsi"/>
          <w:sz w:val="22"/>
          <w:szCs w:val="22"/>
        </w:rPr>
      </w:pPr>
      <w:r>
        <w:rPr>
          <w:rFonts w:cstheme="minorHAnsi"/>
          <w:sz w:val="22"/>
          <w:szCs w:val="22"/>
        </w:rPr>
        <w:t xml:space="preserve">CCBHC providers spoke to the ability to provide additional or differently distributed services under the </w:t>
      </w:r>
      <w:r w:rsidRPr="00880BA5">
        <w:rPr>
          <w:rFonts w:cstheme="minorHAnsi"/>
          <w:sz w:val="22"/>
          <w:szCs w:val="22"/>
        </w:rPr>
        <w:t xml:space="preserve">program, in part given the PPS payments they receive. </w:t>
      </w:r>
      <w:hyperlink w:anchor="Appendix6_Table_A63a" w:history="1">
        <w:r w:rsidRPr="005B7416">
          <w:rPr>
            <w:rStyle w:val="Hyperlink"/>
            <w:rFonts w:cstheme="minorHAnsi"/>
            <w:sz w:val="22"/>
            <w:szCs w:val="22"/>
          </w:rPr>
          <w:t>Tables A</w:t>
        </w:r>
        <w:r w:rsidR="0067134D">
          <w:rPr>
            <w:rStyle w:val="Hyperlink"/>
            <w:rFonts w:cstheme="minorHAnsi"/>
            <w:sz w:val="22"/>
            <w:szCs w:val="22"/>
          </w:rPr>
          <w:t>7</w:t>
        </w:r>
        <w:r w:rsidRPr="005B7416">
          <w:rPr>
            <w:rStyle w:val="Hyperlink"/>
            <w:rFonts w:cstheme="minorHAnsi"/>
            <w:sz w:val="22"/>
            <w:szCs w:val="22"/>
          </w:rPr>
          <w:t>.3a</w:t>
        </w:r>
      </w:hyperlink>
      <w:r w:rsidRPr="00880BA5">
        <w:rPr>
          <w:rFonts w:cstheme="minorHAnsi"/>
          <w:sz w:val="22"/>
          <w:szCs w:val="22"/>
        </w:rPr>
        <w:t xml:space="preserve"> </w:t>
      </w:r>
      <w:r w:rsidR="00517AAA">
        <w:rPr>
          <w:rFonts w:cstheme="minorHAnsi"/>
          <w:sz w:val="22"/>
          <w:szCs w:val="22"/>
        </w:rPr>
        <w:t>and</w:t>
      </w:r>
      <w:r w:rsidRPr="00880BA5">
        <w:rPr>
          <w:rFonts w:cstheme="minorHAnsi"/>
          <w:sz w:val="22"/>
          <w:szCs w:val="22"/>
        </w:rPr>
        <w:t xml:space="preserve"> </w:t>
      </w:r>
      <w:hyperlink w:anchor="Appendix6_Table_A63b" w:history="1">
        <w:r w:rsidRPr="005B7416">
          <w:rPr>
            <w:rStyle w:val="Hyperlink"/>
            <w:rFonts w:cstheme="minorHAnsi"/>
            <w:sz w:val="22"/>
            <w:szCs w:val="22"/>
          </w:rPr>
          <w:t>A</w:t>
        </w:r>
        <w:r w:rsidR="0067134D">
          <w:rPr>
            <w:rStyle w:val="Hyperlink"/>
            <w:rFonts w:cstheme="minorHAnsi"/>
            <w:sz w:val="22"/>
            <w:szCs w:val="22"/>
          </w:rPr>
          <w:t>7</w:t>
        </w:r>
        <w:r w:rsidRPr="005B7416">
          <w:rPr>
            <w:rStyle w:val="Hyperlink"/>
            <w:rFonts w:cstheme="minorHAnsi"/>
            <w:sz w:val="22"/>
            <w:szCs w:val="22"/>
          </w:rPr>
          <w:t>.3b</w:t>
        </w:r>
      </w:hyperlink>
      <w:r w:rsidRPr="00880BA5">
        <w:rPr>
          <w:rFonts w:cstheme="minorHAnsi"/>
          <w:sz w:val="22"/>
          <w:szCs w:val="22"/>
        </w:rPr>
        <w:t xml:space="preserve"> in </w:t>
      </w:r>
      <w:hyperlink w:anchor="_Appendix_7:_Additional" w:history="1">
        <w:r w:rsidRPr="005B7416">
          <w:rPr>
            <w:rStyle w:val="Hyperlink"/>
            <w:rFonts w:cstheme="minorHAnsi"/>
            <w:sz w:val="22"/>
            <w:szCs w:val="22"/>
          </w:rPr>
          <w:t>Appendix 7</w:t>
        </w:r>
      </w:hyperlink>
      <w:r>
        <w:rPr>
          <w:rFonts w:cstheme="minorHAnsi"/>
          <w:sz w:val="22"/>
          <w:szCs w:val="22"/>
        </w:rPr>
        <w:t xml:space="preserve"> </w:t>
      </w:r>
      <w:r w:rsidRPr="00880BA5">
        <w:rPr>
          <w:rFonts w:cstheme="minorHAnsi"/>
          <w:sz w:val="22"/>
          <w:szCs w:val="22"/>
        </w:rPr>
        <w:t>provide</w:t>
      </w:r>
      <w:r>
        <w:rPr>
          <w:rFonts w:cstheme="minorHAnsi"/>
          <w:sz w:val="22"/>
          <w:szCs w:val="22"/>
        </w:rPr>
        <w:t xml:space="preserve"> assessment of the change in the proportions of OHP claims over time for the nine core service types required of CCBHCs: Crisis Services; Outpatient Behavioral Health Services; Primary Care Screening and Monitoring; Patient Centered Treatment Planning; Peer Services; Psychiatric Rehabilitation Services; Screening, Assessment and Diagnosis; and Targeted Case Management. These proportional changes are assessed overall, by race/ethnicity, and by urban/rural/remote residence.</w:t>
      </w:r>
    </w:p>
    <w:p w14:paraId="59196EDC" w14:textId="77777777" w:rsidR="008F573D" w:rsidRDefault="008F573D" w:rsidP="008F573D">
      <w:pPr>
        <w:rPr>
          <w:rFonts w:cstheme="minorHAnsi"/>
          <w:sz w:val="22"/>
          <w:szCs w:val="22"/>
        </w:rPr>
      </w:pPr>
    </w:p>
    <w:p w14:paraId="10CBAF74" w14:textId="77777777" w:rsidR="005B7416" w:rsidRDefault="005B7416" w:rsidP="005B7416">
      <w:pPr>
        <w:rPr>
          <w:rFonts w:cstheme="minorHAnsi"/>
          <w:sz w:val="22"/>
          <w:szCs w:val="22"/>
        </w:rPr>
      </w:pPr>
      <w:r>
        <w:rPr>
          <w:rFonts w:cstheme="minorHAnsi"/>
          <w:sz w:val="22"/>
          <w:szCs w:val="22"/>
        </w:rPr>
        <w:t xml:space="preserve">Overall, there is evidence that the CCBHCs shifted emphasis in several service areas, including increases (at least by the second post-implementation period) in the volume of Peer Services provided. The shifts in service patterns varied by race/ethnicity and residence of service users. The proportion of Crisis Services increased overall, for all residence types and all race/ethnicity groups other than Middle Eastern. Outpatient Behavioral Health Services were largely unchanged with some increase for urban residents and Hispanic/Latino/a/x, Black/African American, and Native Hawaiian/Pacific Islander service users. Primary Care Screening and Monitoring decreased overall but increased for remote residents and followed the overall pattern for all race/ethnicity groups. It should be noted that this category may be under-counted as the claims used in this analysis are only for those services provided directly by CCBHCs (primary care is contracted out by some CCBHCs). </w:t>
      </w:r>
    </w:p>
    <w:p w14:paraId="7116AD56" w14:textId="77777777" w:rsidR="005B7416" w:rsidRDefault="005B7416" w:rsidP="005B7416">
      <w:pPr>
        <w:rPr>
          <w:rFonts w:cstheme="minorHAnsi"/>
          <w:sz w:val="22"/>
          <w:szCs w:val="22"/>
        </w:rPr>
      </w:pPr>
    </w:p>
    <w:p w14:paraId="705C68CD" w14:textId="7320990E" w:rsidR="008F573D" w:rsidRPr="009F7654" w:rsidRDefault="005B7416" w:rsidP="008F573D">
      <w:pPr>
        <w:rPr>
          <w:rFonts w:cstheme="minorHAnsi"/>
          <w:sz w:val="22"/>
          <w:szCs w:val="22"/>
        </w:rPr>
      </w:pPr>
      <w:r>
        <w:rPr>
          <w:rFonts w:cstheme="minorHAnsi"/>
          <w:sz w:val="22"/>
          <w:szCs w:val="22"/>
        </w:rPr>
        <w:t xml:space="preserve">Patient Centered Treatment Planning increased in both </w:t>
      </w:r>
      <w:r w:rsidRPr="009F7654">
        <w:rPr>
          <w:rFonts w:cstheme="minorHAnsi"/>
          <w:sz w:val="22"/>
          <w:szCs w:val="22"/>
        </w:rPr>
        <w:t>post-</w:t>
      </w:r>
      <w:r>
        <w:rPr>
          <w:rFonts w:cstheme="minorHAnsi"/>
          <w:sz w:val="22"/>
          <w:szCs w:val="22"/>
        </w:rPr>
        <w:t>implementation</w:t>
      </w:r>
      <w:r w:rsidRPr="009F7654">
        <w:rPr>
          <w:rFonts w:cstheme="minorHAnsi"/>
          <w:sz w:val="22"/>
          <w:szCs w:val="22"/>
        </w:rPr>
        <w:t xml:space="preserve"> </w:t>
      </w:r>
      <w:r>
        <w:rPr>
          <w:rFonts w:cstheme="minorHAnsi"/>
          <w:sz w:val="22"/>
          <w:szCs w:val="22"/>
        </w:rPr>
        <w:t xml:space="preserve">periods and increased mostly for urban residents and across all race/ethnic groups. Peer Services decreased slightly and then increased. This pattern was largely the same across race/ethnicity groups but did not increase consistently for rural residents. Psychiatric Rehabilitation Services increased with these increases more concentrated among urban residents and Asian and Black/African American service users. Screening, Assessment and Diagnosis services increased into the first </w:t>
      </w:r>
      <w:r w:rsidRPr="009F7654">
        <w:rPr>
          <w:rFonts w:cstheme="minorHAnsi"/>
          <w:sz w:val="22"/>
          <w:szCs w:val="22"/>
        </w:rPr>
        <w:t>post-</w:t>
      </w:r>
      <w:r>
        <w:rPr>
          <w:rFonts w:cstheme="minorHAnsi"/>
          <w:sz w:val="22"/>
          <w:szCs w:val="22"/>
        </w:rPr>
        <w:t>implementation</w:t>
      </w:r>
      <w:r w:rsidRPr="009F7654">
        <w:rPr>
          <w:rFonts w:cstheme="minorHAnsi"/>
          <w:sz w:val="22"/>
          <w:szCs w:val="22"/>
        </w:rPr>
        <w:t xml:space="preserve"> </w:t>
      </w:r>
      <w:r>
        <w:rPr>
          <w:rFonts w:cstheme="minorHAnsi"/>
          <w:sz w:val="22"/>
          <w:szCs w:val="22"/>
        </w:rPr>
        <w:t xml:space="preserve">period then were largely unchanged relative to baseline by the second </w:t>
      </w:r>
      <w:r w:rsidRPr="009F7654">
        <w:rPr>
          <w:rFonts w:cstheme="minorHAnsi"/>
          <w:sz w:val="22"/>
          <w:szCs w:val="22"/>
        </w:rPr>
        <w:t>post-</w:t>
      </w:r>
      <w:r>
        <w:rPr>
          <w:rFonts w:cstheme="minorHAnsi"/>
          <w:sz w:val="22"/>
          <w:szCs w:val="22"/>
        </w:rPr>
        <w:t>implementation</w:t>
      </w:r>
      <w:r w:rsidRPr="009F7654">
        <w:rPr>
          <w:rFonts w:cstheme="minorHAnsi"/>
          <w:sz w:val="22"/>
          <w:szCs w:val="22"/>
        </w:rPr>
        <w:t xml:space="preserve"> </w:t>
      </w:r>
      <w:r>
        <w:rPr>
          <w:rFonts w:cstheme="minorHAnsi"/>
          <w:sz w:val="22"/>
          <w:szCs w:val="22"/>
        </w:rPr>
        <w:t>period. Rural and remote residents had increases in this service type across both periods. Native Hawaiians/Pacific Islanders experienced more consistent increases. Targeted Case Management decreased in both periods overall but was increased for remote residents in the second period and flat to increasing for Asian, Black/African American and Middle Eastern service users.</w:t>
      </w:r>
    </w:p>
    <w:p w14:paraId="242D7656" w14:textId="77777777" w:rsidR="008F573D" w:rsidRDefault="008F573D" w:rsidP="008F573D">
      <w:pPr>
        <w:rPr>
          <w:rFonts w:cstheme="minorHAnsi"/>
          <w:sz w:val="22"/>
          <w:szCs w:val="22"/>
        </w:rPr>
      </w:pPr>
    </w:p>
    <w:p w14:paraId="7F219070" w14:textId="77777777" w:rsidR="008F573D" w:rsidRPr="0021692A" w:rsidRDefault="008F573D" w:rsidP="00C81486">
      <w:pPr>
        <w:spacing w:after="120"/>
        <w:rPr>
          <w:rFonts w:eastAsia="Calibri"/>
          <w:b/>
          <w:bCs/>
          <w:i/>
          <w:iCs/>
          <w:color w:val="6A7F0F"/>
          <w:highlight w:val="white"/>
        </w:rPr>
      </w:pPr>
      <w:r w:rsidRPr="00C81486">
        <w:rPr>
          <w:b/>
          <w:bCs/>
          <w:i/>
          <w:iCs/>
          <w:color w:val="6A7F0F"/>
          <w:highlight w:val="white"/>
        </w:rPr>
        <w:t>CCBHC Model’s Impact on Access to Behavioral Health</w:t>
      </w:r>
      <w:r w:rsidRPr="0021692A">
        <w:rPr>
          <w:rFonts w:eastAsia="Calibri"/>
          <w:b/>
          <w:bCs/>
          <w:i/>
          <w:iCs/>
          <w:color w:val="6A7F0F"/>
          <w:highlight w:val="white"/>
        </w:rPr>
        <w:t xml:space="preserve"> </w:t>
      </w:r>
    </w:p>
    <w:p w14:paraId="4B1EFE99" w14:textId="77777777" w:rsidR="005B7416" w:rsidRDefault="005B7416" w:rsidP="005B7416">
      <w:pPr>
        <w:pStyle w:val="ListParagraph"/>
        <w:ind w:left="0"/>
        <w:rPr>
          <w:rFonts w:ascii="Calibri" w:eastAsia="Calibri" w:hAnsi="Calibri" w:cs="Calibri"/>
          <w:sz w:val="22"/>
          <w:szCs w:val="22"/>
        </w:rPr>
      </w:pPr>
      <w:r>
        <w:rPr>
          <w:rFonts w:ascii="Calibri" w:eastAsia="Calibri" w:hAnsi="Calibri" w:cs="Calibri"/>
          <w:sz w:val="22"/>
          <w:szCs w:val="22"/>
        </w:rPr>
        <w:t>CCBHC clinic leaders reported expanding their capacity to provide behavioral health services in their communities through implementation of the CCBHC model. They attributed this to the PPS payment model, which enabled them to hire more staff and provide “outside the four walls” care in their communities. “Outside the four walls” care enabled the CCBHCs to offer low-barrier access in diverse, non-clinic settings, such as schools, public spaces, jails, and community partner locations, or wherever service users were located. One clinic leader reflected that some people felt stigma coming into a behavioral health clinic and stated: “</w:t>
      </w:r>
      <w:r>
        <w:rPr>
          <w:rFonts w:ascii="Calibri" w:eastAsia="Calibri" w:hAnsi="Calibri" w:cs="Calibri"/>
          <w:i/>
          <w:sz w:val="22"/>
          <w:szCs w:val="22"/>
        </w:rPr>
        <w:t>We try not to make people come into our four walls if that's not where they're comfortable</w:t>
      </w:r>
      <w:r>
        <w:rPr>
          <w:rFonts w:ascii="Calibri" w:eastAsia="Calibri" w:hAnsi="Calibri" w:cs="Calibri"/>
          <w:sz w:val="22"/>
          <w:szCs w:val="22"/>
        </w:rPr>
        <w:t>” (Lead Clinical 08). Several clinic leaders appreciated the flexibility that the CCBHC program provided in allowing them to experiment with new ways to conduct outreach and provide services within the community. One explained: “</w:t>
      </w:r>
      <w:r>
        <w:rPr>
          <w:rFonts w:ascii="Calibri" w:eastAsia="Calibri" w:hAnsi="Calibri" w:cs="Calibri"/>
          <w:i/>
          <w:sz w:val="22"/>
          <w:szCs w:val="22"/>
        </w:rPr>
        <w:t>What I appreciate about CCBHC and that model [is] understanding that we can do things in a nontraditional standard … that will help break down those barriers to getting care</w:t>
      </w:r>
      <w:r>
        <w:rPr>
          <w:rFonts w:ascii="Calibri" w:eastAsia="Calibri" w:hAnsi="Calibri" w:cs="Calibri"/>
          <w:sz w:val="22"/>
          <w:szCs w:val="22"/>
        </w:rPr>
        <w:t xml:space="preserve">” (Lead Clinical 04). </w:t>
      </w:r>
    </w:p>
    <w:p w14:paraId="7F19FDC2" w14:textId="77777777" w:rsidR="005B7416" w:rsidRDefault="005B7416" w:rsidP="005B7416">
      <w:pPr>
        <w:pStyle w:val="ListParagraph"/>
        <w:ind w:left="0"/>
        <w:rPr>
          <w:rFonts w:ascii="Calibri" w:eastAsia="Calibri" w:hAnsi="Calibri" w:cs="Calibri"/>
          <w:sz w:val="22"/>
          <w:szCs w:val="22"/>
        </w:rPr>
      </w:pPr>
    </w:p>
    <w:p w14:paraId="2328F4F0" w14:textId="66C9EBCF" w:rsidR="005B7416" w:rsidRPr="0083431D" w:rsidRDefault="005B7416" w:rsidP="005B7416">
      <w:pPr>
        <w:pStyle w:val="ListParagraph"/>
        <w:ind w:left="0"/>
        <w:rPr>
          <w:sz w:val="22"/>
          <w:szCs w:val="22"/>
        </w:rPr>
      </w:pPr>
      <w:r>
        <w:rPr>
          <w:rFonts w:ascii="Calibri" w:eastAsia="Calibri" w:hAnsi="Calibri" w:cs="Calibri"/>
          <w:sz w:val="22"/>
          <w:szCs w:val="22"/>
        </w:rPr>
        <w:t xml:space="preserve">This model of care was articulated by </w:t>
      </w:r>
      <w:r w:rsidRPr="00574F9B">
        <w:rPr>
          <w:rFonts w:ascii="Calibri" w:eastAsia="Calibri" w:hAnsi="Calibri" w:cs="Calibri"/>
          <w:sz w:val="22"/>
          <w:szCs w:val="22"/>
        </w:rPr>
        <w:t xml:space="preserve">several clinic leaders as focusing on holistic, person-centered care. </w:t>
      </w:r>
      <w:r>
        <w:rPr>
          <w:rStyle w:val="hgkelc"/>
          <w:sz w:val="22"/>
          <w:szCs w:val="22"/>
          <w:lang w:val="en"/>
        </w:rPr>
        <w:t>In this context, a</w:t>
      </w:r>
      <w:r w:rsidRPr="00574F9B">
        <w:rPr>
          <w:rStyle w:val="hgkelc"/>
          <w:sz w:val="22"/>
          <w:szCs w:val="22"/>
          <w:lang w:val="en"/>
        </w:rPr>
        <w:t xml:space="preserve"> holistic approach means to provide support that considers the whole person, attending to their physical, emotional, social and spiritual wellbeing. As reported by service users, some CCBHCs embrace this concept and operationalize it so that service users have access to a broad range of supports. </w:t>
      </w:r>
      <w:r w:rsidRPr="0083431D">
        <w:rPr>
          <w:sz w:val="22"/>
          <w:szCs w:val="22"/>
        </w:rPr>
        <w:t>One clinic leader commented: “</w:t>
      </w:r>
      <w:r w:rsidRPr="001911BF">
        <w:rPr>
          <w:i/>
          <w:iCs/>
          <w:sz w:val="22"/>
          <w:szCs w:val="22"/>
        </w:rPr>
        <w:t>I think of CCBHC as an ACT team for everybody. You get a multidisciplinary team and that model of outreach, meeting people where they're at… You don't have to be SPMI to get a wraparound team of professionals with a peer and an MA and a physical health physician and your SUD or mental health clinician</w:t>
      </w:r>
      <w:r w:rsidRPr="0083431D">
        <w:rPr>
          <w:sz w:val="22"/>
          <w:szCs w:val="22"/>
        </w:rPr>
        <w:t>” (Lead Administrator 13).</w:t>
      </w:r>
    </w:p>
    <w:p w14:paraId="75495F98" w14:textId="77777777" w:rsidR="005B7416" w:rsidRPr="00574F9B" w:rsidRDefault="005B7416" w:rsidP="005B7416">
      <w:pPr>
        <w:rPr>
          <w:rFonts w:ascii="Calibri" w:eastAsia="Calibri" w:hAnsi="Calibri" w:cs="Calibri"/>
          <w:sz w:val="22"/>
          <w:szCs w:val="22"/>
        </w:rPr>
      </w:pPr>
    </w:p>
    <w:p w14:paraId="1AE54434" w14:textId="77777777" w:rsidR="005B7416" w:rsidRDefault="005B7416" w:rsidP="005B7416">
      <w:pPr>
        <w:rPr>
          <w:rFonts w:ascii="Calibri" w:eastAsia="Calibri" w:hAnsi="Calibri" w:cs="Calibri"/>
          <w:sz w:val="22"/>
          <w:szCs w:val="22"/>
        </w:rPr>
      </w:pPr>
      <w:r w:rsidRPr="00574F9B">
        <w:rPr>
          <w:rFonts w:ascii="Calibri" w:eastAsia="Calibri" w:hAnsi="Calibri" w:cs="Calibri"/>
          <w:sz w:val="22"/>
          <w:szCs w:val="22"/>
        </w:rPr>
        <w:t>Many clinic leaders hired new staff members as part of their CCBHC implementation. The quantity and</w:t>
      </w:r>
      <w:r>
        <w:rPr>
          <w:rFonts w:ascii="Calibri" w:eastAsia="Calibri" w:hAnsi="Calibri" w:cs="Calibri"/>
          <w:sz w:val="22"/>
          <w:szCs w:val="22"/>
        </w:rPr>
        <w:t xml:space="preserve"> type of staff hired varied across the CCBHCs, depending on the size and needs of each clinic, and included qualified mental health professionals (QMHP), qualified mental health associates (QMHA), peer mentors, primary care physicians, nurses, medical assistants, community health workers, care coordinators, navigators, case managers, and data analysts. Position titles varied across clinics; the scope of this evaluation did not include a detailed analysis of how and to what extent the clinic workforce changed following CCBHC implementation. In general, clinic leaders reported that the PPS payment model enabled them to expand their staff, which in turn enabled them to provide the core CCBHC services. These new support positions improved the flexibility of clinics to rapidly engage new service users, relieve clinicians of some administrative and/or treatment burdens (in some clinics), and coordinate care both internally and externally. </w:t>
      </w:r>
    </w:p>
    <w:p w14:paraId="68764DA3" w14:textId="77777777" w:rsidR="005B7416" w:rsidRDefault="005B7416" w:rsidP="005B7416">
      <w:pPr>
        <w:rPr>
          <w:rFonts w:ascii="Calibri" w:eastAsia="Calibri" w:hAnsi="Calibri" w:cs="Calibri"/>
          <w:sz w:val="22"/>
          <w:szCs w:val="22"/>
          <w:highlight w:val="white"/>
        </w:rPr>
      </w:pPr>
    </w:p>
    <w:p w14:paraId="1D8D62C0" w14:textId="77777777" w:rsidR="005B7416" w:rsidRDefault="005B7416" w:rsidP="005B7416">
      <w:pPr>
        <w:rPr>
          <w:rFonts w:ascii="Calibri" w:eastAsia="Calibri" w:hAnsi="Calibri" w:cs="Calibri"/>
          <w:sz w:val="22"/>
          <w:szCs w:val="22"/>
        </w:rPr>
      </w:pPr>
      <w:r>
        <w:rPr>
          <w:rFonts w:ascii="Calibri" w:eastAsia="Calibri" w:hAnsi="Calibri" w:cs="Calibri"/>
          <w:sz w:val="22"/>
          <w:szCs w:val="22"/>
        </w:rPr>
        <w:t>Several</w:t>
      </w:r>
      <w:r w:rsidDel="00DE7046">
        <w:rPr>
          <w:rFonts w:ascii="Calibri" w:eastAsia="Calibri" w:hAnsi="Calibri" w:cs="Calibri"/>
          <w:sz w:val="22"/>
          <w:szCs w:val="22"/>
        </w:rPr>
        <w:t xml:space="preserve"> </w:t>
      </w:r>
      <w:r>
        <w:rPr>
          <w:rFonts w:ascii="Calibri" w:eastAsia="Calibri" w:hAnsi="Calibri" w:cs="Calibri"/>
          <w:sz w:val="22"/>
          <w:szCs w:val="22"/>
        </w:rPr>
        <w:t>clinic leaders reported efforts to optimize workflow in order to facilitate their intake processes, which also helped them to expand rapid access to new service users. However, some clinic leaders noted that barriers to ensuring quality follow-up care remain, including staffing shortages, high turnover rates, and inadequate data infrastructure systems. Clinic leaders requested more support from OHA for training in collecting and using disaggregated data.</w:t>
      </w:r>
    </w:p>
    <w:p w14:paraId="54120EE1" w14:textId="77777777" w:rsidR="005B7416" w:rsidRDefault="005B7416" w:rsidP="005B7416">
      <w:pPr>
        <w:rPr>
          <w:rFonts w:ascii="Calibri" w:eastAsia="Calibri" w:hAnsi="Calibri" w:cs="Calibri"/>
          <w:sz w:val="22"/>
          <w:szCs w:val="22"/>
          <w:highlight w:val="white"/>
        </w:rPr>
      </w:pPr>
    </w:p>
    <w:p w14:paraId="6B5B760C" w14:textId="3425D451" w:rsidR="008F573D" w:rsidRDefault="005B7416" w:rsidP="008F573D">
      <w:pPr>
        <w:rPr>
          <w:rFonts w:ascii="Calibri" w:eastAsia="Calibri" w:hAnsi="Calibri" w:cs="Calibri"/>
          <w:sz w:val="22"/>
          <w:szCs w:val="22"/>
        </w:rPr>
      </w:pPr>
      <w:r>
        <w:rPr>
          <w:rFonts w:ascii="Calibri" w:eastAsia="Calibri" w:hAnsi="Calibri" w:cs="Calibri"/>
          <w:sz w:val="22"/>
          <w:szCs w:val="22"/>
        </w:rPr>
        <w:t>Several clinic leaders were grateful that the PPS payment model enabled them to expand their peer workforce, which was beneficial to building trust in the community and facilitating outreach to various community groups. One clinic leader said: “</w:t>
      </w:r>
      <w:r>
        <w:rPr>
          <w:rFonts w:ascii="Calibri" w:eastAsia="Calibri" w:hAnsi="Calibri" w:cs="Calibri"/>
          <w:i/>
          <w:sz w:val="22"/>
          <w:szCs w:val="22"/>
        </w:rPr>
        <w:t>The biggest challenge and change for us was understanding and starting to really utilize peers. With CCBHC, that became a ‘no brainer’ that we were going to need to be really embracing the integrated use of peers throughout our programs. And now it's almost like a microwave oven, how did we ever live without this?</w:t>
      </w:r>
      <w:r>
        <w:rPr>
          <w:rFonts w:ascii="Calibri" w:eastAsia="Calibri" w:hAnsi="Calibri" w:cs="Calibri"/>
          <w:sz w:val="22"/>
          <w:szCs w:val="22"/>
        </w:rPr>
        <w:t>” (Lead Clinical 10). Another clinic leader noted:</w:t>
      </w:r>
      <w:r w:rsidR="0021692A">
        <w:rPr>
          <w:rFonts w:ascii="Calibri" w:eastAsia="Calibri" w:hAnsi="Calibri" w:cs="Calibri"/>
          <w:sz w:val="22"/>
          <w:szCs w:val="22"/>
        </w:rPr>
        <w:br/>
      </w:r>
    </w:p>
    <w:p w14:paraId="2ECC8D7E" w14:textId="77777777" w:rsidR="008F573D" w:rsidRPr="0021692A" w:rsidRDefault="008F573D" w:rsidP="008F573D">
      <w:pPr>
        <w:ind w:left="720"/>
        <w:rPr>
          <w:rFonts w:ascii="Calibri" w:eastAsia="Calibri" w:hAnsi="Calibri" w:cs="Calibri"/>
          <w:color w:val="000000" w:themeColor="text1"/>
          <w:sz w:val="22"/>
          <w:szCs w:val="22"/>
        </w:rPr>
      </w:pPr>
      <w:r w:rsidRPr="0021692A">
        <w:rPr>
          <w:rFonts w:ascii="Calibri" w:eastAsia="Calibri" w:hAnsi="Calibri" w:cs="Calibri"/>
          <w:i/>
          <w:color w:val="000000" w:themeColor="text1"/>
          <w:sz w:val="22"/>
          <w:szCs w:val="22"/>
        </w:rPr>
        <w:t>The peer workforce is probably one of the most transformative developments in the field of behavioral health since psychotropic medications. It's their sense of mission, their ability to reach the people we really need to see. Culturally, there was a shift from, ‘Treat the clients who are compliant and show up for appointments,’ to ‘Figure out how to reach the clients who don't, because they're actually the ones showing up in the ED, jail, and in the homeless camp that we should be trying to reach.’</w:t>
      </w:r>
      <w:r w:rsidRPr="0021692A">
        <w:rPr>
          <w:rFonts w:ascii="Calibri" w:eastAsia="Calibri" w:hAnsi="Calibri" w:cs="Calibri"/>
          <w:color w:val="000000" w:themeColor="text1"/>
          <w:sz w:val="22"/>
          <w:szCs w:val="22"/>
        </w:rPr>
        <w:t xml:space="preserve"> (Lead Administrator 09)</w:t>
      </w:r>
    </w:p>
    <w:p w14:paraId="785CDA3C" w14:textId="77777777" w:rsidR="008F573D" w:rsidRDefault="008F573D" w:rsidP="008F573D">
      <w:pPr>
        <w:ind w:left="720"/>
        <w:rPr>
          <w:rFonts w:ascii="Calibri" w:eastAsia="Calibri" w:hAnsi="Calibri" w:cs="Calibri"/>
          <w:sz w:val="22"/>
          <w:szCs w:val="22"/>
        </w:rPr>
      </w:pPr>
    </w:p>
    <w:p w14:paraId="17A11B6D" w14:textId="30F67772" w:rsidR="005B7416" w:rsidRDefault="005B7416" w:rsidP="005B7416">
      <w:pPr>
        <w:textAlignment w:val="baseline"/>
        <w:rPr>
          <w:rFonts w:cstheme="minorHAnsi"/>
          <w:color w:val="242424"/>
          <w:sz w:val="22"/>
          <w:szCs w:val="22"/>
        </w:rPr>
      </w:pPr>
      <w:r>
        <w:rPr>
          <w:rFonts w:ascii="Calibri" w:eastAsia="Calibri" w:hAnsi="Calibri" w:cs="Calibri"/>
          <w:sz w:val="22"/>
          <w:szCs w:val="22"/>
        </w:rPr>
        <w:t>While all clinic leaders reported providing services to underserved populations, several clinic leaders recognized that the provision of culturally and linguistically responsive services, whether internally or with community referrals, is an area for improvement going forward. One clinic leader said: “</w:t>
      </w:r>
      <w:r>
        <w:rPr>
          <w:rFonts w:ascii="Calibri" w:eastAsia="Calibri" w:hAnsi="Calibri" w:cs="Calibri"/>
          <w:i/>
          <w:sz w:val="22"/>
          <w:szCs w:val="22"/>
        </w:rPr>
        <w:t>I think [accessing culturally responsive services] is a place where we could do better, where we maybe have the box checked, but we were not fully meeting the spirit of CCBHC in really identifying resources for clients</w:t>
      </w:r>
      <w:r>
        <w:rPr>
          <w:rFonts w:ascii="Calibri" w:eastAsia="Calibri" w:hAnsi="Calibri" w:cs="Calibri"/>
          <w:sz w:val="22"/>
          <w:szCs w:val="22"/>
        </w:rPr>
        <w:t>” (Lead Administrator 06). Other clinic leaders indicated that they have goals to increase outreach to specific populations within their communities. One clinic leader said: “</w:t>
      </w:r>
      <w:r>
        <w:rPr>
          <w:rFonts w:ascii="Calibri" w:eastAsia="Calibri" w:hAnsi="Calibri" w:cs="Calibri"/>
          <w:i/>
          <w:sz w:val="22"/>
          <w:szCs w:val="22"/>
        </w:rPr>
        <w:t>Our penetration into our Hispanic community is lower than we would like it to be. We are exploring different ways that we can find culturally and linguistically appropriate and sensitive approaches to come to these communities and see what kinds of support would make sense in their communities</w:t>
      </w:r>
      <w:r>
        <w:rPr>
          <w:rFonts w:ascii="Calibri" w:eastAsia="Calibri" w:hAnsi="Calibri" w:cs="Calibri"/>
          <w:sz w:val="22"/>
          <w:szCs w:val="22"/>
        </w:rPr>
        <w:t xml:space="preserve">” (Lead Clinical 10). </w:t>
      </w:r>
      <w:r w:rsidRPr="005D5939">
        <w:rPr>
          <w:rFonts w:cstheme="minorHAnsi"/>
          <w:color w:val="242424"/>
          <w:sz w:val="22"/>
          <w:szCs w:val="22"/>
        </w:rPr>
        <w:t>Additionally, several CCBHC clinic leaders identified low-income individuals as a group in their community for whom they were specifically aiming to increase outreach efforts and/or targeted services.</w:t>
      </w:r>
    </w:p>
    <w:p w14:paraId="7A51248E" w14:textId="77777777" w:rsidR="00FC2ED2" w:rsidRPr="005D5939" w:rsidRDefault="00FC2ED2" w:rsidP="005B7416">
      <w:pPr>
        <w:textAlignment w:val="baseline"/>
        <w:rPr>
          <w:rFonts w:cstheme="minorHAnsi"/>
          <w:color w:val="242424"/>
          <w:sz w:val="22"/>
          <w:szCs w:val="22"/>
        </w:rPr>
      </w:pPr>
    </w:p>
    <w:p w14:paraId="3F972309" w14:textId="23B0D337" w:rsidR="008F573D" w:rsidRDefault="005B7416" w:rsidP="008F573D">
      <w:pPr>
        <w:rPr>
          <w:rFonts w:eastAsia="Calibri" w:cstheme="minorHAnsi"/>
          <w:sz w:val="22"/>
          <w:szCs w:val="22"/>
        </w:rPr>
      </w:pPr>
      <w:r>
        <w:rPr>
          <w:rFonts w:ascii="Calibri" w:eastAsia="Calibri" w:hAnsi="Calibri" w:cs="Calibri"/>
          <w:sz w:val="22"/>
          <w:szCs w:val="22"/>
        </w:rPr>
        <w:t>Many clinic leaders recognized the importance of hiring diverse staff. One said: “</w:t>
      </w:r>
      <w:r>
        <w:rPr>
          <w:rFonts w:ascii="Calibri" w:eastAsia="Calibri" w:hAnsi="Calibri" w:cs="Calibri"/>
          <w:i/>
          <w:sz w:val="22"/>
          <w:szCs w:val="22"/>
        </w:rPr>
        <w:t>We make an effort to make sure that our staff are diversified and represent our community well</w:t>
      </w:r>
      <w:r>
        <w:rPr>
          <w:rFonts w:ascii="Calibri" w:eastAsia="Calibri" w:hAnsi="Calibri" w:cs="Calibri"/>
          <w:sz w:val="22"/>
          <w:szCs w:val="22"/>
        </w:rPr>
        <w:t>” (Lead Administrator 01). Several clinic leaders prioritized hiring staff who were bilingual, in order to help serve their Spanish-</w:t>
      </w:r>
      <w:r w:rsidRPr="00191396">
        <w:rPr>
          <w:rFonts w:eastAsia="Calibri" w:cstheme="minorHAnsi"/>
          <w:sz w:val="22"/>
          <w:szCs w:val="22"/>
        </w:rPr>
        <w:t xml:space="preserve">speaking communities. However, the provision of equitable language services was still identified as a challenge by clinic leaders, despite efforts by OHA </w:t>
      </w:r>
      <w:r w:rsidRPr="00191396">
        <w:rPr>
          <w:rFonts w:cstheme="minorHAnsi"/>
          <w:color w:val="000000"/>
          <w:sz w:val="22"/>
          <w:szCs w:val="22"/>
        </w:rPr>
        <w:t>to ensure that OHP members get meaningful language access. Clinic leaders noted that it is particularly helpful to have relevant language services</w:t>
      </w:r>
      <w:r>
        <w:rPr>
          <w:rFonts w:cstheme="minorHAnsi"/>
          <w:color w:val="000000"/>
          <w:sz w:val="22"/>
          <w:szCs w:val="22"/>
        </w:rPr>
        <w:t xml:space="preserve"> </w:t>
      </w:r>
      <w:r w:rsidRPr="00191396">
        <w:rPr>
          <w:rFonts w:cstheme="minorHAnsi"/>
          <w:color w:val="000000"/>
          <w:sz w:val="22"/>
          <w:szCs w:val="22"/>
        </w:rPr>
        <w:t>for behavioral health services</w:t>
      </w:r>
      <w:r w:rsidRPr="00191396">
        <w:rPr>
          <w:rFonts w:eastAsia="Calibri" w:cstheme="minorHAnsi"/>
          <w:sz w:val="22"/>
          <w:szCs w:val="22"/>
        </w:rPr>
        <w:t xml:space="preserve">. One clinic leader pointed out that </w:t>
      </w:r>
      <w:r>
        <w:rPr>
          <w:rFonts w:eastAsia="Calibri" w:cstheme="minorHAnsi"/>
          <w:sz w:val="22"/>
          <w:szCs w:val="22"/>
        </w:rPr>
        <w:t>while seeking to</w:t>
      </w:r>
      <w:r w:rsidRPr="00191396">
        <w:rPr>
          <w:rFonts w:eastAsia="Calibri" w:cstheme="minorHAnsi"/>
          <w:sz w:val="22"/>
          <w:szCs w:val="22"/>
        </w:rPr>
        <w:t xml:space="preserve"> provide equitable access to bilingual service users, they wanted to </w:t>
      </w:r>
      <w:r>
        <w:rPr>
          <w:rFonts w:eastAsia="Calibri" w:cstheme="minorHAnsi"/>
          <w:sz w:val="22"/>
          <w:szCs w:val="22"/>
        </w:rPr>
        <w:t>avoid</w:t>
      </w:r>
      <w:r w:rsidRPr="00191396">
        <w:rPr>
          <w:rFonts w:eastAsia="Calibri" w:cstheme="minorHAnsi"/>
          <w:sz w:val="22"/>
          <w:szCs w:val="22"/>
        </w:rPr>
        <w:t xml:space="preserve"> disproportionate</w:t>
      </w:r>
      <w:r>
        <w:rPr>
          <w:rFonts w:eastAsia="Calibri" w:cstheme="minorHAnsi"/>
          <w:sz w:val="22"/>
          <w:szCs w:val="22"/>
        </w:rPr>
        <w:t>ly</w:t>
      </w:r>
      <w:r w:rsidRPr="00191396">
        <w:rPr>
          <w:rFonts w:eastAsia="Calibri" w:cstheme="minorHAnsi"/>
          <w:sz w:val="22"/>
          <w:szCs w:val="22"/>
        </w:rPr>
        <w:t xml:space="preserve"> burden</w:t>
      </w:r>
      <w:r>
        <w:rPr>
          <w:rFonts w:eastAsia="Calibri" w:cstheme="minorHAnsi"/>
          <w:sz w:val="22"/>
          <w:szCs w:val="22"/>
        </w:rPr>
        <w:t>ing</w:t>
      </w:r>
      <w:r w:rsidRPr="00191396">
        <w:rPr>
          <w:rFonts w:eastAsia="Calibri" w:cstheme="minorHAnsi"/>
          <w:sz w:val="22"/>
          <w:szCs w:val="22"/>
        </w:rPr>
        <w:t xml:space="preserve"> their bilingual staff:</w:t>
      </w:r>
    </w:p>
    <w:p w14:paraId="359D0EB3" w14:textId="77777777" w:rsidR="0021692A" w:rsidRPr="00191396" w:rsidRDefault="0021692A" w:rsidP="008F573D">
      <w:pPr>
        <w:rPr>
          <w:rFonts w:eastAsia="Calibri" w:cstheme="minorHAnsi"/>
          <w:sz w:val="22"/>
          <w:szCs w:val="22"/>
        </w:rPr>
      </w:pPr>
    </w:p>
    <w:p w14:paraId="2427DFC5" w14:textId="51A3B933" w:rsidR="008F573D" w:rsidRDefault="008F573D" w:rsidP="008F573D">
      <w:pPr>
        <w:ind w:left="720"/>
        <w:rPr>
          <w:rFonts w:ascii="Calibri" w:eastAsia="Calibri" w:hAnsi="Calibri" w:cs="Calibri"/>
          <w:sz w:val="22"/>
          <w:szCs w:val="22"/>
        </w:rPr>
      </w:pPr>
      <w:r>
        <w:rPr>
          <w:rFonts w:ascii="Calibri" w:eastAsia="Calibri" w:hAnsi="Calibri" w:cs="Calibri"/>
          <w:i/>
          <w:sz w:val="22"/>
          <w:szCs w:val="22"/>
        </w:rPr>
        <w:t>Equity of access in language services is still a huge need. I don't think CCBHC particularly funds anything for that or requires anything around other than having access. We meet the bare minimum with interpretation, but [we’d like to see] some ways to incentivize that. We've struggled with that. Even just with hiring, how much incentive can we give for bilingual-bicultural staff, because they often end up with equal or higher workloads</w:t>
      </w:r>
      <w:r>
        <w:rPr>
          <w:rFonts w:ascii="Calibri" w:eastAsia="Calibri" w:hAnsi="Calibri" w:cs="Calibri"/>
          <w:sz w:val="22"/>
          <w:szCs w:val="22"/>
        </w:rPr>
        <w:t>? (Lead Clinical 02)</w:t>
      </w:r>
    </w:p>
    <w:p w14:paraId="1104B9AA" w14:textId="77777777" w:rsidR="005B7416" w:rsidRDefault="005B7416" w:rsidP="008F573D">
      <w:pPr>
        <w:ind w:left="720"/>
        <w:rPr>
          <w:rFonts w:ascii="Calibri" w:eastAsia="Calibri" w:hAnsi="Calibri" w:cs="Calibri"/>
          <w:sz w:val="22"/>
          <w:szCs w:val="22"/>
        </w:rPr>
      </w:pPr>
    </w:p>
    <w:p w14:paraId="75F0F3F2" w14:textId="77777777" w:rsidR="008F573D" w:rsidRPr="00C81486" w:rsidRDefault="008F573D" w:rsidP="00C81486">
      <w:pPr>
        <w:spacing w:after="120"/>
        <w:rPr>
          <w:b/>
          <w:bCs/>
          <w:i/>
          <w:iCs/>
          <w:color w:val="6A7F0F"/>
          <w:highlight w:val="white"/>
        </w:rPr>
      </w:pPr>
      <w:r w:rsidRPr="00C81486">
        <w:rPr>
          <w:b/>
          <w:bCs/>
          <w:i/>
          <w:iCs/>
          <w:color w:val="6A7F0F"/>
          <w:highlight w:val="white"/>
        </w:rPr>
        <w:t xml:space="preserve">Oregon’s Behavioral Health System </w:t>
      </w:r>
    </w:p>
    <w:p w14:paraId="0A2635E5" w14:textId="7BD02059" w:rsidR="005B7416" w:rsidRPr="003F6306" w:rsidRDefault="005B7416" w:rsidP="005B7416">
      <w:pPr>
        <w:rPr>
          <w:rFonts w:ascii="Calibri" w:eastAsia="Calibri" w:hAnsi="Calibri" w:cs="Calibri"/>
          <w:color w:val="000000"/>
          <w:sz w:val="22"/>
          <w:szCs w:val="22"/>
        </w:rPr>
      </w:pPr>
      <w:r>
        <w:rPr>
          <w:rFonts w:ascii="Calibri" w:eastAsia="Calibri" w:hAnsi="Calibri" w:cs="Calibri"/>
          <w:sz w:val="22"/>
          <w:szCs w:val="22"/>
        </w:rPr>
        <w:t>Findings highlight the challenges and limitations of Oregon’s behavioral health system, which have a negative impact on access to behavioral health services. One interested party said: “</w:t>
      </w:r>
      <w:r>
        <w:rPr>
          <w:rFonts w:ascii="Calibri" w:eastAsia="Calibri" w:hAnsi="Calibri" w:cs="Calibri"/>
          <w:i/>
          <w:sz w:val="22"/>
          <w:szCs w:val="22"/>
        </w:rPr>
        <w:t>The</w:t>
      </w:r>
      <w:r>
        <w:rPr>
          <w:rFonts w:ascii="Calibri" w:eastAsia="Calibri" w:hAnsi="Calibri" w:cs="Calibri"/>
          <w:i/>
          <w:color w:val="000000"/>
          <w:sz w:val="22"/>
          <w:szCs w:val="22"/>
        </w:rPr>
        <w:t xml:space="preserve"> CCBHC model is only as good as the rest of the system</w:t>
      </w:r>
      <w:r>
        <w:rPr>
          <w:rFonts w:ascii="Calibri" w:eastAsia="Calibri" w:hAnsi="Calibri" w:cs="Calibri"/>
          <w:color w:val="000000"/>
          <w:sz w:val="22"/>
          <w:szCs w:val="22"/>
        </w:rPr>
        <w:t>” (Interested Party 05).</w:t>
      </w:r>
      <w:r w:rsidR="009835B9">
        <w:rPr>
          <w:rFonts w:ascii="Calibri" w:eastAsia="Calibri" w:hAnsi="Calibri" w:cs="Calibri"/>
          <w:color w:val="000000"/>
          <w:sz w:val="22"/>
          <w:szCs w:val="22"/>
        </w:rPr>
        <w:t xml:space="preserve"> </w:t>
      </w:r>
      <w:r>
        <w:rPr>
          <w:rFonts w:ascii="Calibri" w:eastAsia="Calibri" w:hAnsi="Calibri" w:cs="Calibri"/>
          <w:sz w:val="22"/>
          <w:szCs w:val="22"/>
        </w:rPr>
        <w:t>A common and persistent theme from interested parties, CBO representatives, clinic leaders, and service users was that Oregon’s behavioral health workforce shortage has limited and continues to limit access to behavioral health services in Oregon. Factors contributing to the workforce shortage include inadequate compensation, administrative burden, and complex work. Additionally, clinic leaders, CBO representatives, and interested parties noted that stigma continues to play a role in limiting access to services. While stigma was often framed by clinic leaders as a barrier to help-seeking, at least one interested party noted the historical and current role that structural stigma plays in shaping behavioral health investments, regulations, and administrative rules. Some clinic leaders, interested parties, and CBO representatives acknowledged that certain populations, including BIPOC, Indigenous and Tribal, LGBTQ+, houseless, and justice-involved individuals, experience the burden of Oregon’s workforce shortage disproportionally.</w:t>
      </w:r>
      <w:r>
        <w:rPr>
          <w:rFonts w:ascii="Calibri" w:eastAsia="Calibri" w:hAnsi="Calibri" w:cs="Calibri"/>
          <w:color w:val="000000"/>
          <w:sz w:val="22"/>
          <w:szCs w:val="22"/>
        </w:rPr>
        <w:t xml:space="preserve"> </w:t>
      </w:r>
      <w:r>
        <w:rPr>
          <w:rFonts w:ascii="Calibri" w:eastAsia="Calibri" w:hAnsi="Calibri" w:cs="Calibri"/>
          <w:sz w:val="22"/>
          <w:szCs w:val="22"/>
        </w:rPr>
        <w:t xml:space="preserve">These themes are aligned with recent reports that assess Oregon’s behavioral health system </w:t>
      </w:r>
      <w:r w:rsidRPr="001E6CEA">
        <w:rPr>
          <w:rFonts w:ascii="Calibri" w:eastAsia="Calibri" w:hAnsi="Calibri" w:cs="Calibri"/>
          <w:sz w:val="22"/>
          <w:szCs w:val="22"/>
        </w:rPr>
        <w:t xml:space="preserve">(Coalition of Communities of Color, 2021; </w:t>
      </w:r>
      <w:r>
        <w:rPr>
          <w:rFonts w:ascii="Calibri" w:eastAsia="Calibri" w:hAnsi="Calibri" w:cs="Calibri"/>
          <w:sz w:val="22"/>
          <w:szCs w:val="22"/>
        </w:rPr>
        <w:t>Governor’s Behavioral Health Advisory Council, 2021; Secretary of State</w:t>
      </w:r>
      <w:r w:rsidRPr="001E6CEA">
        <w:rPr>
          <w:rFonts w:ascii="Calibri" w:eastAsia="Calibri" w:hAnsi="Calibri" w:cs="Calibri"/>
          <w:sz w:val="22"/>
          <w:szCs w:val="22"/>
        </w:rPr>
        <w:t>, 2020; Zhu et al., 2022).</w:t>
      </w:r>
    </w:p>
    <w:p w14:paraId="76EE3A6D" w14:textId="77777777" w:rsidR="005B7416" w:rsidRDefault="005B7416" w:rsidP="005B7416">
      <w:pPr>
        <w:rPr>
          <w:rFonts w:ascii="Calibri" w:eastAsia="Calibri" w:hAnsi="Calibri" w:cs="Calibri"/>
          <w:sz w:val="22"/>
          <w:szCs w:val="22"/>
        </w:rPr>
      </w:pPr>
    </w:p>
    <w:p w14:paraId="14ACC5A2" w14:textId="77777777" w:rsidR="004247FE" w:rsidRDefault="005B7416" w:rsidP="004247FE">
      <w:pPr>
        <w:rPr>
          <w:rFonts w:ascii="Calibri" w:eastAsia="Calibri" w:hAnsi="Calibri" w:cs="Calibri"/>
          <w:color w:val="000000"/>
          <w:sz w:val="22"/>
          <w:szCs w:val="22"/>
          <w:highlight w:val="white"/>
        </w:rPr>
      </w:pPr>
      <w:r w:rsidRPr="004247FE">
        <w:rPr>
          <w:rFonts w:ascii="Calibri" w:eastAsia="Calibri" w:hAnsi="Calibri" w:cs="Calibri"/>
          <w:color w:val="000000"/>
          <w:sz w:val="22"/>
          <w:szCs w:val="22"/>
          <w:highlight w:val="white"/>
        </w:rPr>
        <w:t>These findings</w:t>
      </w:r>
      <w:r w:rsidRPr="004247FE">
        <w:rPr>
          <w:rFonts w:ascii="Calibri" w:eastAsia="Calibri" w:hAnsi="Calibri" w:cs="Calibri"/>
          <w:sz w:val="22"/>
          <w:szCs w:val="22"/>
          <w:highlight w:val="white"/>
        </w:rPr>
        <w:t xml:space="preserve"> </w:t>
      </w:r>
      <w:r w:rsidRPr="004247FE">
        <w:rPr>
          <w:rFonts w:ascii="Calibri" w:eastAsia="Calibri" w:hAnsi="Calibri" w:cs="Calibri"/>
          <w:color w:val="000000"/>
          <w:sz w:val="22"/>
          <w:szCs w:val="22"/>
          <w:highlight w:val="white"/>
        </w:rPr>
        <w:t>suggest potential strategies for both CCBHCs and OHA to center equity in Oregon’s behavioral health system, and emerged from the synthesis of interviews, focus groups, and content analysis of community health reports. They include:</w:t>
      </w:r>
    </w:p>
    <w:p w14:paraId="7722F806" w14:textId="4D4D6DE2" w:rsidR="005B7416" w:rsidRDefault="005B7416">
      <w:pPr>
        <w:pStyle w:val="ListParagraph"/>
        <w:numPr>
          <w:ilvl w:val="0"/>
          <w:numId w:val="35"/>
        </w:numPr>
        <w:rPr>
          <w:rFonts w:ascii="Calibri" w:eastAsia="Calibri" w:hAnsi="Calibri" w:cs="Calibri"/>
          <w:color w:val="000000"/>
          <w:sz w:val="22"/>
          <w:szCs w:val="22"/>
          <w:highlight w:val="white"/>
        </w:rPr>
      </w:pPr>
      <w:r w:rsidRPr="004247FE">
        <w:rPr>
          <w:rFonts w:ascii="Calibri" w:eastAsia="Calibri" w:hAnsi="Calibri" w:cs="Calibri"/>
          <w:color w:val="000000"/>
          <w:sz w:val="22"/>
          <w:szCs w:val="22"/>
          <w:highlight w:val="white"/>
        </w:rPr>
        <w:t xml:space="preserve">Diversifying the workforce, not only at staff levels but also leadership levels </w:t>
      </w:r>
      <w:r w:rsidRPr="004247FE">
        <w:rPr>
          <w:rFonts w:ascii="Calibri" w:eastAsia="Calibri" w:hAnsi="Calibri" w:cs="Calibri"/>
          <w:sz w:val="22"/>
          <w:szCs w:val="22"/>
          <w:highlight w:val="white"/>
        </w:rPr>
        <w:t>that have</w:t>
      </w:r>
      <w:r w:rsidRPr="004247FE">
        <w:rPr>
          <w:rFonts w:ascii="Calibri" w:eastAsia="Calibri" w:hAnsi="Calibri" w:cs="Calibri"/>
          <w:color w:val="000000"/>
          <w:sz w:val="22"/>
          <w:szCs w:val="22"/>
          <w:highlight w:val="white"/>
        </w:rPr>
        <w:t xml:space="preserve"> decision-making authority, and training the current workforce to work with diverse populations;</w:t>
      </w:r>
    </w:p>
    <w:p w14:paraId="41ADEE41" w14:textId="77777777" w:rsidR="004247FE" w:rsidRPr="004247FE" w:rsidRDefault="005B7416">
      <w:pPr>
        <w:pStyle w:val="ListParagraph"/>
        <w:numPr>
          <w:ilvl w:val="0"/>
          <w:numId w:val="35"/>
        </w:numPr>
        <w:rPr>
          <w:rFonts w:ascii="Calibri" w:eastAsia="Calibri" w:hAnsi="Calibri" w:cs="Calibri"/>
          <w:color w:val="000000"/>
          <w:sz w:val="22"/>
          <w:szCs w:val="22"/>
          <w:highlight w:val="white"/>
        </w:rPr>
      </w:pPr>
      <w:r w:rsidRPr="004247FE">
        <w:rPr>
          <w:rFonts w:ascii="Calibri" w:eastAsia="Calibri" w:hAnsi="Calibri" w:cs="Calibri"/>
          <w:sz w:val="22"/>
          <w:szCs w:val="22"/>
          <w:highlight w:val="white"/>
        </w:rPr>
        <w:t>Investing in robust data infrastructure and resources to support the analysis of data to identify health inequities among historically and currently underserved populations, such as BIPOC and Tribal communities and LGBTQ+ and houseless individuals;</w:t>
      </w:r>
    </w:p>
    <w:p w14:paraId="4D4D721D" w14:textId="77777777" w:rsidR="004247FE" w:rsidRDefault="005B7416">
      <w:pPr>
        <w:pStyle w:val="ListParagraph"/>
        <w:numPr>
          <w:ilvl w:val="0"/>
          <w:numId w:val="35"/>
        </w:numPr>
        <w:rPr>
          <w:rFonts w:ascii="Calibri" w:eastAsia="Calibri" w:hAnsi="Calibri" w:cs="Calibri"/>
          <w:color w:val="000000"/>
          <w:sz w:val="22"/>
          <w:szCs w:val="22"/>
          <w:highlight w:val="white"/>
        </w:rPr>
      </w:pPr>
      <w:r w:rsidRPr="004247FE">
        <w:rPr>
          <w:rFonts w:ascii="Calibri" w:eastAsia="Calibri" w:hAnsi="Calibri" w:cs="Calibri"/>
          <w:color w:val="000000"/>
          <w:sz w:val="22"/>
          <w:szCs w:val="22"/>
          <w:highlight w:val="white"/>
        </w:rPr>
        <w:t>Collaborating with communities and community-based organizations to develop and implement culturally appropriate outreach and services, as well as to identify service gaps and barriers to access in the community; and</w:t>
      </w:r>
    </w:p>
    <w:p w14:paraId="261D2649" w14:textId="5A58475E" w:rsidR="005B7416" w:rsidRPr="004247FE" w:rsidRDefault="00FC2ED2">
      <w:pPr>
        <w:pStyle w:val="ListParagraph"/>
        <w:numPr>
          <w:ilvl w:val="0"/>
          <w:numId w:val="35"/>
        </w:numPr>
        <w:rPr>
          <w:rFonts w:ascii="Calibri" w:eastAsia="Calibri" w:hAnsi="Calibri" w:cs="Calibri"/>
          <w:color w:val="000000"/>
          <w:sz w:val="22"/>
          <w:szCs w:val="22"/>
          <w:highlight w:val="white"/>
        </w:rPr>
      </w:pPr>
      <w:r>
        <w:rPr>
          <w:rFonts w:ascii="Calibri" w:eastAsia="Calibri" w:hAnsi="Calibri" w:cs="Calibri"/>
          <w:noProof/>
          <w:color w:val="000000"/>
          <w:sz w:val="22"/>
          <w:szCs w:val="22"/>
        </w:rPr>
        <mc:AlternateContent>
          <mc:Choice Requires="wps">
            <w:drawing>
              <wp:anchor distT="0" distB="0" distL="114300" distR="114300" simplePos="0" relativeHeight="251684864" behindDoc="0" locked="0" layoutInCell="1" allowOverlap="1" wp14:anchorId="07B6C734" wp14:editId="059215CF">
                <wp:simplePos x="0" y="0"/>
                <wp:positionH relativeFrom="column">
                  <wp:posOffset>-1700</wp:posOffset>
                </wp:positionH>
                <wp:positionV relativeFrom="paragraph">
                  <wp:posOffset>580510</wp:posOffset>
                </wp:positionV>
                <wp:extent cx="5947200" cy="3176900"/>
                <wp:effectExtent l="12700" t="12700" r="22225" b="24130"/>
                <wp:wrapNone/>
                <wp:docPr id="7" name="Text Box 7"/>
                <wp:cNvGraphicFramePr/>
                <a:graphic xmlns:a="http://schemas.openxmlformats.org/drawingml/2006/main">
                  <a:graphicData uri="http://schemas.microsoft.com/office/word/2010/wordprocessingShape">
                    <wps:wsp>
                      <wps:cNvSpPr txBox="1"/>
                      <wps:spPr>
                        <a:xfrm>
                          <a:off x="0" y="0"/>
                          <a:ext cx="5947200" cy="3176900"/>
                        </a:xfrm>
                        <a:prstGeom prst="rect">
                          <a:avLst/>
                        </a:prstGeom>
                        <a:solidFill>
                          <a:schemeClr val="lt1"/>
                        </a:solidFill>
                        <a:ln w="38100">
                          <a:solidFill>
                            <a:schemeClr val="accent6">
                              <a:lumMod val="75000"/>
                            </a:schemeClr>
                          </a:solidFill>
                        </a:ln>
                      </wps:spPr>
                      <wps:txbx>
                        <w:txbxContent>
                          <w:p w14:paraId="09D9FB2C" w14:textId="77777777" w:rsidR="00FC2ED2" w:rsidRDefault="00FC2ED2" w:rsidP="00FC2ED2">
                            <w:pPr>
                              <w:jc w:val="center"/>
                              <w:rPr>
                                <w:b/>
                                <w:bCs/>
                                <w:color w:val="6A7F0F"/>
                              </w:rPr>
                            </w:pPr>
                            <w:r>
                              <w:rPr>
                                <w:b/>
                                <w:bCs/>
                                <w:color w:val="6A7F0F"/>
                              </w:rPr>
                              <w:t xml:space="preserve">Summary and Recommendations: </w:t>
                            </w:r>
                            <w:r w:rsidRPr="008F573D">
                              <w:rPr>
                                <w:b/>
                                <w:bCs/>
                                <w:color w:val="6A7F0F"/>
                              </w:rPr>
                              <w:t xml:space="preserve">Increase Access to </w:t>
                            </w:r>
                          </w:p>
                          <w:p w14:paraId="0A856E67" w14:textId="77777777" w:rsidR="00FC2ED2" w:rsidRPr="00E30421" w:rsidRDefault="00FC2ED2" w:rsidP="00FC2ED2">
                            <w:pPr>
                              <w:spacing w:after="120"/>
                              <w:jc w:val="center"/>
                              <w:rPr>
                                <w:b/>
                                <w:bCs/>
                                <w:color w:val="6A7F0F"/>
                              </w:rPr>
                            </w:pPr>
                            <w:r w:rsidRPr="008F573D">
                              <w:rPr>
                                <w:b/>
                                <w:bCs/>
                                <w:color w:val="6A7F0F"/>
                              </w:rPr>
                              <w:t>Behavioral Health Treatment for Oregon Residents</w:t>
                            </w:r>
                          </w:p>
                          <w:p w14:paraId="3BE91E5B" w14:textId="67608E77" w:rsidR="00FC2ED2" w:rsidRDefault="00FC2ED2" w:rsidP="00FC2ED2">
                            <w:pPr>
                              <w:rPr>
                                <w:sz w:val="22"/>
                                <w:szCs w:val="22"/>
                              </w:rPr>
                            </w:pPr>
                            <w:r>
                              <w:rPr>
                                <w:rFonts w:ascii="Calibri" w:eastAsia="Calibri" w:hAnsi="Calibri" w:cs="Calibri"/>
                                <w:sz w:val="22"/>
                                <w:szCs w:val="22"/>
                              </w:rPr>
                              <w:t xml:space="preserve">CCBHCs have expanded access to behavioral health services in Oregon. </w:t>
                            </w:r>
                            <w:r>
                              <w:rPr>
                                <w:rFonts w:cstheme="minorHAnsi"/>
                                <w:sz w:val="22"/>
                                <w:szCs w:val="22"/>
                              </w:rPr>
                              <w:t xml:space="preserve">CCBHCs increased the numbers of service users over time, even as decreases were seen in non-CCBHC CMHPs. The largest increases appeared to be associated with CCBHCs located in areas designated as rural or remote. These new service users tended to be under 25 years or over 65 years; female; from rural or remote areas; identified as </w:t>
                            </w:r>
                            <w:r>
                              <w:rPr>
                                <w:sz w:val="22"/>
                                <w:szCs w:val="22"/>
                              </w:rPr>
                              <w:t>American Indian/Alaskan Native, Asian, Black/African American, Hispanic/Latino/a/x, Middle Eastern, or Native Hawaiian/Pacific Islander; and spoke Spanish as the primary language. From a proportional change perspective, the largest changes appeared in remote residence and American Indian/Alaskan Native, Hispanic/Latino/a/x, and Native Hawaiian/Pacific Islander groups.</w:t>
                            </w:r>
                          </w:p>
                          <w:p w14:paraId="7E4650E8" w14:textId="6A9AC0C6" w:rsidR="00FC2ED2" w:rsidRDefault="00FC2ED2" w:rsidP="00FC2ED2">
                            <w:pPr>
                              <w:rPr>
                                <w:sz w:val="22"/>
                                <w:szCs w:val="22"/>
                              </w:rPr>
                            </w:pPr>
                          </w:p>
                          <w:p w14:paraId="027224FE" w14:textId="77777777" w:rsidR="00FC2ED2" w:rsidRDefault="00FC2ED2" w:rsidP="00FC2ED2">
                            <w:pPr>
                              <w:rPr>
                                <w:rFonts w:ascii="Calibri" w:eastAsia="Calibri" w:hAnsi="Calibri" w:cs="Calibri"/>
                                <w:sz w:val="22"/>
                                <w:szCs w:val="22"/>
                              </w:rPr>
                            </w:pPr>
                            <w:r>
                              <w:rPr>
                                <w:rFonts w:ascii="Calibri" w:eastAsia="Calibri" w:hAnsi="Calibri" w:cs="Calibri"/>
                                <w:sz w:val="22"/>
                                <w:szCs w:val="22"/>
                              </w:rPr>
                              <w:t>Rates of quarterly service use and visits per person for behavioral health outpatient services generally confirmed these findings. From the perspective of these outcome measures, the expansion in services was heavily tilted towards rural and remote areas. Findings suggested the presence of some potential inequities for American Indian/Alaskan Native and Black/African American OHP members.</w:t>
                            </w:r>
                          </w:p>
                          <w:p w14:paraId="4DE26CBB" w14:textId="77777777" w:rsidR="00FC2ED2" w:rsidRDefault="00FC2ED2" w:rsidP="00FC2ED2">
                            <w:pPr>
                              <w:rPr>
                                <w:sz w:val="22"/>
                                <w:szCs w:val="22"/>
                              </w:rPr>
                            </w:pPr>
                          </w:p>
                          <w:p w14:paraId="52F29B97" w14:textId="77777777" w:rsidR="00FC2ED2" w:rsidRDefault="00FC2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B6C734" id="_x0000_t202" coordsize="21600,21600" o:spt="202" path="m,l,21600r21600,l21600,xe">
                <v:stroke joinstyle="miter"/>
                <v:path gradientshapeok="t" o:connecttype="rect"/>
              </v:shapetype>
              <v:shape id="Text Box 7" o:spid="_x0000_s1028" type="#_x0000_t202" style="position:absolute;left:0;text-align:left;margin-left:-.15pt;margin-top:45.7pt;width:468.3pt;height:250.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lYSgIAAK0EAAAOAAAAZHJzL2Uyb0RvYy54bWysVNuO2jAQfa/Uf7D8XkIolyUirCgrqkp0&#10;dyW22mfj2CSS43FtQ0K/vmOHW7eVKlV9MWPP5MzMmTPM7ttakYOwrgKd07TXp0RoDkWldzn99rL6&#10;cEeJ80wXTIEWOT0KR+/n79/NGpOJAZSgCmEJgmiXNSanpfcmSxLHS1Ez1wMjNDol2Jp5vNpdUljW&#10;IHqtkkG/P04asIWxwIVz+PrQOek84kspuH+S0glPVE6xNh9PG89tOJP5jGU7y0xZ8VMZ7B+qqFml&#10;MekF6oF5Rva2+g2qrrgFB9L3ONQJSFlxEXvAbtL+m242JTMi9oLkOHOhyf0/WP542JhnS3z7CVoc&#10;YCCkMS5z+Bj6aaWtwy9WStCPFB4vtInWE46Po+lwgrOghKPvYzoZT/GCOMn1c2Od/yygJsHIqcW5&#10;RLrYYe18F3oOCdkcqKpYVUrFS9CCWCpLDgynqHwsEsF/iVKaNJj9LsXcf4NgnAvtxzFO7euvUHTQ&#10;k1H/UnlUYMga+7hJhYmVxscrS8Hy7bYlVZHTwZnBLRRHJNZCpzln+KrC5tfM+WdmUWRIGC6Of8JD&#10;KsDi4WRRUoL98af3EI+zRy8lDYo2p+77nllBifqiURXTdDgMKo+X4QinQom99WxvPXpfLwEZTXFF&#10;DY9miPfqbEoL9Svu1yJkRRfTHHPn1J/Npe9WCfeTi8UiBqGuDfNrvTE8QIdZhNG+tK/MmtP8PUrn&#10;Ec7yZtkbGXSx4UsNi70HWUWNBJ47Vk/0407E6Zz2Nyzd7T1GXf9l5j8BAAD//wMAUEsDBBQABgAI&#10;AAAAIQC6+3/h4wAAAA0BAAAPAAAAZHJzL2Rvd25yZXYueG1sTI9NT8MwDIbvSPyHyEjctrSMfbRr&#10;OiHKrqANJDgmTWgLjVM1WT/+PeYEF0v2az9+3+ww2ZYNpveNQwHxMgJmsHS6wUrA2+txsQPmg0Qt&#10;W4dGwGw8HPLrq0ym2o14MsM5VIwg6FMpoA6hSzn3ZW2s9EvXGSTt0/VWBmr7iutejgS3Lb+Log23&#10;skH6UMvOPNam/D5fLFGeX4qv4f1pXo8fp0KpVh3n3VaI25up2FN52AMLZgp/F/CbgfxDTsaUu6D2&#10;rBWwWNGigCS+B0ZystrQQAlYJ/EWeJ7x/ynyHwAAAP//AwBQSwECLQAUAAYACAAAACEAtoM4kv4A&#10;AADhAQAAEwAAAAAAAAAAAAAAAAAAAAAAW0NvbnRlbnRfVHlwZXNdLnhtbFBLAQItABQABgAIAAAA&#10;IQA4/SH/1gAAAJQBAAALAAAAAAAAAAAAAAAAAC8BAABfcmVscy8ucmVsc1BLAQItABQABgAIAAAA&#10;IQDXNKlYSgIAAK0EAAAOAAAAAAAAAAAAAAAAAC4CAABkcnMvZTJvRG9jLnhtbFBLAQItABQABgAI&#10;AAAAIQC6+3/h4wAAAA0BAAAPAAAAAAAAAAAAAAAAAKQEAABkcnMvZG93bnJldi54bWxQSwUGAAAA&#10;AAQABADzAAAAtAUAAAAA&#10;" fillcolor="white [3201]" strokecolor="#538135 [2409]" strokeweight="3pt">
                <v:textbox>
                  <w:txbxContent>
                    <w:p w14:paraId="09D9FB2C" w14:textId="77777777" w:rsidR="00FC2ED2" w:rsidRDefault="00FC2ED2" w:rsidP="00FC2ED2">
                      <w:pPr>
                        <w:jc w:val="center"/>
                        <w:rPr>
                          <w:b/>
                          <w:bCs/>
                          <w:color w:val="6A7F0F"/>
                        </w:rPr>
                      </w:pPr>
                      <w:r>
                        <w:rPr>
                          <w:b/>
                          <w:bCs/>
                          <w:color w:val="6A7F0F"/>
                        </w:rPr>
                        <w:t xml:space="preserve">Summary and Recommendations: </w:t>
                      </w:r>
                      <w:r w:rsidRPr="008F573D">
                        <w:rPr>
                          <w:b/>
                          <w:bCs/>
                          <w:color w:val="6A7F0F"/>
                        </w:rPr>
                        <w:t xml:space="preserve">Increase Access to </w:t>
                      </w:r>
                    </w:p>
                    <w:p w14:paraId="0A856E67" w14:textId="77777777" w:rsidR="00FC2ED2" w:rsidRPr="00E30421" w:rsidRDefault="00FC2ED2" w:rsidP="00FC2ED2">
                      <w:pPr>
                        <w:spacing w:after="120"/>
                        <w:jc w:val="center"/>
                        <w:rPr>
                          <w:b/>
                          <w:bCs/>
                          <w:color w:val="6A7F0F"/>
                        </w:rPr>
                      </w:pPr>
                      <w:r w:rsidRPr="008F573D">
                        <w:rPr>
                          <w:b/>
                          <w:bCs/>
                          <w:color w:val="6A7F0F"/>
                        </w:rPr>
                        <w:t>Behavioral Health Treatment for Oregon Residents</w:t>
                      </w:r>
                    </w:p>
                    <w:p w14:paraId="3BE91E5B" w14:textId="67608E77" w:rsidR="00FC2ED2" w:rsidRDefault="00FC2ED2" w:rsidP="00FC2ED2">
                      <w:pPr>
                        <w:rPr>
                          <w:sz w:val="22"/>
                          <w:szCs w:val="22"/>
                        </w:rPr>
                      </w:pPr>
                      <w:r>
                        <w:rPr>
                          <w:rFonts w:ascii="Calibri" w:eastAsia="Calibri" w:hAnsi="Calibri" w:cs="Calibri"/>
                          <w:sz w:val="22"/>
                          <w:szCs w:val="22"/>
                        </w:rPr>
                        <w:t xml:space="preserve">CCBHCs have expanded access to behavioral health services in Oregon. </w:t>
                      </w:r>
                      <w:r>
                        <w:rPr>
                          <w:rFonts w:cstheme="minorHAnsi"/>
                          <w:sz w:val="22"/>
                          <w:szCs w:val="22"/>
                        </w:rPr>
                        <w:t xml:space="preserve">CCBHCs increased the numbers of service users over time, even as decreases were seen in non-CCBHC CMHPs. The largest increases appeared to be associated with CCBHCs located in areas designated as rural or remote. These new service users tended to be under 25 years or over 65 years; female; from rural or remote areas; identified as </w:t>
                      </w:r>
                      <w:r>
                        <w:rPr>
                          <w:sz w:val="22"/>
                          <w:szCs w:val="22"/>
                        </w:rPr>
                        <w:t>American Indian/Alaskan Native, Asian, Black/African American, Hispanic/Latino/a/x, Middle Eastern, or Native Hawaiian/Pacific Islander; and spoke Spanish as the primary language. From a proportional change perspective, the largest changes appeared in remote residence and American Indian/Alaskan Native, Hispanic/Latino/a/x, and Native Hawaiian/Pacific Islander groups.</w:t>
                      </w:r>
                    </w:p>
                    <w:p w14:paraId="7E4650E8" w14:textId="6A9AC0C6" w:rsidR="00FC2ED2" w:rsidRDefault="00FC2ED2" w:rsidP="00FC2ED2">
                      <w:pPr>
                        <w:rPr>
                          <w:sz w:val="22"/>
                          <w:szCs w:val="22"/>
                        </w:rPr>
                      </w:pPr>
                    </w:p>
                    <w:p w14:paraId="027224FE" w14:textId="77777777" w:rsidR="00FC2ED2" w:rsidRDefault="00FC2ED2" w:rsidP="00FC2ED2">
                      <w:pPr>
                        <w:rPr>
                          <w:rFonts w:ascii="Calibri" w:eastAsia="Calibri" w:hAnsi="Calibri" w:cs="Calibri"/>
                          <w:sz w:val="22"/>
                          <w:szCs w:val="22"/>
                        </w:rPr>
                      </w:pPr>
                      <w:r>
                        <w:rPr>
                          <w:rFonts w:ascii="Calibri" w:eastAsia="Calibri" w:hAnsi="Calibri" w:cs="Calibri"/>
                          <w:sz w:val="22"/>
                          <w:szCs w:val="22"/>
                        </w:rPr>
                        <w:t>Rates of quarterly service use and visits per person for behavioral health outpatient services generally confirmed these findings. From the perspective of these outcome measures, the expansion in services was heavily tilted towards rural and remote areas. Findings suggested the presence of some potential inequities for American Indian/Alaskan Native and Black/African American OHP members.</w:t>
                      </w:r>
                    </w:p>
                    <w:p w14:paraId="4DE26CBB" w14:textId="77777777" w:rsidR="00FC2ED2" w:rsidRDefault="00FC2ED2" w:rsidP="00FC2ED2">
                      <w:pPr>
                        <w:rPr>
                          <w:sz w:val="22"/>
                          <w:szCs w:val="22"/>
                        </w:rPr>
                      </w:pPr>
                    </w:p>
                    <w:p w14:paraId="52F29B97" w14:textId="77777777" w:rsidR="00FC2ED2" w:rsidRDefault="00FC2ED2"/>
                  </w:txbxContent>
                </v:textbox>
              </v:shape>
            </w:pict>
          </mc:Fallback>
        </mc:AlternateContent>
      </w:r>
      <w:r w:rsidR="005B7416" w:rsidRPr="004247FE">
        <w:rPr>
          <w:rFonts w:ascii="Calibri" w:eastAsia="Calibri" w:hAnsi="Calibri" w:cs="Calibri"/>
          <w:color w:val="000000"/>
          <w:sz w:val="22"/>
          <w:szCs w:val="22"/>
          <w:highlight w:val="white"/>
        </w:rPr>
        <w:t>Redefining wellness to move away from a linear, medicalized definition of wellness to a more holistic, social definition that embraces multiple pathways and definitions of wellness.</w:t>
      </w:r>
    </w:p>
    <w:bookmarkStart w:id="34" w:name="_Summary_of_Key"/>
    <w:bookmarkEnd w:id="34"/>
    <w:p w14:paraId="27250176" w14:textId="198EB954" w:rsidR="008F573D" w:rsidRPr="00F66AE0" w:rsidRDefault="00415800" w:rsidP="00F66AE0">
      <w:pPr>
        <w:rPr>
          <w:rFonts w:ascii="Calibri" w:eastAsia="Calibri" w:hAnsi="Calibri" w:cs="Calibri"/>
          <w:color w:val="000000"/>
          <w:sz w:val="22"/>
          <w:szCs w:val="22"/>
          <w:highlight w:val="white"/>
        </w:rPr>
      </w:pPr>
      <w:r>
        <w:rPr>
          <w:noProof/>
        </w:rPr>
        <mc:AlternateContent>
          <mc:Choice Requires="wps">
            <w:drawing>
              <wp:inline distT="0" distB="0" distL="0" distR="0" wp14:anchorId="4CCD76FC" wp14:editId="447171E1">
                <wp:extent cx="6126988" cy="7734500"/>
                <wp:effectExtent l="12700" t="12700" r="20320" b="25400"/>
                <wp:docPr id="17" name="Text Box 17"/>
                <wp:cNvGraphicFramePr/>
                <a:graphic xmlns:a="http://schemas.openxmlformats.org/drawingml/2006/main">
                  <a:graphicData uri="http://schemas.microsoft.com/office/word/2010/wordprocessingShape">
                    <wps:wsp>
                      <wps:cNvSpPr txBox="1"/>
                      <wps:spPr>
                        <a:xfrm>
                          <a:off x="0" y="0"/>
                          <a:ext cx="6126988" cy="7734500"/>
                        </a:xfrm>
                        <a:prstGeom prst="rect">
                          <a:avLst/>
                        </a:prstGeom>
                        <a:noFill/>
                        <a:ln w="38100">
                          <a:solidFill>
                            <a:srgbClr val="6A7F0F"/>
                          </a:solidFill>
                        </a:ln>
                      </wps:spPr>
                      <wps:txbx>
                        <w:txbxContent>
                          <w:p w14:paraId="2CC6D5A2" w14:textId="77777777" w:rsidR="00764EB1" w:rsidRDefault="00764EB1" w:rsidP="00764EB1">
                            <w:pPr>
                              <w:rPr>
                                <w:rFonts w:cstheme="minorHAnsi"/>
                                <w:sz w:val="22"/>
                                <w:szCs w:val="22"/>
                              </w:rPr>
                            </w:pPr>
                            <w:r>
                              <w:rPr>
                                <w:rFonts w:cstheme="minorHAnsi"/>
                                <w:sz w:val="22"/>
                                <w:szCs w:val="22"/>
                              </w:rPr>
                              <w:t xml:space="preserve">The MHSIP data support findings of improvements in access to care from different perspectives. Rural adults and urban children and youth indicated increased satisfaction with access. The most prominent increases in perception of increased access were realized by Black/African American adult respondents who, as a racial group, have historically experienced and continue to experience the most significant barriers in access to healthcare due to systemic racism within both the healthcare system and society. </w:t>
                            </w:r>
                          </w:p>
                          <w:p w14:paraId="51095DF8" w14:textId="77777777" w:rsidR="00415800" w:rsidRPr="008D0F16" w:rsidRDefault="00415800" w:rsidP="008D0F16">
                            <w:pPr>
                              <w:rPr>
                                <w:rFonts w:ascii="Calibri" w:eastAsia="Calibri" w:hAnsi="Calibri" w:cs="Calibri"/>
                                <w:sz w:val="22"/>
                                <w:szCs w:val="22"/>
                              </w:rPr>
                            </w:pPr>
                          </w:p>
                          <w:p w14:paraId="38451998" w14:textId="77777777" w:rsidR="00764EB1" w:rsidRDefault="00764EB1" w:rsidP="00764EB1">
                            <w:pPr>
                              <w:rPr>
                                <w:rFonts w:ascii="Calibri" w:eastAsia="Calibri" w:hAnsi="Calibri" w:cs="Calibri"/>
                                <w:sz w:val="22"/>
                                <w:szCs w:val="22"/>
                              </w:rPr>
                            </w:pPr>
                            <w:r>
                              <w:rPr>
                                <w:rFonts w:ascii="Calibri" w:eastAsia="Calibri" w:hAnsi="Calibri" w:cs="Calibri"/>
                                <w:sz w:val="22"/>
                                <w:szCs w:val="22"/>
                              </w:rPr>
                              <w:t xml:space="preserve">The PPS payment model provided CCBHCs with a means to pay for additional staff, including care coordinators and peer mentors, as well as to implement “outside the four walls” services. The latter enabled CCBHCs to conduct outreach to individuals who may not otherwise seek care. </w:t>
                            </w:r>
                            <w:r>
                              <w:rPr>
                                <w:rFonts w:cstheme="minorHAnsi"/>
                                <w:sz w:val="22"/>
                                <w:szCs w:val="22"/>
                              </w:rPr>
                              <w:t>Significant changes in treatment service distribution were found for remote area residents as compared to urban, and for many ethnic/racial groups as compared to the overall average. Place of service data for CCBHC services indicate some growth in services “outside the four walls” with patterns that vary by area of residence and race/ethnicity.</w:t>
                            </w:r>
                          </w:p>
                          <w:p w14:paraId="58EFDA8B" w14:textId="77777777" w:rsidR="00415800" w:rsidRDefault="00415800" w:rsidP="008D0F16">
                            <w:pPr>
                              <w:rPr>
                                <w:rFonts w:ascii="Calibri" w:eastAsia="Calibri" w:hAnsi="Calibri" w:cs="Calibri"/>
                              </w:rPr>
                            </w:pPr>
                          </w:p>
                          <w:p w14:paraId="4633599D" w14:textId="138EAEAC" w:rsidR="00415800" w:rsidRDefault="00764EB1" w:rsidP="008D0F16">
                            <w:pPr>
                              <w:rPr>
                                <w:rFonts w:ascii="Calibri" w:eastAsia="Calibri" w:hAnsi="Calibri" w:cs="Calibri"/>
                                <w:sz w:val="22"/>
                                <w:szCs w:val="22"/>
                              </w:rPr>
                            </w:pPr>
                            <w:r>
                              <w:rPr>
                                <w:rFonts w:ascii="Calibri" w:eastAsia="Calibri" w:hAnsi="Calibri" w:cs="Calibri"/>
                                <w:sz w:val="22"/>
                                <w:szCs w:val="22"/>
                              </w:rPr>
                              <w:t>While CCBHCs have expanded access to behavioral health in Oregon, they are limited in number and operate within a behavioral health system with well-documented challenges and limitations. Although all CCBHC clinic leaders acknowledged the importance of equity, many were uncertain about how to center equity in their work.</w:t>
                            </w:r>
                          </w:p>
                          <w:p w14:paraId="63CFCB75" w14:textId="35BD3294" w:rsidR="009835B9" w:rsidRDefault="009835B9" w:rsidP="008D0F16">
                            <w:pPr>
                              <w:rPr>
                                <w:rFonts w:ascii="Calibri" w:eastAsia="Calibri" w:hAnsi="Calibri" w:cs="Calibri"/>
                                <w:sz w:val="22"/>
                                <w:szCs w:val="22"/>
                              </w:rPr>
                            </w:pPr>
                          </w:p>
                          <w:p w14:paraId="54DCD5D2" w14:textId="0FA08FF5" w:rsidR="009835B9" w:rsidRDefault="009835B9" w:rsidP="009835B9">
                            <w:pPr>
                              <w:rPr>
                                <w:rFonts w:cstheme="minorHAnsi"/>
                                <w:sz w:val="22"/>
                                <w:szCs w:val="22"/>
                              </w:rPr>
                            </w:pPr>
                            <w:r w:rsidRPr="00282218">
                              <w:rPr>
                                <w:rFonts w:ascii="Calibri" w:eastAsia="Calibri" w:hAnsi="Calibri" w:cs="Calibri"/>
                                <w:sz w:val="22"/>
                                <w:szCs w:val="22"/>
                              </w:rPr>
                              <w:t xml:space="preserve">Clinics could benefit from additional guidance from OHA on how to </w:t>
                            </w:r>
                            <w:r>
                              <w:rPr>
                                <w:rFonts w:ascii="Calibri" w:eastAsia="Calibri" w:hAnsi="Calibri" w:cs="Calibri"/>
                                <w:sz w:val="22"/>
                                <w:szCs w:val="22"/>
                              </w:rPr>
                              <w:t xml:space="preserve">1) </w:t>
                            </w:r>
                            <w:r w:rsidRPr="00282218">
                              <w:rPr>
                                <w:rFonts w:ascii="Calibri" w:eastAsia="Calibri" w:hAnsi="Calibri" w:cs="Calibri"/>
                                <w:sz w:val="22"/>
                                <w:szCs w:val="22"/>
                              </w:rPr>
                              <w:t>effectively identify and develop trusting relationships with community partners, particularly BIPOC, Tribal, and LGBTQ+ leaders</w:t>
                            </w:r>
                            <w:r>
                              <w:rPr>
                                <w:rFonts w:ascii="Calibri" w:eastAsia="Calibri" w:hAnsi="Calibri" w:cs="Calibri"/>
                                <w:sz w:val="22"/>
                                <w:szCs w:val="22"/>
                              </w:rPr>
                              <w:t>,</w:t>
                            </w:r>
                            <w:r w:rsidRPr="00282218">
                              <w:rPr>
                                <w:rFonts w:ascii="Calibri" w:eastAsia="Calibri" w:hAnsi="Calibri" w:cs="Calibri"/>
                                <w:sz w:val="22"/>
                                <w:szCs w:val="22"/>
                              </w:rPr>
                              <w:t xml:space="preserve"> and culturally specific CBOs</w:t>
                            </w:r>
                            <w:r>
                              <w:rPr>
                                <w:rFonts w:ascii="Calibri" w:eastAsia="Calibri" w:hAnsi="Calibri" w:cs="Calibri"/>
                                <w:sz w:val="22"/>
                                <w:szCs w:val="22"/>
                              </w:rPr>
                              <w:t>;</w:t>
                            </w:r>
                            <w:r w:rsidRPr="00282218">
                              <w:rPr>
                                <w:rFonts w:ascii="Calibri" w:eastAsia="Calibri" w:hAnsi="Calibri" w:cs="Calibri"/>
                                <w:sz w:val="22"/>
                                <w:szCs w:val="22"/>
                              </w:rPr>
                              <w:t xml:space="preserve"> </w:t>
                            </w:r>
                            <w:r>
                              <w:rPr>
                                <w:rFonts w:ascii="Calibri" w:eastAsia="Calibri" w:hAnsi="Calibri" w:cs="Calibri"/>
                                <w:sz w:val="22"/>
                                <w:szCs w:val="22"/>
                              </w:rPr>
                              <w:t>2)</w:t>
                            </w:r>
                            <w:r w:rsidRPr="00282218">
                              <w:rPr>
                                <w:rFonts w:ascii="Calibri" w:eastAsia="Calibri" w:hAnsi="Calibri" w:cs="Calibri"/>
                                <w:sz w:val="22"/>
                                <w:szCs w:val="22"/>
                              </w:rPr>
                              <w:t xml:space="preserve"> engage the community and their service users</w:t>
                            </w:r>
                            <w:r>
                              <w:rPr>
                                <w:rFonts w:ascii="Calibri" w:eastAsia="Calibri" w:hAnsi="Calibri" w:cs="Calibri"/>
                                <w:sz w:val="22"/>
                                <w:szCs w:val="22"/>
                              </w:rPr>
                              <w:t xml:space="preserve"> to</w:t>
                            </w:r>
                            <w:r w:rsidRPr="00282218">
                              <w:rPr>
                                <w:rFonts w:ascii="Calibri" w:eastAsia="Calibri" w:hAnsi="Calibri" w:cs="Calibri"/>
                                <w:sz w:val="22"/>
                                <w:szCs w:val="22"/>
                              </w:rPr>
                              <w:t xml:space="preserve"> identify community health needs</w:t>
                            </w:r>
                            <w:r>
                              <w:rPr>
                                <w:rFonts w:ascii="Calibri" w:eastAsia="Calibri" w:hAnsi="Calibri" w:cs="Calibri"/>
                                <w:sz w:val="22"/>
                                <w:szCs w:val="22"/>
                              </w:rPr>
                              <w:t>;</w:t>
                            </w:r>
                            <w:r w:rsidRPr="00282218">
                              <w:rPr>
                                <w:rFonts w:ascii="Calibri" w:eastAsia="Calibri" w:hAnsi="Calibri" w:cs="Calibri"/>
                                <w:sz w:val="22"/>
                                <w:szCs w:val="22"/>
                              </w:rPr>
                              <w:t xml:space="preserve"> and </w:t>
                            </w:r>
                            <w:r>
                              <w:rPr>
                                <w:rFonts w:ascii="Calibri" w:eastAsia="Calibri" w:hAnsi="Calibri" w:cs="Calibri"/>
                                <w:sz w:val="22"/>
                                <w:szCs w:val="22"/>
                              </w:rPr>
                              <w:t xml:space="preserve">3) </w:t>
                            </w:r>
                            <w:r w:rsidRPr="00282218">
                              <w:rPr>
                                <w:rFonts w:ascii="Calibri" w:eastAsia="Calibri" w:hAnsi="Calibri" w:cs="Calibri"/>
                                <w:sz w:val="22"/>
                                <w:szCs w:val="22"/>
                              </w:rPr>
                              <w:t xml:space="preserve">develop culturally appropriate outreach and services. </w:t>
                            </w:r>
                            <w:r>
                              <w:rPr>
                                <w:rFonts w:cstheme="minorHAnsi"/>
                                <w:sz w:val="22"/>
                                <w:szCs w:val="22"/>
                              </w:rPr>
                              <w:t>Groups that are marginalized by historic and contemporary injustices should receive primary attention in efforts to destigmatize behavioral health services and increase access.</w:t>
                            </w:r>
                          </w:p>
                          <w:p w14:paraId="1DBF6D5E" w14:textId="53D36DF0" w:rsidR="009835B9" w:rsidRDefault="009835B9" w:rsidP="009835B9">
                            <w:pPr>
                              <w:rPr>
                                <w:rFonts w:cstheme="minorHAnsi"/>
                                <w:sz w:val="22"/>
                                <w:szCs w:val="22"/>
                              </w:rPr>
                            </w:pPr>
                          </w:p>
                          <w:p w14:paraId="2072F544" w14:textId="77777777" w:rsidR="00FC2ED2" w:rsidRDefault="009835B9" w:rsidP="00FC2ED2">
                            <w:pPr>
                              <w:rPr>
                                <w:rFonts w:cstheme="minorHAnsi"/>
                                <w:sz w:val="22"/>
                                <w:szCs w:val="22"/>
                              </w:rPr>
                            </w:pPr>
                            <w:r w:rsidRPr="009D5C5D">
                              <w:rPr>
                                <w:rFonts w:cstheme="minorHAnsi"/>
                                <w:sz w:val="22"/>
                                <w:szCs w:val="22"/>
                                <w:lang w:bidi="th-TH"/>
                              </w:rPr>
                              <w:t>CCHBC program staff carried out on-site compliance visits at each CCBHC between July and November 2022. The collective findings from those site visits, as reported to the evaluation team by CCBHC</w:t>
                            </w:r>
                            <w:r w:rsidR="004A4C4C">
                              <w:rPr>
                                <w:rFonts w:cstheme="minorHAnsi"/>
                                <w:sz w:val="22"/>
                                <w:szCs w:val="22"/>
                                <w:lang w:bidi="th-TH"/>
                              </w:rPr>
                              <w:t xml:space="preserve"> </w:t>
                            </w:r>
                            <w:r w:rsidR="004A4C4C" w:rsidRPr="009D5C5D">
                              <w:rPr>
                                <w:rFonts w:cstheme="minorHAnsi"/>
                                <w:sz w:val="22"/>
                                <w:szCs w:val="22"/>
                                <w:lang w:bidi="th-TH"/>
                              </w:rPr>
                              <w:t xml:space="preserve">program staff, revealed </w:t>
                            </w:r>
                            <w:r w:rsidR="004A4C4C" w:rsidRPr="009D5C5D">
                              <w:rPr>
                                <w:rFonts w:cstheme="minorHAnsi"/>
                                <w:sz w:val="22"/>
                                <w:szCs w:val="22"/>
                              </w:rPr>
                              <w:t xml:space="preserve">four core programmatic areas </w:t>
                            </w:r>
                            <w:r w:rsidR="00501B06">
                              <w:rPr>
                                <w:rFonts w:cstheme="minorHAnsi"/>
                                <w:sz w:val="22"/>
                                <w:szCs w:val="22"/>
                              </w:rPr>
                              <w:t>for</w:t>
                            </w:r>
                            <w:r w:rsidR="004A4C4C" w:rsidRPr="009D5C5D">
                              <w:rPr>
                                <w:rFonts w:cstheme="minorHAnsi"/>
                                <w:sz w:val="22"/>
                                <w:szCs w:val="22"/>
                              </w:rPr>
                              <w:t xml:space="preserve"> technical assistance: integrated care model;</w:t>
                            </w:r>
                            <w:r w:rsidR="004A4C4C">
                              <w:rPr>
                                <w:rFonts w:cstheme="minorHAnsi"/>
                                <w:sz w:val="22"/>
                                <w:szCs w:val="22"/>
                              </w:rPr>
                              <w:t xml:space="preserve"> </w:t>
                            </w:r>
                            <w:r w:rsidR="004A4C4C" w:rsidRPr="009D5C5D">
                              <w:rPr>
                                <w:rFonts w:cstheme="minorHAnsi"/>
                                <w:sz w:val="22"/>
                                <w:szCs w:val="22"/>
                              </w:rPr>
                              <w:t>care coordination/community outreach; equitable service delivery; and holistic, person-directed care.</w:t>
                            </w:r>
                            <w:r w:rsidR="00FC2ED2">
                              <w:rPr>
                                <w:rFonts w:cstheme="minorHAnsi"/>
                                <w:sz w:val="22"/>
                                <w:szCs w:val="22"/>
                              </w:rPr>
                              <w:t xml:space="preserve"> </w:t>
                            </w:r>
                            <w:r w:rsidR="00FC2ED2" w:rsidRPr="009D5C5D">
                              <w:rPr>
                                <w:rFonts w:cstheme="minorHAnsi"/>
                                <w:sz w:val="22"/>
                                <w:szCs w:val="22"/>
                              </w:rPr>
                              <w:t>These are the initial topics for the All-Clinic CCBHC Learning Collaborative that was launched in October 2022 by CCBHC program staff who are holding monthly meetings with CCBHC leaders to provide technical support. In addition to the topics identified through the compliance visits, the Learning Collaborative could address additional topics identified through the evaluation interviews with CCBHC leaders.</w:t>
                            </w:r>
                          </w:p>
                          <w:p w14:paraId="7537F762" w14:textId="77777777" w:rsidR="00FC2ED2" w:rsidRPr="004A4C4C" w:rsidRDefault="00FC2ED2" w:rsidP="00FC2ED2">
                            <w:pPr>
                              <w:rPr>
                                <w:rFonts w:cstheme="minorHAnsi"/>
                                <w:sz w:val="22"/>
                                <w:szCs w:val="22"/>
                              </w:rPr>
                            </w:pPr>
                          </w:p>
                          <w:p w14:paraId="7F1A67F4" w14:textId="77777777" w:rsidR="00FC2ED2" w:rsidRDefault="00FC2ED2" w:rsidP="00FC2ED2">
                            <w:pPr>
                              <w:rPr>
                                <w:rFonts w:cstheme="minorHAnsi"/>
                                <w:color w:val="000000" w:themeColor="text1"/>
                                <w:sz w:val="22"/>
                                <w:szCs w:val="22"/>
                              </w:rPr>
                            </w:pPr>
                            <w:r w:rsidRPr="004A4C4C">
                              <w:rPr>
                                <w:rFonts w:cstheme="minorHAnsi"/>
                                <w:b/>
                                <w:bCs/>
                                <w:color w:val="6A7F0F"/>
                                <w:sz w:val="22"/>
                                <w:szCs w:val="22"/>
                              </w:rPr>
                              <w:t>Recommendation:</w:t>
                            </w:r>
                            <w:r w:rsidRPr="009A32C0">
                              <w:rPr>
                                <w:rFonts w:cstheme="minorHAnsi"/>
                                <w:color w:val="6A7F0F"/>
                              </w:rPr>
                              <w:t xml:space="preserve"> </w:t>
                            </w:r>
                            <w:r w:rsidRPr="006D670B">
                              <w:rPr>
                                <w:rFonts w:eastAsia="Calibri" w:cstheme="minorHAnsi"/>
                                <w:color w:val="000000" w:themeColor="text1"/>
                                <w:sz w:val="22"/>
                                <w:szCs w:val="22"/>
                              </w:rPr>
                              <w:t>Engage advocates and community leaders to recommend actions for the development and implementation of culturally and linguistically responsive outreach and services.</w:t>
                            </w:r>
                          </w:p>
                          <w:p w14:paraId="3312F780" w14:textId="77777777" w:rsidR="00FC2ED2" w:rsidRDefault="00FC2ED2" w:rsidP="00FC2ED2">
                            <w:pPr>
                              <w:rPr>
                                <w:rFonts w:cstheme="minorHAnsi"/>
                                <w:color w:val="000000" w:themeColor="text1"/>
                                <w:sz w:val="22"/>
                                <w:szCs w:val="22"/>
                              </w:rPr>
                            </w:pPr>
                          </w:p>
                          <w:p w14:paraId="79ADA6B7" w14:textId="77777777" w:rsidR="00FC2ED2" w:rsidRPr="009D5C5D" w:rsidRDefault="00FC2ED2" w:rsidP="00FC2ED2">
                            <w:pPr>
                              <w:rPr>
                                <w:rFonts w:eastAsia="Calibri" w:cstheme="minorHAnsi"/>
                                <w:color w:val="000000" w:themeColor="text1"/>
                                <w:sz w:val="22"/>
                                <w:szCs w:val="22"/>
                              </w:rPr>
                            </w:pPr>
                            <w:r w:rsidRPr="007A253E">
                              <w:rPr>
                                <w:rFonts w:cstheme="minorHAnsi"/>
                                <w:sz w:val="22"/>
                                <w:szCs w:val="22"/>
                              </w:rPr>
                              <w:t xml:space="preserve">Potential strategies </w:t>
                            </w:r>
                            <w:r>
                              <w:rPr>
                                <w:rFonts w:cstheme="minorHAnsi"/>
                                <w:sz w:val="22"/>
                                <w:szCs w:val="22"/>
                              </w:rPr>
                              <w:t xml:space="preserve">to address this recommendation could </w:t>
                            </w:r>
                            <w:r w:rsidRPr="007A253E">
                              <w:rPr>
                                <w:rFonts w:cstheme="minorHAnsi"/>
                                <w:sz w:val="22"/>
                                <w:szCs w:val="22"/>
                              </w:rPr>
                              <w:t>include</w:t>
                            </w:r>
                            <w:r>
                              <w:rPr>
                                <w:rFonts w:cstheme="minorHAnsi"/>
                                <w:sz w:val="22"/>
                                <w:szCs w:val="22"/>
                              </w:rPr>
                              <w:t>:</w:t>
                            </w:r>
                            <w:r w:rsidRPr="007A253E">
                              <w:rPr>
                                <w:rFonts w:cstheme="minorHAnsi"/>
                                <w:sz w:val="22"/>
                                <w:szCs w:val="22"/>
                              </w:rPr>
                              <w:t xml:space="preserve"> use of community assessment tools that specifically guide CCBHCs to collect information on health disparities by race, ethnicity, language, gender, sexual orientation, and disability; development of a list of recommended staff trainings on equity; engagement of communities that are marginalized by historic and contemporary injustices to identify service gaps and barriers; and alignment of outcomes data with state equity goals.</w:t>
                            </w:r>
                          </w:p>
                          <w:p w14:paraId="712D7244" w14:textId="15E1A3AF" w:rsidR="009835B9" w:rsidRDefault="009835B9" w:rsidP="009835B9">
                            <w:pPr>
                              <w:rPr>
                                <w:rFonts w:cstheme="minorHAnsi"/>
                                <w:sz w:val="22"/>
                                <w:szCs w:val="22"/>
                              </w:rPr>
                            </w:pPr>
                          </w:p>
                          <w:p w14:paraId="364A20E6" w14:textId="77777777" w:rsidR="009835B9" w:rsidRPr="00764EB1" w:rsidRDefault="009835B9" w:rsidP="008D0F16">
                            <w:pPr>
                              <w:rPr>
                                <w:rFonts w:ascii="Calibri" w:eastAsia="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CD76FC" id="Text Box 17" o:spid="_x0000_s1029" type="#_x0000_t202" style="width:482.45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kYNAIAAF4EAAAOAAAAZHJzL2Uyb0RvYy54bWysVEuP2jAQvlfqf7B8L0lYFtiIsKKsqCqh&#10;3ZXYas/GsUkkx+PahoT++o4dXtr2VPVi5sU8vm8ms8euUeQgrKtBFzQbpJQIzaGs9a6gP95WX6aU&#10;OM90yRRoUdCjcPRx/vnTrDW5GEIFqhSWYBLt8tYUtPLe5EnieCUa5gZghEanBNswj6rdJaVlLWZv&#10;VDJM03HSgi2NBS6cQ+tT76TzmF9Kwf2LlE54ogqKvfn42vhuw5vMZyzfWWaqmp/aYP/QRcNqjUUv&#10;qZ6YZ2Rv6z9SNTW34ED6AYcmASlrLuIMOE2WfphmUzEj4iwIjjMXmNz/S8ufDxvzaonvvkKHBAZA&#10;WuNyh8YwTydtE36xU4J+hPB4gU10nnA0jrPh+GGKRHP0TSZ3o/s0Aptc/26s898ENCQIBbXIS4SL&#10;HdbOY0kMPYeEahpWtVKRG6VJW9C7aYY5g8uBqsvgjYrdbZfKkgNDeseLySpdhQEw200Yakqj8TpW&#10;kHy37UhdYurzyFsoj4iEhX5JnOGrGrtdM+dfmcWtwOFx0/0LPlIBdgUniZIK7K+/2UM8koVeSlrc&#10;soK6n3tmBSXqu0YaH7LRKKxlVEb3kyEq9tazvfXofbMEnDTDmzI8iiHeq7MoLTTveBCLUBVdTHOs&#10;XVB/Fpe+3308KC4WixiEi2iYX+uN4SF1wDVw8da9M2tOhHnk+hnO+8jyD7z1sT1zi70HWUdSA849&#10;qif4cYkjO6eDC1dyq8eo62dh/hsAAP//AwBQSwMEFAAGAAgAAAAhAFiCy3HfAAAACwEAAA8AAABk&#10;cnMvZG93bnJldi54bWxMj81uwjAQhO+V+g7WIvVWbFCFIMRB9IdDDz2UlruJt0lEvI5sJ4Q+fbe9&#10;0MtIq9mdnS/fjK4VA4bYeNIwmyoQSKW3DVUaPj9290sQMRmypvWEGi4YYVPc3uQms/5M7zjsUyU4&#10;hGJmNNQpdZmUsazRmTj1HRJ7Xz44k3gMlbTBnDnctXKu1EI60xB/qE2HTzWWp33vNGDvh211sd8v&#10;u0M6vDmvXsOj0vpuMj6vWbZrEAnHdL2AXwbuDwUXO/qebBStBqZJf8reavGwAnHkpflsqUAWufzP&#10;UPwAAAD//wMAUEsBAi0AFAAGAAgAAAAhALaDOJL+AAAA4QEAABMAAAAAAAAAAAAAAAAAAAAAAFtD&#10;b250ZW50X1R5cGVzXS54bWxQSwECLQAUAAYACAAAACEAOP0h/9YAAACUAQAACwAAAAAAAAAAAAAA&#10;AAAvAQAAX3JlbHMvLnJlbHNQSwECLQAUAAYACAAAACEANEbpGDQCAABeBAAADgAAAAAAAAAAAAAA&#10;AAAuAgAAZHJzL2Uyb0RvYy54bWxQSwECLQAUAAYACAAAACEAWILLcd8AAAALAQAADwAAAAAAAAAA&#10;AAAAAACOBAAAZHJzL2Rvd25yZXYueG1sUEsFBgAAAAAEAAQA8wAAAJoFAAAAAA==&#10;" filled="f" strokecolor="#6a7f0f" strokeweight="3pt">
                <v:textbox>
                  <w:txbxContent>
                    <w:p w14:paraId="2CC6D5A2" w14:textId="77777777" w:rsidR="00764EB1" w:rsidRDefault="00764EB1" w:rsidP="00764EB1">
                      <w:pPr>
                        <w:rPr>
                          <w:rFonts w:cstheme="minorHAnsi"/>
                          <w:sz w:val="22"/>
                          <w:szCs w:val="22"/>
                        </w:rPr>
                      </w:pPr>
                      <w:r>
                        <w:rPr>
                          <w:rFonts w:cstheme="minorHAnsi"/>
                          <w:sz w:val="22"/>
                          <w:szCs w:val="22"/>
                        </w:rPr>
                        <w:t xml:space="preserve">The MHSIP data support findings of improvements in access to care from different perspectives. Rural adults and urban children and youth indicated increased satisfaction with access. The most prominent increases in perception of increased access were realized by Black/African American adult respondents who, as a racial group, have historically experienced and continue to experience the most significant barriers in access to healthcare due to systemic racism within both the healthcare system and society. </w:t>
                      </w:r>
                    </w:p>
                    <w:p w14:paraId="51095DF8" w14:textId="77777777" w:rsidR="00415800" w:rsidRPr="008D0F16" w:rsidRDefault="00415800" w:rsidP="008D0F16">
                      <w:pPr>
                        <w:rPr>
                          <w:rFonts w:ascii="Calibri" w:eastAsia="Calibri" w:hAnsi="Calibri" w:cs="Calibri"/>
                          <w:sz w:val="22"/>
                          <w:szCs w:val="22"/>
                        </w:rPr>
                      </w:pPr>
                    </w:p>
                    <w:p w14:paraId="38451998" w14:textId="77777777" w:rsidR="00764EB1" w:rsidRDefault="00764EB1" w:rsidP="00764EB1">
                      <w:pPr>
                        <w:rPr>
                          <w:rFonts w:ascii="Calibri" w:eastAsia="Calibri" w:hAnsi="Calibri" w:cs="Calibri"/>
                          <w:sz w:val="22"/>
                          <w:szCs w:val="22"/>
                        </w:rPr>
                      </w:pPr>
                      <w:r>
                        <w:rPr>
                          <w:rFonts w:ascii="Calibri" w:eastAsia="Calibri" w:hAnsi="Calibri" w:cs="Calibri"/>
                          <w:sz w:val="22"/>
                          <w:szCs w:val="22"/>
                        </w:rPr>
                        <w:t xml:space="preserve">The PPS payment model provided CCBHCs with a means to pay for additional staff, including care coordinators and peer mentors, as well as to implement “outside the four walls” services. The latter enabled CCBHCs to conduct outreach to individuals who may not otherwise seek care. </w:t>
                      </w:r>
                      <w:r>
                        <w:rPr>
                          <w:rFonts w:cstheme="minorHAnsi"/>
                          <w:sz w:val="22"/>
                          <w:szCs w:val="22"/>
                        </w:rPr>
                        <w:t>Significant changes in treatment service distribution were found for remote area residents as compared to urban, and for many ethnic/racial groups as compared to the overall average. Place of service data for CCBHC services indicate some growth in services “outside the four walls” with patterns that vary by area of residence and race/ethnicity.</w:t>
                      </w:r>
                    </w:p>
                    <w:p w14:paraId="58EFDA8B" w14:textId="77777777" w:rsidR="00415800" w:rsidRDefault="00415800" w:rsidP="008D0F16">
                      <w:pPr>
                        <w:rPr>
                          <w:rFonts w:ascii="Calibri" w:eastAsia="Calibri" w:hAnsi="Calibri" w:cs="Calibri"/>
                        </w:rPr>
                      </w:pPr>
                    </w:p>
                    <w:p w14:paraId="4633599D" w14:textId="138EAEAC" w:rsidR="00415800" w:rsidRDefault="00764EB1" w:rsidP="008D0F16">
                      <w:pPr>
                        <w:rPr>
                          <w:rFonts w:ascii="Calibri" w:eastAsia="Calibri" w:hAnsi="Calibri" w:cs="Calibri"/>
                          <w:sz w:val="22"/>
                          <w:szCs w:val="22"/>
                        </w:rPr>
                      </w:pPr>
                      <w:r>
                        <w:rPr>
                          <w:rFonts w:ascii="Calibri" w:eastAsia="Calibri" w:hAnsi="Calibri" w:cs="Calibri"/>
                          <w:sz w:val="22"/>
                          <w:szCs w:val="22"/>
                        </w:rPr>
                        <w:t>While CCBHCs have expanded access to behavioral health in Oregon, they are limited in number and operate within a behavioral health system with well-documented challenges and limitations. Although all CCBHC clinic leaders acknowledged the importance of equity, many were uncertain about how to center equity in their work.</w:t>
                      </w:r>
                    </w:p>
                    <w:p w14:paraId="63CFCB75" w14:textId="35BD3294" w:rsidR="009835B9" w:rsidRDefault="009835B9" w:rsidP="008D0F16">
                      <w:pPr>
                        <w:rPr>
                          <w:rFonts w:ascii="Calibri" w:eastAsia="Calibri" w:hAnsi="Calibri" w:cs="Calibri"/>
                          <w:sz w:val="22"/>
                          <w:szCs w:val="22"/>
                        </w:rPr>
                      </w:pPr>
                    </w:p>
                    <w:p w14:paraId="54DCD5D2" w14:textId="0FA08FF5" w:rsidR="009835B9" w:rsidRDefault="009835B9" w:rsidP="009835B9">
                      <w:pPr>
                        <w:rPr>
                          <w:rFonts w:cstheme="minorHAnsi"/>
                          <w:sz w:val="22"/>
                          <w:szCs w:val="22"/>
                        </w:rPr>
                      </w:pPr>
                      <w:r w:rsidRPr="00282218">
                        <w:rPr>
                          <w:rFonts w:ascii="Calibri" w:eastAsia="Calibri" w:hAnsi="Calibri" w:cs="Calibri"/>
                          <w:sz w:val="22"/>
                          <w:szCs w:val="22"/>
                        </w:rPr>
                        <w:t xml:space="preserve">Clinics could benefit from additional guidance from OHA on how to </w:t>
                      </w:r>
                      <w:r>
                        <w:rPr>
                          <w:rFonts w:ascii="Calibri" w:eastAsia="Calibri" w:hAnsi="Calibri" w:cs="Calibri"/>
                          <w:sz w:val="22"/>
                          <w:szCs w:val="22"/>
                        </w:rPr>
                        <w:t xml:space="preserve">1) </w:t>
                      </w:r>
                      <w:r w:rsidRPr="00282218">
                        <w:rPr>
                          <w:rFonts w:ascii="Calibri" w:eastAsia="Calibri" w:hAnsi="Calibri" w:cs="Calibri"/>
                          <w:sz w:val="22"/>
                          <w:szCs w:val="22"/>
                        </w:rPr>
                        <w:t>effectively identify and develop trusting relationships with community partners, particularly BIPOC, Tribal, and LGBTQ+ leaders</w:t>
                      </w:r>
                      <w:r>
                        <w:rPr>
                          <w:rFonts w:ascii="Calibri" w:eastAsia="Calibri" w:hAnsi="Calibri" w:cs="Calibri"/>
                          <w:sz w:val="22"/>
                          <w:szCs w:val="22"/>
                        </w:rPr>
                        <w:t>,</w:t>
                      </w:r>
                      <w:r w:rsidRPr="00282218">
                        <w:rPr>
                          <w:rFonts w:ascii="Calibri" w:eastAsia="Calibri" w:hAnsi="Calibri" w:cs="Calibri"/>
                          <w:sz w:val="22"/>
                          <w:szCs w:val="22"/>
                        </w:rPr>
                        <w:t xml:space="preserve"> and culturally specific CBOs</w:t>
                      </w:r>
                      <w:r>
                        <w:rPr>
                          <w:rFonts w:ascii="Calibri" w:eastAsia="Calibri" w:hAnsi="Calibri" w:cs="Calibri"/>
                          <w:sz w:val="22"/>
                          <w:szCs w:val="22"/>
                        </w:rPr>
                        <w:t>;</w:t>
                      </w:r>
                      <w:r w:rsidRPr="00282218">
                        <w:rPr>
                          <w:rFonts w:ascii="Calibri" w:eastAsia="Calibri" w:hAnsi="Calibri" w:cs="Calibri"/>
                          <w:sz w:val="22"/>
                          <w:szCs w:val="22"/>
                        </w:rPr>
                        <w:t xml:space="preserve"> </w:t>
                      </w:r>
                      <w:r>
                        <w:rPr>
                          <w:rFonts w:ascii="Calibri" w:eastAsia="Calibri" w:hAnsi="Calibri" w:cs="Calibri"/>
                          <w:sz w:val="22"/>
                          <w:szCs w:val="22"/>
                        </w:rPr>
                        <w:t>2)</w:t>
                      </w:r>
                      <w:r w:rsidRPr="00282218">
                        <w:rPr>
                          <w:rFonts w:ascii="Calibri" w:eastAsia="Calibri" w:hAnsi="Calibri" w:cs="Calibri"/>
                          <w:sz w:val="22"/>
                          <w:szCs w:val="22"/>
                        </w:rPr>
                        <w:t xml:space="preserve"> engage the community and their service users</w:t>
                      </w:r>
                      <w:r>
                        <w:rPr>
                          <w:rFonts w:ascii="Calibri" w:eastAsia="Calibri" w:hAnsi="Calibri" w:cs="Calibri"/>
                          <w:sz w:val="22"/>
                          <w:szCs w:val="22"/>
                        </w:rPr>
                        <w:t xml:space="preserve"> to</w:t>
                      </w:r>
                      <w:r w:rsidRPr="00282218">
                        <w:rPr>
                          <w:rFonts w:ascii="Calibri" w:eastAsia="Calibri" w:hAnsi="Calibri" w:cs="Calibri"/>
                          <w:sz w:val="22"/>
                          <w:szCs w:val="22"/>
                        </w:rPr>
                        <w:t xml:space="preserve"> identify community health needs</w:t>
                      </w:r>
                      <w:r>
                        <w:rPr>
                          <w:rFonts w:ascii="Calibri" w:eastAsia="Calibri" w:hAnsi="Calibri" w:cs="Calibri"/>
                          <w:sz w:val="22"/>
                          <w:szCs w:val="22"/>
                        </w:rPr>
                        <w:t>;</w:t>
                      </w:r>
                      <w:r w:rsidRPr="00282218">
                        <w:rPr>
                          <w:rFonts w:ascii="Calibri" w:eastAsia="Calibri" w:hAnsi="Calibri" w:cs="Calibri"/>
                          <w:sz w:val="22"/>
                          <w:szCs w:val="22"/>
                        </w:rPr>
                        <w:t xml:space="preserve"> and </w:t>
                      </w:r>
                      <w:r>
                        <w:rPr>
                          <w:rFonts w:ascii="Calibri" w:eastAsia="Calibri" w:hAnsi="Calibri" w:cs="Calibri"/>
                          <w:sz w:val="22"/>
                          <w:szCs w:val="22"/>
                        </w:rPr>
                        <w:t xml:space="preserve">3) </w:t>
                      </w:r>
                      <w:r w:rsidRPr="00282218">
                        <w:rPr>
                          <w:rFonts w:ascii="Calibri" w:eastAsia="Calibri" w:hAnsi="Calibri" w:cs="Calibri"/>
                          <w:sz w:val="22"/>
                          <w:szCs w:val="22"/>
                        </w:rPr>
                        <w:t xml:space="preserve">develop culturally appropriate outreach and services. </w:t>
                      </w:r>
                      <w:r>
                        <w:rPr>
                          <w:rFonts w:cstheme="minorHAnsi"/>
                          <w:sz w:val="22"/>
                          <w:szCs w:val="22"/>
                        </w:rPr>
                        <w:t>Groups that are marginalized by historic and contemporary injustices should receive primary attention in efforts to destigmatize behavioral health services and increase access.</w:t>
                      </w:r>
                    </w:p>
                    <w:p w14:paraId="1DBF6D5E" w14:textId="53D36DF0" w:rsidR="009835B9" w:rsidRDefault="009835B9" w:rsidP="009835B9">
                      <w:pPr>
                        <w:rPr>
                          <w:rFonts w:cstheme="minorHAnsi"/>
                          <w:sz w:val="22"/>
                          <w:szCs w:val="22"/>
                        </w:rPr>
                      </w:pPr>
                    </w:p>
                    <w:p w14:paraId="2072F544" w14:textId="77777777" w:rsidR="00FC2ED2" w:rsidRDefault="009835B9" w:rsidP="00FC2ED2">
                      <w:pPr>
                        <w:rPr>
                          <w:rFonts w:cstheme="minorHAnsi"/>
                          <w:sz w:val="22"/>
                          <w:szCs w:val="22"/>
                        </w:rPr>
                      </w:pPr>
                      <w:r w:rsidRPr="009D5C5D">
                        <w:rPr>
                          <w:rFonts w:cstheme="minorHAnsi"/>
                          <w:sz w:val="22"/>
                          <w:szCs w:val="22"/>
                          <w:lang w:bidi="th-TH"/>
                        </w:rPr>
                        <w:t>CCHBC program staff carried out on-site compliance visits at each CCBHC between July and November 2022. The collective findings from those site visits, as reported to the evaluation team by CCBHC</w:t>
                      </w:r>
                      <w:r w:rsidR="004A4C4C">
                        <w:rPr>
                          <w:rFonts w:cstheme="minorHAnsi"/>
                          <w:sz w:val="22"/>
                          <w:szCs w:val="22"/>
                          <w:lang w:bidi="th-TH"/>
                        </w:rPr>
                        <w:t xml:space="preserve"> </w:t>
                      </w:r>
                      <w:r w:rsidR="004A4C4C" w:rsidRPr="009D5C5D">
                        <w:rPr>
                          <w:rFonts w:cstheme="minorHAnsi"/>
                          <w:sz w:val="22"/>
                          <w:szCs w:val="22"/>
                          <w:lang w:bidi="th-TH"/>
                        </w:rPr>
                        <w:t xml:space="preserve">program staff, revealed </w:t>
                      </w:r>
                      <w:r w:rsidR="004A4C4C" w:rsidRPr="009D5C5D">
                        <w:rPr>
                          <w:rFonts w:cstheme="minorHAnsi"/>
                          <w:sz w:val="22"/>
                          <w:szCs w:val="22"/>
                        </w:rPr>
                        <w:t xml:space="preserve">four core programmatic areas </w:t>
                      </w:r>
                      <w:r w:rsidR="00501B06">
                        <w:rPr>
                          <w:rFonts w:cstheme="minorHAnsi"/>
                          <w:sz w:val="22"/>
                          <w:szCs w:val="22"/>
                        </w:rPr>
                        <w:t>for</w:t>
                      </w:r>
                      <w:r w:rsidR="004A4C4C" w:rsidRPr="009D5C5D">
                        <w:rPr>
                          <w:rFonts w:cstheme="minorHAnsi"/>
                          <w:sz w:val="22"/>
                          <w:szCs w:val="22"/>
                        </w:rPr>
                        <w:t xml:space="preserve"> technical assistance: integrated care model;</w:t>
                      </w:r>
                      <w:r w:rsidR="004A4C4C">
                        <w:rPr>
                          <w:rFonts w:cstheme="minorHAnsi"/>
                          <w:sz w:val="22"/>
                          <w:szCs w:val="22"/>
                        </w:rPr>
                        <w:t xml:space="preserve"> </w:t>
                      </w:r>
                      <w:r w:rsidR="004A4C4C" w:rsidRPr="009D5C5D">
                        <w:rPr>
                          <w:rFonts w:cstheme="minorHAnsi"/>
                          <w:sz w:val="22"/>
                          <w:szCs w:val="22"/>
                        </w:rPr>
                        <w:t>care coordination/community outreach; equitable service delivery; and holistic, person-directed care.</w:t>
                      </w:r>
                      <w:r w:rsidR="00FC2ED2">
                        <w:rPr>
                          <w:rFonts w:cstheme="minorHAnsi"/>
                          <w:sz w:val="22"/>
                          <w:szCs w:val="22"/>
                        </w:rPr>
                        <w:t xml:space="preserve"> </w:t>
                      </w:r>
                      <w:r w:rsidR="00FC2ED2" w:rsidRPr="009D5C5D">
                        <w:rPr>
                          <w:rFonts w:cstheme="minorHAnsi"/>
                          <w:sz w:val="22"/>
                          <w:szCs w:val="22"/>
                        </w:rPr>
                        <w:t>These are the initial topics for the All-Clinic CCBHC Learning Collaborative that was launched in October 2022 by CCBHC program staff who are holding monthly meetings with CCBHC leaders to provide technical support. In addition to the topics identified through the compliance visits, the Learning Collaborative could address additional topics identified through the evaluation interviews with CCBHC leaders.</w:t>
                      </w:r>
                    </w:p>
                    <w:p w14:paraId="7537F762" w14:textId="77777777" w:rsidR="00FC2ED2" w:rsidRPr="004A4C4C" w:rsidRDefault="00FC2ED2" w:rsidP="00FC2ED2">
                      <w:pPr>
                        <w:rPr>
                          <w:rFonts w:cstheme="minorHAnsi"/>
                          <w:sz w:val="22"/>
                          <w:szCs w:val="22"/>
                        </w:rPr>
                      </w:pPr>
                    </w:p>
                    <w:p w14:paraId="7F1A67F4" w14:textId="77777777" w:rsidR="00FC2ED2" w:rsidRDefault="00FC2ED2" w:rsidP="00FC2ED2">
                      <w:pPr>
                        <w:rPr>
                          <w:rFonts w:cstheme="minorHAnsi"/>
                          <w:color w:val="000000" w:themeColor="text1"/>
                          <w:sz w:val="22"/>
                          <w:szCs w:val="22"/>
                        </w:rPr>
                      </w:pPr>
                      <w:r w:rsidRPr="004A4C4C">
                        <w:rPr>
                          <w:rFonts w:cstheme="minorHAnsi"/>
                          <w:b/>
                          <w:bCs/>
                          <w:color w:val="6A7F0F"/>
                          <w:sz w:val="22"/>
                          <w:szCs w:val="22"/>
                        </w:rPr>
                        <w:t>Recommendation:</w:t>
                      </w:r>
                      <w:r w:rsidRPr="009A32C0">
                        <w:rPr>
                          <w:rFonts w:cstheme="minorHAnsi"/>
                          <w:color w:val="6A7F0F"/>
                        </w:rPr>
                        <w:t xml:space="preserve"> </w:t>
                      </w:r>
                      <w:r w:rsidRPr="006D670B">
                        <w:rPr>
                          <w:rFonts w:eastAsia="Calibri" w:cstheme="minorHAnsi"/>
                          <w:color w:val="000000" w:themeColor="text1"/>
                          <w:sz w:val="22"/>
                          <w:szCs w:val="22"/>
                        </w:rPr>
                        <w:t>Engage advocates and community leaders to recommend actions for the development and implementation of culturally and linguistically responsive outreach and services.</w:t>
                      </w:r>
                    </w:p>
                    <w:p w14:paraId="3312F780" w14:textId="77777777" w:rsidR="00FC2ED2" w:rsidRDefault="00FC2ED2" w:rsidP="00FC2ED2">
                      <w:pPr>
                        <w:rPr>
                          <w:rFonts w:cstheme="minorHAnsi"/>
                          <w:color w:val="000000" w:themeColor="text1"/>
                          <w:sz w:val="22"/>
                          <w:szCs w:val="22"/>
                        </w:rPr>
                      </w:pPr>
                    </w:p>
                    <w:p w14:paraId="79ADA6B7" w14:textId="77777777" w:rsidR="00FC2ED2" w:rsidRPr="009D5C5D" w:rsidRDefault="00FC2ED2" w:rsidP="00FC2ED2">
                      <w:pPr>
                        <w:rPr>
                          <w:rFonts w:eastAsia="Calibri" w:cstheme="minorHAnsi"/>
                          <w:color w:val="000000" w:themeColor="text1"/>
                          <w:sz w:val="22"/>
                          <w:szCs w:val="22"/>
                        </w:rPr>
                      </w:pPr>
                      <w:r w:rsidRPr="007A253E">
                        <w:rPr>
                          <w:rFonts w:cstheme="minorHAnsi"/>
                          <w:sz w:val="22"/>
                          <w:szCs w:val="22"/>
                        </w:rPr>
                        <w:t xml:space="preserve">Potential strategies </w:t>
                      </w:r>
                      <w:r>
                        <w:rPr>
                          <w:rFonts w:cstheme="minorHAnsi"/>
                          <w:sz w:val="22"/>
                          <w:szCs w:val="22"/>
                        </w:rPr>
                        <w:t xml:space="preserve">to address this recommendation could </w:t>
                      </w:r>
                      <w:proofErr w:type="gramStart"/>
                      <w:r w:rsidRPr="007A253E">
                        <w:rPr>
                          <w:rFonts w:cstheme="minorHAnsi"/>
                          <w:sz w:val="22"/>
                          <w:szCs w:val="22"/>
                        </w:rPr>
                        <w:t>include</w:t>
                      </w:r>
                      <w:r>
                        <w:rPr>
                          <w:rFonts w:cstheme="minorHAnsi"/>
                          <w:sz w:val="22"/>
                          <w:szCs w:val="22"/>
                        </w:rPr>
                        <w:t>:</w:t>
                      </w:r>
                      <w:proofErr w:type="gramEnd"/>
                      <w:r w:rsidRPr="007A253E">
                        <w:rPr>
                          <w:rFonts w:cstheme="minorHAnsi"/>
                          <w:sz w:val="22"/>
                          <w:szCs w:val="22"/>
                        </w:rPr>
                        <w:t xml:space="preserve"> use of community assessment tools that specifically guide CCBHCs to collect information on health disparities by race, ethnicity, language, gender, sexual orientation, and disability; development of a list of recommended staff trainings on equity; engagement of communities that are marginalized by historic and contemporary injustices to identify service gaps and barriers; and alignment of outcomes data with state equity goals.</w:t>
                      </w:r>
                    </w:p>
                    <w:p w14:paraId="712D7244" w14:textId="15E1A3AF" w:rsidR="009835B9" w:rsidRDefault="009835B9" w:rsidP="009835B9">
                      <w:pPr>
                        <w:rPr>
                          <w:rFonts w:cstheme="minorHAnsi"/>
                          <w:sz w:val="22"/>
                          <w:szCs w:val="22"/>
                        </w:rPr>
                      </w:pPr>
                    </w:p>
                    <w:p w14:paraId="364A20E6" w14:textId="77777777" w:rsidR="009835B9" w:rsidRPr="00764EB1" w:rsidRDefault="009835B9" w:rsidP="008D0F16">
                      <w:pPr>
                        <w:rPr>
                          <w:rFonts w:ascii="Calibri" w:eastAsia="Calibri" w:hAnsi="Calibri" w:cs="Calibri"/>
                        </w:rPr>
                      </w:pPr>
                    </w:p>
                  </w:txbxContent>
                </v:textbox>
                <w10:anchorlock/>
              </v:shape>
            </w:pict>
          </mc:Fallback>
        </mc:AlternateContent>
      </w:r>
    </w:p>
    <w:p w14:paraId="51FB3BAC" w14:textId="312DA769" w:rsidR="00415800" w:rsidRPr="004247FE" w:rsidRDefault="00415800" w:rsidP="006546A9">
      <w:pPr>
        <w:pStyle w:val="Heading2"/>
        <w:spacing w:after="120"/>
        <w:rPr>
          <w:rFonts w:asciiTheme="minorHAnsi" w:hAnsiTheme="minorHAnsi" w:cstheme="minorHAnsi"/>
          <w:b/>
          <w:bCs/>
          <w:color w:val="6A7F0F"/>
        </w:rPr>
      </w:pPr>
      <w:bookmarkStart w:id="35" w:name="_Toc126068181"/>
      <w:bookmarkEnd w:id="32"/>
      <w:r w:rsidRPr="004247FE">
        <w:rPr>
          <w:rFonts w:asciiTheme="minorHAnsi" w:hAnsiTheme="minorHAnsi" w:cstheme="minorHAnsi"/>
          <w:b/>
          <w:bCs/>
          <w:color w:val="6A7F0F"/>
        </w:rPr>
        <w:t>Provide Integrated Physical and Behavioral Health</w:t>
      </w:r>
      <w:r w:rsidR="009835B9">
        <w:rPr>
          <w:rFonts w:asciiTheme="minorHAnsi" w:hAnsiTheme="minorHAnsi" w:cstheme="minorHAnsi"/>
          <w:b/>
          <w:bCs/>
          <w:color w:val="6A7F0F"/>
        </w:rPr>
        <w:t>care</w:t>
      </w:r>
      <w:bookmarkEnd w:id="35"/>
    </w:p>
    <w:p w14:paraId="378CBBC6" w14:textId="6479BD14" w:rsidR="00764EB1" w:rsidRDefault="00764EB1" w:rsidP="00764EB1">
      <w:pPr>
        <w:spacing w:after="160"/>
        <w:rPr>
          <w:rFonts w:eastAsia="Calibri" w:cstheme="minorHAnsi"/>
          <w:sz w:val="22"/>
          <w:szCs w:val="22"/>
        </w:rPr>
      </w:pPr>
      <w:r w:rsidRPr="00337BFB">
        <w:rPr>
          <w:rFonts w:eastAsia="Calibri" w:cstheme="minorHAnsi"/>
          <w:sz w:val="22"/>
          <w:szCs w:val="22"/>
        </w:rPr>
        <w:t xml:space="preserve">CCBHCs receive an enhanced Medicaid payment rate based on the anticipated costs of providing an expanded array of addiction and </w:t>
      </w:r>
      <w:r>
        <w:rPr>
          <w:rFonts w:eastAsia="Calibri" w:cstheme="minorHAnsi"/>
          <w:sz w:val="22"/>
          <w:szCs w:val="22"/>
        </w:rPr>
        <w:t>behavioral</w:t>
      </w:r>
      <w:r w:rsidRPr="00337BFB">
        <w:rPr>
          <w:rFonts w:eastAsia="Calibri" w:cstheme="minorHAnsi"/>
          <w:sz w:val="22"/>
          <w:szCs w:val="22"/>
        </w:rPr>
        <w:t xml:space="preserve"> health services, along with basic primary care screening and coordination with primary care (</w:t>
      </w:r>
      <w:r>
        <w:rPr>
          <w:rFonts w:eastAsia="Calibri" w:cstheme="minorHAnsi"/>
          <w:sz w:val="22"/>
          <w:szCs w:val="22"/>
        </w:rPr>
        <w:t xml:space="preserve">U.S. </w:t>
      </w:r>
      <w:r w:rsidRPr="00337BFB">
        <w:rPr>
          <w:rFonts w:eastAsia="Calibri" w:cstheme="minorHAnsi"/>
          <w:sz w:val="22"/>
          <w:szCs w:val="22"/>
        </w:rPr>
        <w:t xml:space="preserve">DHHS, 2016). Oregon added </w:t>
      </w:r>
      <w:r>
        <w:rPr>
          <w:rFonts w:eastAsia="Calibri" w:cstheme="minorHAnsi"/>
          <w:sz w:val="22"/>
          <w:szCs w:val="22"/>
        </w:rPr>
        <w:t>an</w:t>
      </w:r>
      <w:r w:rsidR="008528F0">
        <w:rPr>
          <w:rFonts w:eastAsia="Calibri" w:cstheme="minorHAnsi"/>
          <w:sz w:val="22"/>
          <w:szCs w:val="22"/>
        </w:rPr>
        <w:t xml:space="preserve"> additional</w:t>
      </w:r>
      <w:r w:rsidRPr="00337BFB">
        <w:rPr>
          <w:rFonts w:eastAsia="Calibri" w:cstheme="minorHAnsi"/>
          <w:sz w:val="22"/>
          <w:szCs w:val="22"/>
        </w:rPr>
        <w:t xml:space="preserve"> requirement that goes beyond screening and coordination and requires the CCBHCs to provide 20 hours of </w:t>
      </w:r>
      <w:r>
        <w:rPr>
          <w:rFonts w:eastAsia="Calibri" w:cstheme="minorHAnsi"/>
          <w:sz w:val="22"/>
          <w:szCs w:val="22"/>
        </w:rPr>
        <w:t>onsite</w:t>
      </w:r>
      <w:r w:rsidRPr="00337BFB">
        <w:rPr>
          <w:rFonts w:eastAsia="Calibri" w:cstheme="minorHAnsi"/>
          <w:sz w:val="22"/>
          <w:szCs w:val="22"/>
        </w:rPr>
        <w:t xml:space="preserve"> primary care services </w:t>
      </w:r>
      <w:r>
        <w:rPr>
          <w:rFonts w:eastAsia="Calibri" w:cstheme="minorHAnsi"/>
          <w:sz w:val="22"/>
          <w:szCs w:val="22"/>
        </w:rPr>
        <w:t>per</w:t>
      </w:r>
      <w:r w:rsidRPr="00337BFB">
        <w:rPr>
          <w:rFonts w:eastAsia="Calibri" w:cstheme="minorHAnsi"/>
          <w:sz w:val="22"/>
          <w:szCs w:val="22"/>
        </w:rPr>
        <w:t xml:space="preserve"> week. </w:t>
      </w:r>
      <w:sdt>
        <w:sdtPr>
          <w:rPr>
            <w:rFonts w:cstheme="minorHAnsi"/>
            <w:sz w:val="22"/>
            <w:szCs w:val="22"/>
          </w:rPr>
          <w:tag w:val="goog_rdk_0"/>
          <w:id w:val="608860897"/>
        </w:sdtPr>
        <w:sdtEndPr/>
        <w:sdtContent/>
      </w:sdt>
      <w:r w:rsidRPr="00337BFB">
        <w:rPr>
          <w:rFonts w:eastAsia="Calibri" w:cstheme="minorHAnsi"/>
          <w:sz w:val="22"/>
          <w:szCs w:val="22"/>
        </w:rPr>
        <w:t xml:space="preserve">Integrating primary care services into behavioral </w:t>
      </w:r>
      <w:r>
        <w:rPr>
          <w:rFonts w:eastAsia="Calibri" w:cstheme="minorHAnsi"/>
          <w:sz w:val="22"/>
          <w:szCs w:val="22"/>
        </w:rPr>
        <w:t>healthcare</w:t>
      </w:r>
      <w:r w:rsidRPr="00337BFB">
        <w:rPr>
          <w:rFonts w:eastAsia="Calibri" w:cstheme="minorHAnsi"/>
          <w:sz w:val="22"/>
          <w:szCs w:val="22"/>
        </w:rPr>
        <w:t xml:space="preserve"> settings is predicated on the need to connect individuals with </w:t>
      </w:r>
      <w:r>
        <w:rPr>
          <w:rFonts w:eastAsia="Calibri" w:cstheme="minorHAnsi"/>
          <w:sz w:val="22"/>
          <w:szCs w:val="22"/>
        </w:rPr>
        <w:t>serious behavioral health needs</w:t>
      </w:r>
      <w:r w:rsidRPr="00337BFB">
        <w:rPr>
          <w:rFonts w:eastAsia="Calibri" w:cstheme="minorHAnsi"/>
          <w:sz w:val="22"/>
          <w:szCs w:val="22"/>
        </w:rPr>
        <w:t xml:space="preserve"> and SUD to</w:t>
      </w:r>
      <w:r>
        <w:rPr>
          <w:rFonts w:eastAsia="Calibri" w:cstheme="minorHAnsi"/>
          <w:sz w:val="22"/>
          <w:szCs w:val="22"/>
        </w:rPr>
        <w:t xml:space="preserve"> preventive health services (Scharf et al., 2013).</w:t>
      </w:r>
      <w:r w:rsidRPr="00337BFB">
        <w:rPr>
          <w:rFonts w:eastAsia="Calibri" w:cstheme="minorHAnsi"/>
          <w:sz w:val="22"/>
          <w:szCs w:val="22"/>
        </w:rPr>
        <w:t xml:space="preserve"> For individuals with </w:t>
      </w:r>
      <w:r>
        <w:rPr>
          <w:rFonts w:eastAsia="Calibri" w:cstheme="minorHAnsi"/>
          <w:sz w:val="22"/>
          <w:szCs w:val="22"/>
        </w:rPr>
        <w:t>serious behavioral health needs</w:t>
      </w:r>
      <w:r w:rsidRPr="00337BFB">
        <w:rPr>
          <w:rFonts w:eastAsia="Calibri" w:cstheme="minorHAnsi"/>
          <w:sz w:val="22"/>
          <w:szCs w:val="22"/>
        </w:rPr>
        <w:t xml:space="preserve"> and SUD or </w:t>
      </w:r>
      <w:r>
        <w:rPr>
          <w:rFonts w:eastAsia="Calibri" w:cstheme="minorHAnsi"/>
          <w:sz w:val="22"/>
          <w:szCs w:val="22"/>
        </w:rPr>
        <w:t>with a</w:t>
      </w:r>
      <w:r w:rsidRPr="00337BFB">
        <w:rPr>
          <w:rFonts w:eastAsia="Calibri" w:cstheme="minorHAnsi"/>
          <w:sz w:val="22"/>
          <w:szCs w:val="22"/>
        </w:rPr>
        <w:t xml:space="preserve"> dual diagnosis, community mental health clinics may be the only point of contact with the </w:t>
      </w:r>
      <w:r>
        <w:rPr>
          <w:rFonts w:eastAsia="Calibri" w:cstheme="minorHAnsi"/>
          <w:sz w:val="22"/>
          <w:szCs w:val="22"/>
        </w:rPr>
        <w:t>healthcare</w:t>
      </w:r>
      <w:r w:rsidRPr="00337BFB">
        <w:rPr>
          <w:rFonts w:eastAsia="Calibri" w:cstheme="minorHAnsi"/>
          <w:sz w:val="22"/>
          <w:szCs w:val="22"/>
        </w:rPr>
        <w:t xml:space="preserve"> system, and they may feel most comfortable receiving care at their local community mental health clinic. In</w:t>
      </w:r>
      <w:r w:rsidR="00182B09">
        <w:rPr>
          <w:rFonts w:eastAsia="Calibri" w:cstheme="minorHAnsi"/>
          <w:sz w:val="22"/>
          <w:szCs w:val="22"/>
        </w:rPr>
        <w:t xml:space="preserve"> </w:t>
      </w:r>
      <w:r w:rsidRPr="00337BFB">
        <w:rPr>
          <w:rFonts w:eastAsia="Calibri" w:cstheme="minorHAnsi"/>
          <w:sz w:val="22"/>
          <w:szCs w:val="22"/>
        </w:rPr>
        <w:t xml:space="preserve">order to improve health outcomes among this specific population, </w:t>
      </w:r>
      <w:r w:rsidR="008528F0">
        <w:rPr>
          <w:rFonts w:eastAsia="Calibri" w:cstheme="minorHAnsi"/>
          <w:sz w:val="22"/>
          <w:szCs w:val="22"/>
        </w:rPr>
        <w:t>facilitatin</w:t>
      </w:r>
      <w:r w:rsidRPr="00337BFB">
        <w:rPr>
          <w:rFonts w:eastAsia="Calibri" w:cstheme="minorHAnsi"/>
          <w:sz w:val="22"/>
          <w:szCs w:val="22"/>
        </w:rPr>
        <w:t xml:space="preserve">g </w:t>
      </w:r>
      <w:r w:rsidR="008528F0">
        <w:rPr>
          <w:rFonts w:eastAsia="Calibri" w:cstheme="minorHAnsi"/>
          <w:sz w:val="22"/>
          <w:szCs w:val="22"/>
        </w:rPr>
        <w:t xml:space="preserve">access to </w:t>
      </w:r>
      <w:r w:rsidRPr="00337BFB">
        <w:rPr>
          <w:rFonts w:eastAsia="Calibri" w:cstheme="minorHAnsi"/>
          <w:sz w:val="22"/>
          <w:szCs w:val="22"/>
        </w:rPr>
        <w:t>primary care services preferably by bringing primary care providers onsite</w:t>
      </w:r>
      <w:r>
        <w:rPr>
          <w:rFonts w:eastAsia="Calibri" w:cstheme="minorHAnsi"/>
          <w:sz w:val="22"/>
          <w:szCs w:val="22"/>
        </w:rPr>
        <w:t xml:space="preserve"> at the community mental health clinic,</w:t>
      </w:r>
      <w:r w:rsidRPr="00337BFB">
        <w:rPr>
          <w:rFonts w:eastAsia="Calibri" w:cstheme="minorHAnsi"/>
          <w:sz w:val="22"/>
          <w:szCs w:val="22"/>
        </w:rPr>
        <w:t xml:space="preserve"> has been </w:t>
      </w:r>
      <w:r w:rsidR="008528F0">
        <w:rPr>
          <w:rFonts w:eastAsia="Calibri" w:cstheme="minorHAnsi"/>
          <w:sz w:val="22"/>
          <w:szCs w:val="22"/>
        </w:rPr>
        <w:t>identified</w:t>
      </w:r>
      <w:r w:rsidRPr="00337BFB">
        <w:rPr>
          <w:rFonts w:eastAsia="Calibri" w:cstheme="minorHAnsi"/>
          <w:sz w:val="22"/>
          <w:szCs w:val="22"/>
        </w:rPr>
        <w:t xml:space="preserve"> as a promising strategy</w:t>
      </w:r>
      <w:r>
        <w:rPr>
          <w:rFonts w:eastAsia="Calibri" w:cstheme="minorHAnsi"/>
          <w:sz w:val="22"/>
          <w:szCs w:val="22"/>
        </w:rPr>
        <w:t xml:space="preserve"> (Scharf et al., 2013)</w:t>
      </w:r>
      <w:r w:rsidRPr="00337BFB">
        <w:rPr>
          <w:rFonts w:eastAsia="Calibri" w:cstheme="minorHAnsi"/>
          <w:sz w:val="22"/>
          <w:szCs w:val="22"/>
        </w:rPr>
        <w:t>.</w:t>
      </w:r>
    </w:p>
    <w:p w14:paraId="2D0C67A8" w14:textId="6030D7F3" w:rsidR="00764EB1" w:rsidRDefault="00764EB1" w:rsidP="00580A99">
      <w:pPr>
        <w:rPr>
          <w:rFonts w:eastAsia="Calibri" w:cstheme="minorHAnsi"/>
          <w:sz w:val="22"/>
          <w:szCs w:val="22"/>
        </w:rPr>
      </w:pPr>
      <w:r>
        <w:rPr>
          <w:rFonts w:eastAsia="Calibri" w:cstheme="minorHAnsi"/>
          <w:sz w:val="22"/>
          <w:szCs w:val="22"/>
        </w:rPr>
        <w:t>T</w:t>
      </w:r>
      <w:r w:rsidRPr="00421366">
        <w:rPr>
          <w:rFonts w:eastAsia="Calibri" w:cstheme="minorHAnsi"/>
          <w:sz w:val="22"/>
          <w:szCs w:val="22"/>
        </w:rPr>
        <w:t xml:space="preserve">he </w:t>
      </w:r>
      <w:r>
        <w:rPr>
          <w:rFonts w:eastAsia="Calibri" w:cstheme="minorHAnsi"/>
          <w:sz w:val="22"/>
          <w:szCs w:val="22"/>
        </w:rPr>
        <w:t>SAMHSA</w:t>
      </w:r>
      <w:r w:rsidRPr="00421366">
        <w:rPr>
          <w:rFonts w:eastAsia="Calibri" w:cstheme="minorHAnsi"/>
          <w:sz w:val="22"/>
          <w:szCs w:val="22"/>
        </w:rPr>
        <w:t xml:space="preserve">-HRSA Center for Integrated Health Solutions (CIHS) </w:t>
      </w:r>
      <w:r>
        <w:rPr>
          <w:rFonts w:eastAsia="Calibri" w:cstheme="minorHAnsi"/>
          <w:sz w:val="22"/>
          <w:szCs w:val="22"/>
        </w:rPr>
        <w:t xml:space="preserve">articulates a </w:t>
      </w:r>
      <w:r w:rsidRPr="00421366">
        <w:rPr>
          <w:rFonts w:eastAsia="Calibri" w:cstheme="minorHAnsi"/>
          <w:sz w:val="22"/>
          <w:szCs w:val="22"/>
        </w:rPr>
        <w:t>continuum of collaboration</w:t>
      </w:r>
      <w:r>
        <w:rPr>
          <w:rFonts w:eastAsia="Calibri" w:cstheme="minorHAnsi"/>
          <w:sz w:val="22"/>
          <w:szCs w:val="22"/>
        </w:rPr>
        <w:t xml:space="preserve"> and </w:t>
      </w:r>
      <w:r w:rsidRPr="00421366">
        <w:rPr>
          <w:rFonts w:eastAsia="Calibri" w:cstheme="minorHAnsi"/>
          <w:sz w:val="22"/>
          <w:szCs w:val="22"/>
        </w:rPr>
        <w:t>integra</w:t>
      </w:r>
      <w:r>
        <w:rPr>
          <w:rFonts w:eastAsia="Calibri" w:cstheme="minorHAnsi"/>
          <w:sz w:val="22"/>
          <w:szCs w:val="22"/>
        </w:rPr>
        <w:t xml:space="preserve">tion that includes </w:t>
      </w:r>
      <w:r w:rsidRPr="00421366">
        <w:rPr>
          <w:rFonts w:eastAsia="Calibri" w:cstheme="minorHAnsi"/>
          <w:sz w:val="22"/>
          <w:szCs w:val="22"/>
        </w:rPr>
        <w:t xml:space="preserve">separate systems and settings </w:t>
      </w:r>
      <w:r>
        <w:rPr>
          <w:rFonts w:eastAsia="Calibri" w:cstheme="minorHAnsi"/>
          <w:sz w:val="22"/>
          <w:szCs w:val="22"/>
        </w:rPr>
        <w:t xml:space="preserve">with little to no communication or coordination, co-located behavioral health and physical health with some coordination, and fully integrated systems where behavioral health and primary care providers provide team-based, whole-person care (Heath et al., 2013). </w:t>
      </w:r>
    </w:p>
    <w:p w14:paraId="4CD96722" w14:textId="77777777" w:rsidR="00580A99" w:rsidRDefault="00580A99" w:rsidP="00580A99">
      <w:pPr>
        <w:rPr>
          <w:rFonts w:eastAsia="Calibri" w:cstheme="minorHAnsi"/>
          <w:sz w:val="22"/>
          <w:szCs w:val="22"/>
        </w:rPr>
      </w:pPr>
    </w:p>
    <w:p w14:paraId="0AA05010" w14:textId="1120C5C6" w:rsidR="00182B09" w:rsidRPr="00182B09" w:rsidRDefault="00182B09" w:rsidP="00182B09">
      <w:pPr>
        <w:spacing w:after="120"/>
        <w:rPr>
          <w:b/>
          <w:bCs/>
          <w:i/>
          <w:iCs/>
          <w:color w:val="6A7F0F"/>
          <w:highlight w:val="white"/>
        </w:rPr>
      </w:pPr>
      <w:r>
        <w:rPr>
          <w:b/>
          <w:bCs/>
          <w:i/>
          <w:iCs/>
          <w:color w:val="6A7F0F"/>
          <w:highlight w:val="white"/>
        </w:rPr>
        <w:t xml:space="preserve">Provision of </w:t>
      </w:r>
      <w:r w:rsidRPr="00A17C4D">
        <w:rPr>
          <w:b/>
          <w:bCs/>
          <w:i/>
          <w:iCs/>
          <w:color w:val="6A7F0F"/>
          <w:highlight w:val="white"/>
        </w:rPr>
        <w:t xml:space="preserve">Primary Care </w:t>
      </w:r>
    </w:p>
    <w:p w14:paraId="4FF171DF" w14:textId="77777777" w:rsidR="00764EB1" w:rsidRPr="00337BFB" w:rsidRDefault="00764EB1" w:rsidP="00764EB1">
      <w:pPr>
        <w:rPr>
          <w:rFonts w:eastAsia="Calibri" w:cstheme="minorHAnsi"/>
          <w:sz w:val="22"/>
          <w:szCs w:val="22"/>
        </w:rPr>
      </w:pPr>
      <w:r>
        <w:rPr>
          <w:rFonts w:eastAsia="Calibri" w:cstheme="minorHAnsi"/>
          <w:sz w:val="22"/>
          <w:szCs w:val="22"/>
        </w:rPr>
        <w:t>Five clinic leaders explicitly indicated that they offered primary care services onsite prior to the CCBHC program. To meet the onsite primary care requirement, approximately</w:t>
      </w:r>
      <w:r w:rsidRPr="00337BFB">
        <w:rPr>
          <w:rFonts w:eastAsia="Calibri" w:cstheme="minorHAnsi"/>
          <w:sz w:val="22"/>
          <w:szCs w:val="22"/>
        </w:rPr>
        <w:t xml:space="preserve"> half of the CCBHCs </w:t>
      </w:r>
      <w:r>
        <w:rPr>
          <w:rFonts w:eastAsia="Calibri" w:cstheme="minorHAnsi"/>
          <w:sz w:val="22"/>
          <w:szCs w:val="22"/>
        </w:rPr>
        <w:t xml:space="preserve">hired </w:t>
      </w:r>
      <w:r w:rsidRPr="00337BFB">
        <w:rPr>
          <w:rFonts w:eastAsia="Calibri" w:cstheme="minorHAnsi"/>
          <w:sz w:val="22"/>
          <w:szCs w:val="22"/>
        </w:rPr>
        <w:t>their own</w:t>
      </w:r>
      <w:r>
        <w:rPr>
          <w:rFonts w:eastAsia="Calibri" w:cstheme="minorHAnsi"/>
          <w:sz w:val="22"/>
          <w:szCs w:val="22"/>
        </w:rPr>
        <w:t xml:space="preserve"> primary care provider</w:t>
      </w:r>
      <w:r w:rsidRPr="00337BFB">
        <w:rPr>
          <w:rFonts w:eastAsia="Calibri" w:cstheme="minorHAnsi"/>
          <w:sz w:val="22"/>
          <w:szCs w:val="22"/>
        </w:rPr>
        <w:t xml:space="preserve"> </w:t>
      </w:r>
      <w:r>
        <w:rPr>
          <w:rFonts w:eastAsia="Calibri" w:cstheme="minorHAnsi"/>
          <w:sz w:val="22"/>
          <w:szCs w:val="22"/>
        </w:rPr>
        <w:t>to provide some level of integrated services</w:t>
      </w:r>
      <w:r w:rsidRPr="00337BFB">
        <w:rPr>
          <w:rFonts w:eastAsia="Calibri" w:cstheme="minorHAnsi"/>
          <w:sz w:val="22"/>
          <w:szCs w:val="22"/>
        </w:rPr>
        <w:t xml:space="preserve">; the other CCBHCs opted to contract with a primary care partner </w:t>
      </w:r>
      <w:r>
        <w:rPr>
          <w:rFonts w:eastAsia="Calibri" w:cstheme="minorHAnsi"/>
          <w:sz w:val="22"/>
          <w:szCs w:val="22"/>
        </w:rPr>
        <w:t>to co-locate physical health and behavioral health</w:t>
      </w:r>
      <w:r w:rsidRPr="00337BFB">
        <w:rPr>
          <w:rFonts w:eastAsia="Calibri" w:cstheme="minorHAnsi"/>
          <w:sz w:val="22"/>
          <w:szCs w:val="22"/>
        </w:rPr>
        <w:t xml:space="preserve">. </w:t>
      </w:r>
      <w:r>
        <w:rPr>
          <w:rFonts w:eastAsia="Calibri" w:cstheme="minorHAnsi"/>
          <w:sz w:val="22"/>
          <w:szCs w:val="22"/>
        </w:rPr>
        <w:t>Two</w:t>
      </w:r>
      <w:r w:rsidRPr="00337BFB">
        <w:rPr>
          <w:rFonts w:eastAsia="Calibri" w:cstheme="minorHAnsi"/>
          <w:sz w:val="22"/>
          <w:szCs w:val="22"/>
        </w:rPr>
        <w:t xml:space="preserve"> clinic leaders reported </w:t>
      </w:r>
      <w:r>
        <w:rPr>
          <w:rFonts w:eastAsia="Calibri" w:cstheme="minorHAnsi"/>
          <w:sz w:val="22"/>
          <w:szCs w:val="22"/>
        </w:rPr>
        <w:t xml:space="preserve">explicitly </w:t>
      </w:r>
      <w:r w:rsidRPr="00337BFB">
        <w:rPr>
          <w:rFonts w:eastAsia="Calibri" w:cstheme="minorHAnsi"/>
          <w:sz w:val="22"/>
          <w:szCs w:val="22"/>
        </w:rPr>
        <w:t xml:space="preserve">that they had sought a waiver </w:t>
      </w:r>
      <w:r>
        <w:rPr>
          <w:rFonts w:eastAsia="Calibri" w:cstheme="minorHAnsi"/>
          <w:sz w:val="22"/>
          <w:szCs w:val="22"/>
        </w:rPr>
        <w:t xml:space="preserve">from OHA </w:t>
      </w:r>
      <w:r w:rsidRPr="00337BFB">
        <w:rPr>
          <w:rFonts w:eastAsia="Calibri" w:cstheme="minorHAnsi"/>
          <w:sz w:val="22"/>
          <w:szCs w:val="22"/>
        </w:rPr>
        <w:t>for the primary care requirement in order to reduce the number of hours required</w:t>
      </w:r>
      <w:r>
        <w:rPr>
          <w:rFonts w:eastAsia="Calibri" w:cstheme="minorHAnsi"/>
          <w:sz w:val="22"/>
          <w:szCs w:val="22"/>
        </w:rPr>
        <w:t>; two were less explicit but suggested that they had “worked it out with OHA” with respect to this requirement</w:t>
      </w:r>
      <w:r w:rsidRPr="00337BFB">
        <w:rPr>
          <w:rFonts w:eastAsia="Calibri" w:cstheme="minorHAnsi"/>
          <w:sz w:val="22"/>
          <w:szCs w:val="22"/>
        </w:rPr>
        <w:t>. As one clinic leader expressed</w:t>
      </w:r>
      <w:r>
        <w:rPr>
          <w:rFonts w:eastAsia="Calibri" w:cstheme="minorHAnsi"/>
          <w:sz w:val="22"/>
          <w:szCs w:val="22"/>
        </w:rPr>
        <w:t>:</w:t>
      </w:r>
      <w:r w:rsidRPr="00337BFB">
        <w:rPr>
          <w:rFonts w:eastAsia="Calibri" w:cstheme="minorHAnsi"/>
          <w:sz w:val="22"/>
          <w:szCs w:val="22"/>
        </w:rPr>
        <w:t xml:space="preserve"> “</w:t>
      </w:r>
      <w:r w:rsidRPr="00337BFB">
        <w:rPr>
          <w:rFonts w:eastAsia="Calibri" w:cstheme="minorHAnsi"/>
          <w:i/>
          <w:sz w:val="22"/>
          <w:szCs w:val="22"/>
        </w:rPr>
        <w:t>It’s been a huge challenge…</w:t>
      </w:r>
      <w:r>
        <w:rPr>
          <w:rFonts w:eastAsia="Calibri" w:cstheme="minorHAnsi"/>
          <w:i/>
          <w:sz w:val="22"/>
          <w:szCs w:val="22"/>
        </w:rPr>
        <w:t xml:space="preserve"> </w:t>
      </w:r>
      <w:r w:rsidRPr="00337BFB">
        <w:rPr>
          <w:rFonts w:eastAsia="Calibri" w:cstheme="minorHAnsi"/>
          <w:i/>
          <w:sz w:val="22"/>
          <w:szCs w:val="22"/>
        </w:rPr>
        <w:t>We are totally invested in having our clients get access to primary care and doing a better job of integrating with them, but the 20</w:t>
      </w:r>
      <w:r>
        <w:rPr>
          <w:rFonts w:eastAsia="Calibri" w:cstheme="minorHAnsi"/>
          <w:i/>
          <w:sz w:val="22"/>
          <w:szCs w:val="22"/>
        </w:rPr>
        <w:t xml:space="preserve"> </w:t>
      </w:r>
      <w:r w:rsidRPr="00337BFB">
        <w:rPr>
          <w:rFonts w:eastAsia="Calibri" w:cstheme="minorHAnsi"/>
          <w:i/>
          <w:sz w:val="22"/>
          <w:szCs w:val="22"/>
        </w:rPr>
        <w:t>hours has been difficult to impossible for us to actually do</w:t>
      </w:r>
      <w:r w:rsidRPr="00337BFB">
        <w:rPr>
          <w:rFonts w:eastAsia="Calibri" w:cstheme="minorHAnsi"/>
          <w:sz w:val="22"/>
          <w:szCs w:val="22"/>
        </w:rPr>
        <w:t>” (Lead Clinical 09)</w:t>
      </w:r>
      <w:r>
        <w:rPr>
          <w:rFonts w:eastAsia="Calibri" w:cstheme="minorHAnsi"/>
          <w:sz w:val="22"/>
          <w:szCs w:val="22"/>
        </w:rPr>
        <w:t>.</w:t>
      </w:r>
      <w:r w:rsidRPr="00337BFB">
        <w:rPr>
          <w:rFonts w:eastAsia="Calibri" w:cstheme="minorHAnsi"/>
          <w:sz w:val="22"/>
          <w:szCs w:val="22"/>
        </w:rPr>
        <w:t xml:space="preserve"> </w:t>
      </w:r>
    </w:p>
    <w:p w14:paraId="7CAA49AE" w14:textId="77777777" w:rsidR="00764EB1" w:rsidRPr="00337BFB" w:rsidRDefault="00764EB1" w:rsidP="00764EB1">
      <w:pPr>
        <w:rPr>
          <w:rFonts w:eastAsia="Calibri" w:cstheme="minorHAnsi"/>
          <w:sz w:val="22"/>
          <w:szCs w:val="22"/>
        </w:rPr>
      </w:pPr>
      <w:r w:rsidRPr="00337BFB">
        <w:rPr>
          <w:rFonts w:eastAsia="Calibri" w:cstheme="minorHAnsi"/>
          <w:sz w:val="22"/>
          <w:szCs w:val="22"/>
        </w:rPr>
        <w:t xml:space="preserve"> </w:t>
      </w:r>
    </w:p>
    <w:p w14:paraId="16045717" w14:textId="2F6D274F" w:rsidR="0074151A" w:rsidRDefault="00764EB1" w:rsidP="004A4C4C">
      <w:pPr>
        <w:rPr>
          <w:rFonts w:eastAsia="Calibri" w:cstheme="minorHAnsi"/>
          <w:sz w:val="22"/>
          <w:szCs w:val="22"/>
        </w:rPr>
      </w:pPr>
      <w:r w:rsidRPr="00337BFB">
        <w:rPr>
          <w:rFonts w:eastAsia="Calibri" w:cstheme="minorHAnsi"/>
          <w:sz w:val="22"/>
          <w:szCs w:val="22"/>
        </w:rPr>
        <w:t>Several clinic leaders f</w:t>
      </w:r>
      <w:r w:rsidR="00085772">
        <w:rPr>
          <w:rFonts w:eastAsia="Calibri" w:cstheme="minorHAnsi"/>
          <w:sz w:val="22"/>
          <w:szCs w:val="22"/>
        </w:rPr>
        <w:t>elt</w:t>
      </w:r>
      <w:r w:rsidRPr="00337BFB">
        <w:rPr>
          <w:rFonts w:eastAsia="Calibri" w:cstheme="minorHAnsi"/>
          <w:sz w:val="22"/>
          <w:szCs w:val="22"/>
        </w:rPr>
        <w:t xml:space="preserve"> the primary care requirement </w:t>
      </w:r>
      <w:r w:rsidR="00085772">
        <w:rPr>
          <w:rFonts w:eastAsia="Calibri" w:cstheme="minorHAnsi"/>
          <w:sz w:val="22"/>
          <w:szCs w:val="22"/>
        </w:rPr>
        <w:t xml:space="preserve">was </w:t>
      </w:r>
      <w:r w:rsidRPr="00337BFB">
        <w:rPr>
          <w:rFonts w:eastAsia="Calibri" w:cstheme="minorHAnsi"/>
          <w:sz w:val="22"/>
          <w:szCs w:val="22"/>
        </w:rPr>
        <w:t xml:space="preserve">challenging for a variety of reasons, including difficulties with hiring or retaining </w:t>
      </w:r>
      <w:r>
        <w:rPr>
          <w:rFonts w:eastAsia="Calibri" w:cstheme="minorHAnsi"/>
          <w:sz w:val="22"/>
          <w:szCs w:val="22"/>
        </w:rPr>
        <w:t>primary care provider</w:t>
      </w:r>
      <w:r w:rsidRPr="00337BFB">
        <w:rPr>
          <w:rFonts w:eastAsia="Calibri" w:cstheme="minorHAnsi"/>
          <w:sz w:val="22"/>
          <w:szCs w:val="22"/>
        </w:rPr>
        <w:t xml:space="preserve">s for part-time work amidst workforce shortages; insufficient patient panels to financially support 20 hours of </w:t>
      </w:r>
      <w:r>
        <w:rPr>
          <w:rFonts w:eastAsia="Calibri" w:cstheme="minorHAnsi"/>
          <w:sz w:val="22"/>
          <w:szCs w:val="22"/>
        </w:rPr>
        <w:t>onsite</w:t>
      </w:r>
      <w:r w:rsidRPr="00337BFB">
        <w:rPr>
          <w:rFonts w:eastAsia="Calibri" w:cstheme="minorHAnsi"/>
          <w:sz w:val="22"/>
          <w:szCs w:val="22"/>
        </w:rPr>
        <w:t xml:space="preserve"> primary care; uncertainty about how best to manage an </w:t>
      </w:r>
      <w:r>
        <w:rPr>
          <w:rFonts w:eastAsia="Calibri" w:cstheme="minorHAnsi"/>
          <w:sz w:val="22"/>
          <w:szCs w:val="22"/>
        </w:rPr>
        <w:t>onsite</w:t>
      </w:r>
      <w:r w:rsidRPr="00337BFB">
        <w:rPr>
          <w:rFonts w:eastAsia="Calibri" w:cstheme="minorHAnsi"/>
          <w:sz w:val="22"/>
          <w:szCs w:val="22"/>
        </w:rPr>
        <w:t xml:space="preserve"> partnership; and confusion about whether the 20-hour requirement applied to each clinic site or could be aggregated across sites</w:t>
      </w:r>
      <w:r>
        <w:rPr>
          <w:rFonts w:eastAsia="Calibri" w:cstheme="minorHAnsi"/>
          <w:sz w:val="22"/>
          <w:szCs w:val="22"/>
        </w:rPr>
        <w:t xml:space="preserve"> when a CCBHC operated in multiple locations</w:t>
      </w:r>
      <w:r w:rsidRPr="00337BFB">
        <w:rPr>
          <w:rFonts w:eastAsia="Calibri" w:cstheme="minorHAnsi"/>
          <w:sz w:val="22"/>
          <w:szCs w:val="22"/>
        </w:rPr>
        <w:t xml:space="preserve">. Some clinic leaders believed that the primary care requirement should be revised to introduce greater flexibility and </w:t>
      </w:r>
      <w:r>
        <w:rPr>
          <w:rFonts w:eastAsia="Calibri" w:cstheme="minorHAnsi"/>
          <w:sz w:val="22"/>
          <w:szCs w:val="22"/>
        </w:rPr>
        <w:t xml:space="preserve">better </w:t>
      </w:r>
      <w:r w:rsidRPr="00337BFB">
        <w:rPr>
          <w:rFonts w:eastAsia="Calibri" w:cstheme="minorHAnsi"/>
          <w:sz w:val="22"/>
          <w:szCs w:val="22"/>
        </w:rPr>
        <w:t xml:space="preserve">account for local circumstances. One interested party also </w:t>
      </w:r>
      <w:r>
        <w:rPr>
          <w:rFonts w:eastAsia="Calibri" w:cstheme="minorHAnsi"/>
          <w:sz w:val="22"/>
          <w:szCs w:val="22"/>
        </w:rPr>
        <w:t>requested</w:t>
      </w:r>
      <w:r w:rsidRPr="00337BFB">
        <w:rPr>
          <w:rFonts w:eastAsia="Calibri" w:cstheme="minorHAnsi"/>
          <w:sz w:val="22"/>
          <w:szCs w:val="22"/>
        </w:rPr>
        <w:t xml:space="preserve"> </w:t>
      </w:r>
      <w:r>
        <w:rPr>
          <w:rFonts w:eastAsia="Calibri" w:cstheme="minorHAnsi"/>
          <w:sz w:val="22"/>
          <w:szCs w:val="22"/>
        </w:rPr>
        <w:t>increased</w:t>
      </w:r>
      <w:r w:rsidRPr="00337BFB">
        <w:rPr>
          <w:rFonts w:eastAsia="Calibri" w:cstheme="minorHAnsi"/>
          <w:sz w:val="22"/>
          <w:szCs w:val="22"/>
        </w:rPr>
        <w:t xml:space="preserve"> flexibility:</w:t>
      </w:r>
    </w:p>
    <w:p w14:paraId="4B7D0EF0" w14:textId="77777777" w:rsidR="00764EB1" w:rsidRDefault="00764EB1" w:rsidP="00764EB1">
      <w:pPr>
        <w:ind w:left="720"/>
        <w:rPr>
          <w:rFonts w:eastAsia="Calibri" w:cstheme="minorHAnsi"/>
          <w:i/>
          <w:sz w:val="22"/>
          <w:szCs w:val="22"/>
        </w:rPr>
      </w:pPr>
    </w:p>
    <w:p w14:paraId="4E09B291" w14:textId="196D6D3C" w:rsidR="0074151A" w:rsidRPr="00337BFB" w:rsidRDefault="0074151A" w:rsidP="0074151A">
      <w:pPr>
        <w:ind w:left="720"/>
        <w:rPr>
          <w:rFonts w:eastAsia="Calibri" w:cstheme="minorHAnsi"/>
          <w:sz w:val="22"/>
          <w:szCs w:val="22"/>
        </w:rPr>
      </w:pPr>
      <w:r w:rsidRPr="00337BFB">
        <w:rPr>
          <w:rFonts w:eastAsia="Calibri" w:cstheme="minorHAnsi"/>
          <w:i/>
          <w:sz w:val="22"/>
          <w:szCs w:val="22"/>
        </w:rPr>
        <w:t>I'm not sure that it was the right thing to mandate 20 hours a week of primary care. The intent was to have more communication and coordination between primary care and behavioral health, but it didn't mandate that they were part of the same agency. If you have a primary care physician from another agency sitting there, but they don't use the same medical record, it's the same coordination challenges you would have if they were in their own office. A better investment might be the technology to support communication and coordination with primary care and behavioral health rather than always mandating it be co-located.</w:t>
      </w:r>
      <w:r w:rsidRPr="00337BFB">
        <w:rPr>
          <w:rFonts w:eastAsia="Calibri" w:cstheme="minorHAnsi"/>
          <w:sz w:val="22"/>
          <w:szCs w:val="22"/>
        </w:rPr>
        <w:t xml:space="preserve"> (</w:t>
      </w:r>
      <w:r>
        <w:rPr>
          <w:rFonts w:eastAsia="Calibri" w:cstheme="minorHAnsi"/>
          <w:sz w:val="22"/>
          <w:szCs w:val="22"/>
        </w:rPr>
        <w:t>Interested Party</w:t>
      </w:r>
      <w:r w:rsidRPr="00337BFB">
        <w:rPr>
          <w:rFonts w:eastAsia="Calibri" w:cstheme="minorHAnsi"/>
          <w:sz w:val="22"/>
          <w:szCs w:val="22"/>
        </w:rPr>
        <w:t xml:space="preserve"> 01)</w:t>
      </w:r>
    </w:p>
    <w:p w14:paraId="6514494D" w14:textId="77777777" w:rsidR="0074151A" w:rsidRPr="00337BFB" w:rsidRDefault="0074151A" w:rsidP="0074151A">
      <w:pPr>
        <w:rPr>
          <w:rFonts w:eastAsia="Calibri" w:cstheme="minorHAnsi"/>
          <w:sz w:val="22"/>
          <w:szCs w:val="22"/>
        </w:rPr>
      </w:pPr>
    </w:p>
    <w:p w14:paraId="564D0D00" w14:textId="1926BBE5" w:rsidR="0074151A" w:rsidRPr="00337BFB" w:rsidRDefault="00764EB1" w:rsidP="0074151A">
      <w:pPr>
        <w:rPr>
          <w:rFonts w:eastAsia="Calibri" w:cstheme="minorHAnsi"/>
          <w:sz w:val="22"/>
          <w:szCs w:val="22"/>
        </w:rPr>
      </w:pPr>
      <w:r w:rsidRPr="00337BFB">
        <w:rPr>
          <w:rFonts w:eastAsia="Calibri" w:cstheme="minorHAnsi"/>
          <w:sz w:val="22"/>
          <w:szCs w:val="22"/>
        </w:rPr>
        <w:t xml:space="preserve">A few clinic leaders who reported challenges with establishing primary care </w:t>
      </w:r>
      <w:r>
        <w:rPr>
          <w:rFonts w:eastAsia="Calibri" w:cstheme="minorHAnsi"/>
          <w:sz w:val="22"/>
          <w:szCs w:val="22"/>
        </w:rPr>
        <w:t xml:space="preserve">services </w:t>
      </w:r>
      <w:r w:rsidRPr="00337BFB">
        <w:rPr>
          <w:rFonts w:eastAsia="Calibri" w:cstheme="minorHAnsi"/>
          <w:sz w:val="22"/>
          <w:szCs w:val="22"/>
        </w:rPr>
        <w:t xml:space="preserve">also expressed that the requirement pushed them to integrate, which led to more team-based care. </w:t>
      </w:r>
      <w:r>
        <w:rPr>
          <w:rFonts w:eastAsia="Calibri" w:cstheme="minorHAnsi"/>
          <w:sz w:val="22"/>
          <w:szCs w:val="22"/>
        </w:rPr>
        <w:t>One</w:t>
      </w:r>
      <w:r w:rsidRPr="00337BFB">
        <w:rPr>
          <w:rFonts w:eastAsia="Calibri" w:cstheme="minorHAnsi"/>
          <w:sz w:val="22"/>
          <w:szCs w:val="22"/>
        </w:rPr>
        <w:t xml:space="preserve"> clinic leader shared that despite their struggles</w:t>
      </w:r>
      <w:r>
        <w:rPr>
          <w:rFonts w:eastAsia="Calibri" w:cstheme="minorHAnsi"/>
          <w:sz w:val="22"/>
          <w:szCs w:val="22"/>
        </w:rPr>
        <w:t>:</w:t>
      </w:r>
      <w:r w:rsidRPr="00337BFB">
        <w:rPr>
          <w:rFonts w:eastAsia="Calibri" w:cstheme="minorHAnsi"/>
          <w:sz w:val="22"/>
          <w:szCs w:val="22"/>
        </w:rPr>
        <w:t xml:space="preserve"> “</w:t>
      </w:r>
      <w:r w:rsidRPr="00337BFB">
        <w:rPr>
          <w:rFonts w:eastAsia="Calibri" w:cstheme="minorHAnsi"/>
          <w:i/>
          <w:sz w:val="22"/>
          <w:szCs w:val="22"/>
          <w:highlight w:val="white"/>
        </w:rPr>
        <w:t>We needed that impetus of being a CCBHC to become co-located and to partner with our medical providers more closely…</w:t>
      </w:r>
      <w:r>
        <w:rPr>
          <w:rFonts w:eastAsia="Calibri" w:cstheme="minorHAnsi"/>
          <w:i/>
          <w:sz w:val="22"/>
          <w:szCs w:val="22"/>
          <w:highlight w:val="white"/>
        </w:rPr>
        <w:t xml:space="preserve"> </w:t>
      </w:r>
      <w:r w:rsidRPr="00337BFB">
        <w:rPr>
          <w:rFonts w:eastAsia="Calibri" w:cstheme="minorHAnsi"/>
          <w:i/>
          <w:sz w:val="22"/>
          <w:szCs w:val="22"/>
          <w:highlight w:val="white"/>
        </w:rPr>
        <w:t>Our team-based care increased exponentially after becoming a CCBHC, and that's a benefit to everybody</w:t>
      </w:r>
      <w:r w:rsidRPr="00337BFB">
        <w:rPr>
          <w:rFonts w:eastAsia="Calibri" w:cstheme="minorHAnsi"/>
          <w:sz w:val="22"/>
          <w:szCs w:val="22"/>
          <w:highlight w:val="white"/>
        </w:rPr>
        <w:t xml:space="preserve">” (Lead Clinical 05). </w:t>
      </w:r>
      <w:r w:rsidRPr="00337BFB">
        <w:rPr>
          <w:rFonts w:eastAsia="Calibri" w:cstheme="minorHAnsi"/>
          <w:sz w:val="22"/>
          <w:szCs w:val="22"/>
        </w:rPr>
        <w:t>Unsurprisingly, clinics that had some level of existing primary care services prior to becoming a CCBHC reported that the 20</w:t>
      </w:r>
      <w:r>
        <w:rPr>
          <w:rFonts w:eastAsia="Calibri" w:cstheme="minorHAnsi"/>
          <w:sz w:val="22"/>
          <w:szCs w:val="22"/>
        </w:rPr>
        <w:t>-</w:t>
      </w:r>
      <w:r w:rsidRPr="00337BFB">
        <w:rPr>
          <w:rFonts w:eastAsia="Calibri" w:cstheme="minorHAnsi"/>
          <w:sz w:val="22"/>
          <w:szCs w:val="22"/>
        </w:rPr>
        <w:t xml:space="preserve">hour </w:t>
      </w:r>
      <w:r>
        <w:rPr>
          <w:rFonts w:eastAsia="Calibri" w:cstheme="minorHAnsi"/>
          <w:sz w:val="22"/>
          <w:szCs w:val="22"/>
        </w:rPr>
        <w:t>primary care</w:t>
      </w:r>
      <w:r w:rsidRPr="00337BFB">
        <w:rPr>
          <w:rFonts w:eastAsia="Calibri" w:cstheme="minorHAnsi"/>
          <w:sz w:val="22"/>
          <w:szCs w:val="22"/>
        </w:rPr>
        <w:t xml:space="preserve"> requirement was neither burdensome nor difficult to achieve.  </w:t>
      </w:r>
      <w:r w:rsidR="0074151A" w:rsidRPr="00337BFB">
        <w:rPr>
          <w:rFonts w:eastAsia="Calibri" w:cstheme="minorHAnsi"/>
          <w:sz w:val="22"/>
          <w:szCs w:val="22"/>
        </w:rPr>
        <w:t xml:space="preserve">  </w:t>
      </w:r>
    </w:p>
    <w:p w14:paraId="64F8A6C5" w14:textId="77777777" w:rsidR="0074151A" w:rsidRPr="00337BFB" w:rsidRDefault="0074151A" w:rsidP="0074151A">
      <w:pPr>
        <w:rPr>
          <w:rFonts w:eastAsia="Calibri" w:cstheme="minorHAnsi"/>
          <w:sz w:val="22"/>
          <w:szCs w:val="22"/>
        </w:rPr>
      </w:pPr>
    </w:p>
    <w:p w14:paraId="62A6B974" w14:textId="314FFE32" w:rsidR="00764EB1" w:rsidRDefault="00764EB1" w:rsidP="00764EB1">
      <w:pPr>
        <w:rPr>
          <w:rFonts w:eastAsia="Calibri" w:cstheme="minorHAnsi"/>
          <w:iCs/>
          <w:sz w:val="22"/>
          <w:szCs w:val="22"/>
        </w:rPr>
      </w:pPr>
      <w:r>
        <w:rPr>
          <w:rFonts w:eastAsia="Calibri" w:cstheme="minorHAnsi"/>
          <w:sz w:val="22"/>
          <w:szCs w:val="22"/>
        </w:rPr>
        <w:t>In addition,</w:t>
      </w:r>
      <w:r w:rsidRPr="00337BFB">
        <w:rPr>
          <w:rFonts w:eastAsia="Calibri" w:cstheme="minorHAnsi"/>
          <w:sz w:val="22"/>
          <w:szCs w:val="22"/>
        </w:rPr>
        <w:t xml:space="preserve"> clinics with pre-existing </w:t>
      </w:r>
      <w:r>
        <w:rPr>
          <w:rFonts w:eastAsia="Calibri" w:cstheme="minorHAnsi"/>
          <w:sz w:val="22"/>
          <w:szCs w:val="22"/>
        </w:rPr>
        <w:t xml:space="preserve">integrated </w:t>
      </w:r>
      <w:r w:rsidRPr="00337BFB">
        <w:rPr>
          <w:rFonts w:eastAsia="Calibri" w:cstheme="minorHAnsi"/>
          <w:sz w:val="22"/>
          <w:szCs w:val="22"/>
        </w:rPr>
        <w:t xml:space="preserve">primary care </w:t>
      </w:r>
      <w:r>
        <w:rPr>
          <w:rFonts w:eastAsia="Calibri" w:cstheme="minorHAnsi"/>
          <w:sz w:val="22"/>
          <w:szCs w:val="22"/>
        </w:rPr>
        <w:t xml:space="preserve">services </w:t>
      </w:r>
      <w:r w:rsidRPr="00337BFB">
        <w:rPr>
          <w:rFonts w:eastAsia="Calibri" w:cstheme="minorHAnsi"/>
          <w:sz w:val="22"/>
          <w:szCs w:val="22"/>
        </w:rPr>
        <w:t xml:space="preserve">saw improvements </w:t>
      </w:r>
      <w:r>
        <w:rPr>
          <w:rFonts w:eastAsia="Calibri" w:cstheme="minorHAnsi"/>
          <w:sz w:val="22"/>
          <w:szCs w:val="22"/>
        </w:rPr>
        <w:t>with</w:t>
      </w:r>
      <w:r w:rsidRPr="00337BFB">
        <w:rPr>
          <w:rFonts w:eastAsia="Calibri" w:cstheme="minorHAnsi"/>
          <w:sz w:val="22"/>
          <w:szCs w:val="22"/>
        </w:rPr>
        <w:t xml:space="preserve"> the CCBHC model. “</w:t>
      </w:r>
      <w:r w:rsidRPr="00337BFB">
        <w:rPr>
          <w:rFonts w:eastAsia="Calibri" w:cstheme="minorHAnsi"/>
          <w:i/>
          <w:sz w:val="22"/>
          <w:szCs w:val="22"/>
          <w:highlight w:val="white"/>
        </w:rPr>
        <w:t>We were very siloed before. We had our primary care doing their thing, we had behavioral health doing their thing, and we didn't communicate very well. Now, we're really thinking about how we can do integrated care</w:t>
      </w:r>
      <w:r w:rsidRPr="00337BFB">
        <w:rPr>
          <w:rFonts w:eastAsia="Calibri" w:cstheme="minorHAnsi"/>
          <w:sz w:val="22"/>
          <w:szCs w:val="22"/>
          <w:highlight w:val="white"/>
        </w:rPr>
        <w:t xml:space="preserve">” (Lead </w:t>
      </w:r>
      <w:r>
        <w:rPr>
          <w:rFonts w:eastAsia="Calibri" w:cstheme="minorHAnsi"/>
          <w:sz w:val="22"/>
          <w:szCs w:val="22"/>
          <w:highlight w:val="white"/>
        </w:rPr>
        <w:t>Administrator</w:t>
      </w:r>
      <w:r w:rsidRPr="00337BFB">
        <w:rPr>
          <w:rFonts w:eastAsia="Calibri" w:cstheme="minorHAnsi"/>
          <w:sz w:val="22"/>
          <w:szCs w:val="22"/>
          <w:highlight w:val="white"/>
        </w:rPr>
        <w:t xml:space="preserve"> 06). </w:t>
      </w:r>
      <w:r w:rsidRPr="00337BFB">
        <w:rPr>
          <w:rFonts w:eastAsia="Calibri" w:cstheme="minorHAnsi"/>
          <w:sz w:val="22"/>
          <w:szCs w:val="22"/>
        </w:rPr>
        <w:t>Integration of behavioral and physical health also led to changes in organizational culture and approach</w:t>
      </w:r>
      <w:r>
        <w:rPr>
          <w:rFonts w:eastAsia="Calibri" w:cstheme="minorHAnsi"/>
          <w:sz w:val="22"/>
          <w:szCs w:val="22"/>
        </w:rPr>
        <w:t>es</w:t>
      </w:r>
      <w:r w:rsidRPr="00337BFB">
        <w:rPr>
          <w:rFonts w:eastAsia="Calibri" w:cstheme="minorHAnsi"/>
          <w:sz w:val="22"/>
          <w:szCs w:val="22"/>
        </w:rPr>
        <w:t xml:space="preserve"> to care delivery. </w:t>
      </w:r>
      <w:r>
        <w:rPr>
          <w:rFonts w:eastAsia="Calibri" w:cstheme="minorHAnsi"/>
          <w:sz w:val="22"/>
          <w:szCs w:val="22"/>
        </w:rPr>
        <w:t>One service user commented: “</w:t>
      </w:r>
      <w:r w:rsidRPr="00337BFB">
        <w:rPr>
          <w:rFonts w:eastAsia="Calibri" w:cstheme="minorHAnsi"/>
          <w:i/>
          <w:sz w:val="22"/>
          <w:szCs w:val="22"/>
        </w:rPr>
        <w:t>My team consistently helps me problem-solve and find solutions or resources when I am in need of other health services. My therapist has given me a few suggestions that have helped guide my primary care provider to helpful solutions for ongoing issues</w:t>
      </w:r>
      <w:r>
        <w:rPr>
          <w:rFonts w:eastAsia="Calibri" w:cstheme="minorHAnsi"/>
          <w:i/>
          <w:sz w:val="22"/>
          <w:szCs w:val="22"/>
        </w:rPr>
        <w:t>”</w:t>
      </w:r>
      <w:r w:rsidRPr="00337BFB">
        <w:rPr>
          <w:rFonts w:eastAsia="Calibri" w:cstheme="minorHAnsi"/>
          <w:sz w:val="22"/>
          <w:szCs w:val="22"/>
        </w:rPr>
        <w:t xml:space="preserve"> </w:t>
      </w:r>
      <w:r>
        <w:rPr>
          <w:rFonts w:eastAsia="Calibri" w:cstheme="minorHAnsi"/>
          <w:sz w:val="22"/>
          <w:szCs w:val="22"/>
        </w:rPr>
        <w:t>(</w:t>
      </w:r>
      <w:r w:rsidRPr="009F7B17">
        <w:rPr>
          <w:rFonts w:eastAsia="Calibri" w:cstheme="minorHAnsi"/>
          <w:iCs/>
          <w:sz w:val="22"/>
          <w:szCs w:val="22"/>
        </w:rPr>
        <w:t>Service User 32)</w:t>
      </w:r>
      <w:r>
        <w:rPr>
          <w:rFonts w:eastAsia="Calibri" w:cstheme="minorHAnsi"/>
          <w:iCs/>
          <w:sz w:val="22"/>
          <w:szCs w:val="22"/>
        </w:rPr>
        <w:t>.</w:t>
      </w:r>
    </w:p>
    <w:p w14:paraId="64D77FA8" w14:textId="3A49326A" w:rsidR="00182B09" w:rsidRDefault="00182B09" w:rsidP="00764EB1">
      <w:pPr>
        <w:rPr>
          <w:rFonts w:eastAsia="Calibri" w:cstheme="minorHAnsi"/>
          <w:i/>
          <w:sz w:val="22"/>
          <w:szCs w:val="22"/>
        </w:rPr>
      </w:pPr>
    </w:p>
    <w:p w14:paraId="50EC3780" w14:textId="57AF6D2B" w:rsidR="00182B09" w:rsidRPr="00A17C4D" w:rsidRDefault="00182B09" w:rsidP="00182B09">
      <w:pPr>
        <w:spacing w:after="120"/>
        <w:rPr>
          <w:b/>
          <w:bCs/>
          <w:i/>
          <w:iCs/>
          <w:color w:val="6A7F0F"/>
          <w:highlight w:val="white"/>
        </w:rPr>
      </w:pPr>
      <w:r>
        <w:rPr>
          <w:b/>
          <w:bCs/>
          <w:i/>
          <w:iCs/>
          <w:color w:val="6A7F0F"/>
          <w:highlight w:val="white"/>
        </w:rPr>
        <w:t>Staffing CCBHCs</w:t>
      </w:r>
    </w:p>
    <w:p w14:paraId="0599F148" w14:textId="77777777" w:rsidR="00764EB1" w:rsidRPr="00337BFB" w:rsidRDefault="00764EB1" w:rsidP="00764EB1">
      <w:pPr>
        <w:rPr>
          <w:rFonts w:eastAsia="Calibri" w:cstheme="minorHAnsi"/>
          <w:sz w:val="22"/>
          <w:szCs w:val="22"/>
        </w:rPr>
      </w:pPr>
      <w:r w:rsidRPr="00337BFB">
        <w:rPr>
          <w:rFonts w:eastAsia="Calibri" w:cstheme="minorHAnsi"/>
          <w:sz w:val="22"/>
          <w:szCs w:val="22"/>
        </w:rPr>
        <w:t>For many clinics, the CCBHC model led to the adoption of a team-based, multidisciplinary approach to care. Staff such as QMHAs and peers were key contributors to these teams. These changes required a fundamental workplace cultural shift that was facilitated by leadership who were fully committed to the goal of integrated care during implementation. Clinic leaders reported that it was important to train staff on the “why” of integrated care and the benefits of these changes for their service users, in order to increase staff buy-in to the</w:t>
      </w:r>
      <w:r>
        <w:rPr>
          <w:rFonts w:eastAsia="Calibri" w:cstheme="minorHAnsi"/>
          <w:sz w:val="22"/>
          <w:szCs w:val="22"/>
        </w:rPr>
        <w:t>se</w:t>
      </w:r>
      <w:r w:rsidRPr="00337BFB">
        <w:rPr>
          <w:rFonts w:eastAsia="Calibri" w:cstheme="minorHAnsi"/>
          <w:sz w:val="22"/>
          <w:szCs w:val="22"/>
        </w:rPr>
        <w:t xml:space="preserve"> process </w:t>
      </w:r>
      <w:sdt>
        <w:sdtPr>
          <w:rPr>
            <w:rFonts w:cstheme="minorHAnsi"/>
            <w:sz w:val="22"/>
            <w:szCs w:val="22"/>
          </w:rPr>
          <w:tag w:val="goog_rdk_1"/>
          <w:id w:val="-1172488173"/>
        </w:sdtPr>
        <w:sdtEndPr/>
        <w:sdtContent/>
      </w:sdt>
      <w:r w:rsidRPr="00337BFB">
        <w:rPr>
          <w:rFonts w:eastAsia="Calibri" w:cstheme="minorHAnsi"/>
          <w:sz w:val="22"/>
          <w:szCs w:val="22"/>
        </w:rPr>
        <w:t xml:space="preserve">changes. </w:t>
      </w:r>
    </w:p>
    <w:p w14:paraId="7DC9FF77" w14:textId="77777777" w:rsidR="00764EB1" w:rsidRDefault="00764EB1" w:rsidP="00764EB1">
      <w:pPr>
        <w:rPr>
          <w:rFonts w:eastAsia="Calibri" w:cstheme="minorHAnsi"/>
          <w:sz w:val="22"/>
          <w:szCs w:val="22"/>
        </w:rPr>
      </w:pPr>
    </w:p>
    <w:p w14:paraId="495A6DCB" w14:textId="7FFBE97A" w:rsidR="00764EB1" w:rsidRDefault="00764EB1" w:rsidP="00764EB1">
      <w:pPr>
        <w:rPr>
          <w:rFonts w:eastAsia="Calibri" w:cstheme="minorHAnsi"/>
          <w:sz w:val="22"/>
          <w:szCs w:val="22"/>
        </w:rPr>
      </w:pPr>
      <w:r w:rsidRPr="00337BFB">
        <w:rPr>
          <w:rFonts w:eastAsia="Calibri" w:cstheme="minorHAnsi"/>
          <w:sz w:val="22"/>
          <w:szCs w:val="22"/>
        </w:rPr>
        <w:t>At many clinics</w:t>
      </w:r>
      <w:r>
        <w:rPr>
          <w:rFonts w:eastAsia="Calibri" w:cstheme="minorHAnsi"/>
          <w:sz w:val="22"/>
          <w:szCs w:val="22"/>
        </w:rPr>
        <w:t>,</w:t>
      </w:r>
      <w:r w:rsidRPr="00337BFB">
        <w:rPr>
          <w:rFonts w:eastAsia="Calibri" w:cstheme="minorHAnsi"/>
          <w:sz w:val="22"/>
          <w:szCs w:val="22"/>
        </w:rPr>
        <w:t xml:space="preserve"> additional staff </w:t>
      </w:r>
      <w:r>
        <w:rPr>
          <w:rFonts w:eastAsia="Calibri" w:cstheme="minorHAnsi"/>
          <w:sz w:val="22"/>
          <w:szCs w:val="22"/>
        </w:rPr>
        <w:t>were</w:t>
      </w:r>
      <w:r w:rsidRPr="00337BFB">
        <w:rPr>
          <w:rFonts w:eastAsia="Calibri" w:cstheme="minorHAnsi"/>
          <w:sz w:val="22"/>
          <w:szCs w:val="22"/>
        </w:rPr>
        <w:t xml:space="preserve"> hired to fill new positions related to case management and care coordination. </w:t>
      </w:r>
      <w:r>
        <w:rPr>
          <w:rFonts w:eastAsia="Calibri" w:cstheme="minorHAnsi"/>
          <w:sz w:val="22"/>
          <w:szCs w:val="22"/>
        </w:rPr>
        <w:t xml:space="preserve">These positions do </w:t>
      </w:r>
      <w:r w:rsidRPr="00337BFB">
        <w:rPr>
          <w:rFonts w:eastAsia="Calibri" w:cstheme="minorHAnsi"/>
          <w:sz w:val="22"/>
          <w:szCs w:val="22"/>
        </w:rPr>
        <w:t>not necessarily</w:t>
      </w:r>
      <w:r>
        <w:rPr>
          <w:rFonts w:eastAsia="Calibri" w:cstheme="minorHAnsi"/>
          <w:sz w:val="22"/>
          <w:szCs w:val="22"/>
        </w:rPr>
        <w:t xml:space="preserve"> fulfill the same roles across CCBHCs</w:t>
      </w:r>
      <w:r w:rsidRPr="00337BFB">
        <w:rPr>
          <w:rFonts w:eastAsia="Calibri" w:cstheme="minorHAnsi"/>
          <w:sz w:val="22"/>
          <w:szCs w:val="22"/>
        </w:rPr>
        <w:t>, and staff positions that were mentioned in these capacities included “care coordinators,” “care navigators,” “case managers,” and others</w:t>
      </w:r>
      <w:r>
        <w:rPr>
          <w:rFonts w:eastAsia="Calibri" w:cstheme="minorHAnsi"/>
          <w:sz w:val="22"/>
          <w:szCs w:val="22"/>
        </w:rPr>
        <w:t>. I</w:t>
      </w:r>
      <w:r w:rsidRPr="00337BFB">
        <w:rPr>
          <w:rFonts w:eastAsia="Calibri" w:cstheme="minorHAnsi"/>
          <w:sz w:val="22"/>
          <w:szCs w:val="22"/>
        </w:rPr>
        <w:t xml:space="preserve">t is unclear to what extent these positions have different roles across CCBHC sites. </w:t>
      </w:r>
      <w:r w:rsidR="0004544E">
        <w:rPr>
          <w:rFonts w:eastAsia="Calibri" w:cstheme="minorHAnsi"/>
          <w:sz w:val="22"/>
          <w:szCs w:val="22"/>
        </w:rPr>
        <w:t>I</w:t>
      </w:r>
      <w:r w:rsidRPr="00337BFB">
        <w:rPr>
          <w:rFonts w:eastAsia="Calibri" w:cstheme="minorHAnsi"/>
          <w:sz w:val="22"/>
          <w:szCs w:val="22"/>
        </w:rPr>
        <w:t xml:space="preserve">n general, these new staff positions were intended to facilitate communication and collaboration </w:t>
      </w:r>
      <w:r>
        <w:rPr>
          <w:rFonts w:eastAsia="Calibri" w:cstheme="minorHAnsi"/>
          <w:sz w:val="22"/>
          <w:szCs w:val="22"/>
        </w:rPr>
        <w:t>among</w:t>
      </w:r>
      <w:r w:rsidRPr="00337BFB">
        <w:rPr>
          <w:rFonts w:eastAsia="Calibri" w:cstheme="minorHAnsi"/>
          <w:sz w:val="22"/>
          <w:szCs w:val="22"/>
        </w:rPr>
        <w:t xml:space="preserve"> providers, with the goal that service users receive holistic, person-centered care. As </w:t>
      </w:r>
      <w:r w:rsidR="004A4C4C">
        <w:rPr>
          <w:rFonts w:eastAsia="Calibri" w:cstheme="minorHAnsi"/>
          <w:sz w:val="22"/>
          <w:szCs w:val="22"/>
        </w:rPr>
        <w:t>one</w:t>
      </w:r>
      <w:r>
        <w:rPr>
          <w:rFonts w:eastAsia="Calibri" w:cstheme="minorHAnsi"/>
          <w:sz w:val="22"/>
          <w:szCs w:val="22"/>
        </w:rPr>
        <w:t xml:space="preserve"> clinic leader said:</w:t>
      </w:r>
      <w:r w:rsidRPr="00337BFB">
        <w:rPr>
          <w:rFonts w:eastAsia="Calibri" w:cstheme="minorHAnsi"/>
          <w:sz w:val="22"/>
          <w:szCs w:val="22"/>
        </w:rPr>
        <w:t xml:space="preserve"> </w:t>
      </w:r>
      <w:r w:rsidRPr="00337BFB">
        <w:rPr>
          <w:rFonts w:eastAsia="Calibri" w:cstheme="minorHAnsi"/>
          <w:sz w:val="22"/>
          <w:szCs w:val="22"/>
          <w:highlight w:val="white"/>
        </w:rPr>
        <w:t>“</w:t>
      </w:r>
      <w:r w:rsidRPr="00337BFB">
        <w:rPr>
          <w:rFonts w:eastAsia="Calibri" w:cstheme="minorHAnsi"/>
          <w:i/>
          <w:sz w:val="22"/>
          <w:szCs w:val="22"/>
          <w:highlight w:val="white"/>
        </w:rPr>
        <w:t>Care coordination, it's a partnership. So</w:t>
      </w:r>
      <w:r w:rsidR="00324B1C">
        <w:rPr>
          <w:rFonts w:eastAsia="Calibri" w:cstheme="minorHAnsi"/>
          <w:i/>
          <w:sz w:val="22"/>
          <w:szCs w:val="22"/>
          <w:highlight w:val="white"/>
        </w:rPr>
        <w:t>,</w:t>
      </w:r>
      <w:r w:rsidRPr="00337BFB">
        <w:rPr>
          <w:rFonts w:eastAsia="Calibri" w:cstheme="minorHAnsi"/>
          <w:i/>
          <w:sz w:val="22"/>
          <w:szCs w:val="22"/>
          <w:highlight w:val="white"/>
        </w:rPr>
        <w:t xml:space="preserve"> if we're seeing a deterioration for somebody who is diabetic, we can be talking with their primary care provider about their care and management of that issue</w:t>
      </w:r>
      <w:r w:rsidRPr="00337BFB">
        <w:rPr>
          <w:rFonts w:eastAsia="Calibri" w:cstheme="minorHAnsi"/>
          <w:sz w:val="22"/>
          <w:szCs w:val="22"/>
          <w:highlight w:val="white"/>
        </w:rPr>
        <w:t xml:space="preserve">” (Lead </w:t>
      </w:r>
      <w:r>
        <w:rPr>
          <w:rFonts w:eastAsia="Calibri" w:cstheme="minorHAnsi"/>
          <w:sz w:val="22"/>
          <w:szCs w:val="22"/>
          <w:highlight w:val="white"/>
        </w:rPr>
        <w:t>Administrator</w:t>
      </w:r>
      <w:r w:rsidRPr="00337BFB">
        <w:rPr>
          <w:rFonts w:eastAsia="Calibri" w:cstheme="minorHAnsi"/>
          <w:sz w:val="22"/>
          <w:szCs w:val="22"/>
          <w:highlight w:val="white"/>
        </w:rPr>
        <w:t xml:space="preserve"> 06)</w:t>
      </w:r>
      <w:r>
        <w:rPr>
          <w:rFonts w:eastAsia="Calibri" w:cstheme="minorHAnsi"/>
          <w:sz w:val="22"/>
          <w:szCs w:val="22"/>
        </w:rPr>
        <w:t>.</w:t>
      </w:r>
    </w:p>
    <w:p w14:paraId="7E38EBDF" w14:textId="68BDC245" w:rsidR="00182B09" w:rsidRDefault="00182B09" w:rsidP="00764EB1">
      <w:pPr>
        <w:rPr>
          <w:rFonts w:eastAsia="Calibri" w:cstheme="minorHAnsi"/>
          <w:sz w:val="22"/>
          <w:szCs w:val="22"/>
        </w:rPr>
      </w:pPr>
    </w:p>
    <w:p w14:paraId="7A06F484" w14:textId="18792A1E" w:rsidR="00182B09" w:rsidRPr="00A17C4D" w:rsidRDefault="00182B09" w:rsidP="00182B09">
      <w:pPr>
        <w:spacing w:after="120"/>
        <w:rPr>
          <w:b/>
          <w:bCs/>
          <w:i/>
          <w:iCs/>
          <w:color w:val="6A7F0F"/>
          <w:highlight w:val="white"/>
        </w:rPr>
      </w:pPr>
      <w:r>
        <w:rPr>
          <w:b/>
          <w:bCs/>
          <w:i/>
          <w:iCs/>
          <w:color w:val="6A7F0F"/>
          <w:highlight w:val="white"/>
        </w:rPr>
        <w:t xml:space="preserve">Integrating and Coordinating </w:t>
      </w:r>
      <w:r w:rsidRPr="00A17C4D">
        <w:rPr>
          <w:b/>
          <w:bCs/>
          <w:i/>
          <w:iCs/>
          <w:color w:val="6A7F0F"/>
          <w:highlight w:val="white"/>
        </w:rPr>
        <w:t xml:space="preserve">Primary Care </w:t>
      </w:r>
      <w:r>
        <w:rPr>
          <w:b/>
          <w:bCs/>
          <w:i/>
          <w:iCs/>
          <w:color w:val="6A7F0F"/>
          <w:highlight w:val="white"/>
        </w:rPr>
        <w:t>and Behavioral Health Services</w:t>
      </w:r>
    </w:p>
    <w:p w14:paraId="3706DFFF" w14:textId="2EBE3CF8" w:rsidR="0074151A" w:rsidRPr="00B35BDC" w:rsidRDefault="00764EB1" w:rsidP="00764EB1">
      <w:pPr>
        <w:rPr>
          <w:rFonts w:eastAsia="Calibri" w:cstheme="minorHAnsi"/>
          <w:iCs/>
          <w:sz w:val="22"/>
          <w:szCs w:val="22"/>
        </w:rPr>
      </w:pPr>
      <w:r w:rsidRPr="00337BFB">
        <w:rPr>
          <w:rFonts w:eastAsia="Calibri" w:cstheme="minorHAnsi"/>
          <w:sz w:val="22"/>
          <w:szCs w:val="22"/>
        </w:rPr>
        <w:t xml:space="preserve">Some clinic leaders reported greater success with integration than others. A few recognized it as an area for </w:t>
      </w:r>
      <w:r w:rsidR="0004544E">
        <w:rPr>
          <w:rFonts w:eastAsia="Calibri" w:cstheme="minorHAnsi"/>
          <w:sz w:val="22"/>
          <w:szCs w:val="22"/>
        </w:rPr>
        <w:t xml:space="preserve">continued </w:t>
      </w:r>
      <w:r w:rsidRPr="00337BFB">
        <w:rPr>
          <w:rFonts w:eastAsia="Calibri" w:cstheme="minorHAnsi"/>
          <w:sz w:val="22"/>
          <w:szCs w:val="22"/>
        </w:rPr>
        <w:t xml:space="preserve">improvement. </w:t>
      </w:r>
      <w:r>
        <w:rPr>
          <w:rFonts w:eastAsia="Calibri" w:cstheme="minorHAnsi"/>
          <w:sz w:val="22"/>
          <w:szCs w:val="22"/>
        </w:rPr>
        <w:t>I</w:t>
      </w:r>
      <w:r w:rsidRPr="00337BFB">
        <w:rPr>
          <w:rFonts w:eastAsia="Calibri" w:cstheme="minorHAnsi"/>
          <w:sz w:val="22"/>
          <w:szCs w:val="22"/>
        </w:rPr>
        <w:t xml:space="preserve">n one clinic, care coordination services were only available to service users who established care with the </w:t>
      </w:r>
      <w:r>
        <w:rPr>
          <w:rFonts w:eastAsia="Calibri" w:cstheme="minorHAnsi"/>
          <w:sz w:val="22"/>
          <w:szCs w:val="22"/>
        </w:rPr>
        <w:t>onsite</w:t>
      </w:r>
      <w:r w:rsidRPr="00337BFB">
        <w:rPr>
          <w:rFonts w:eastAsia="Calibri" w:cstheme="minorHAnsi"/>
          <w:sz w:val="22"/>
          <w:szCs w:val="22"/>
        </w:rPr>
        <w:t xml:space="preserve"> </w:t>
      </w:r>
      <w:r>
        <w:rPr>
          <w:rFonts w:eastAsia="Calibri" w:cstheme="minorHAnsi"/>
          <w:sz w:val="22"/>
          <w:szCs w:val="22"/>
        </w:rPr>
        <w:t>primary care provider</w:t>
      </w:r>
      <w:r w:rsidRPr="00337BFB">
        <w:rPr>
          <w:rFonts w:eastAsia="Calibri" w:cstheme="minorHAnsi"/>
          <w:sz w:val="22"/>
          <w:szCs w:val="22"/>
        </w:rPr>
        <w:t xml:space="preserve">, </w:t>
      </w:r>
      <w:r>
        <w:rPr>
          <w:rFonts w:eastAsia="Calibri" w:cstheme="minorHAnsi"/>
          <w:sz w:val="22"/>
          <w:szCs w:val="22"/>
        </w:rPr>
        <w:t>excluding</w:t>
      </w:r>
      <w:r w:rsidRPr="00337BFB">
        <w:rPr>
          <w:rFonts w:eastAsia="Calibri" w:cstheme="minorHAnsi"/>
          <w:sz w:val="22"/>
          <w:szCs w:val="22"/>
        </w:rPr>
        <w:t xml:space="preserve"> those who accessed primary care elsewhere and received only behavioral health services from the CCBHC. </w:t>
      </w:r>
      <w:r>
        <w:rPr>
          <w:rFonts w:eastAsia="Calibri" w:cstheme="minorHAnsi"/>
          <w:sz w:val="22"/>
          <w:szCs w:val="22"/>
        </w:rPr>
        <w:t>M</w:t>
      </w:r>
      <w:r w:rsidRPr="00337BFB">
        <w:rPr>
          <w:rFonts w:eastAsia="Calibri" w:cstheme="minorHAnsi"/>
          <w:sz w:val="22"/>
          <w:szCs w:val="22"/>
        </w:rPr>
        <w:t>any clinic leaders discussed administrative difficulties associated with data infrastructure, such as inadequate (or absence of) data-sharing systems and electronic health records (EHR) that could not communicate well across primary care and behavioral health</w:t>
      </w:r>
      <w:r>
        <w:rPr>
          <w:rFonts w:eastAsia="Calibri" w:cstheme="minorHAnsi"/>
          <w:sz w:val="22"/>
          <w:szCs w:val="22"/>
        </w:rPr>
        <w:t>, whether internally within the CCBHC or externally with other healthcare partners</w:t>
      </w:r>
      <w:r w:rsidRPr="00337BFB">
        <w:rPr>
          <w:rFonts w:eastAsia="Calibri" w:cstheme="minorHAnsi"/>
          <w:sz w:val="22"/>
          <w:szCs w:val="22"/>
        </w:rPr>
        <w:t>.</w:t>
      </w:r>
      <w:r>
        <w:rPr>
          <w:rFonts w:eastAsia="Calibri" w:cstheme="minorHAnsi"/>
          <w:sz w:val="22"/>
          <w:szCs w:val="22"/>
        </w:rPr>
        <w:t xml:space="preserve"> </w:t>
      </w:r>
      <w:r>
        <w:rPr>
          <w:rFonts w:eastAsia="Calibri" w:cstheme="minorHAnsi"/>
          <w:iCs/>
          <w:sz w:val="22"/>
          <w:szCs w:val="22"/>
        </w:rPr>
        <w:t xml:space="preserve">Clinic leaders requested greater investment in infrastructure that supports data sharing and integration. </w:t>
      </w:r>
      <w:r>
        <w:rPr>
          <w:rFonts w:eastAsia="Calibri" w:cstheme="minorHAnsi"/>
          <w:sz w:val="22"/>
          <w:szCs w:val="22"/>
        </w:rPr>
        <w:t>One clinic leader stated:</w:t>
      </w:r>
    </w:p>
    <w:p w14:paraId="3B4B4724" w14:textId="77777777" w:rsidR="0074151A" w:rsidRDefault="0074151A" w:rsidP="00E30421">
      <w:pPr>
        <w:rPr>
          <w:i/>
          <w:iCs/>
          <w:sz w:val="22"/>
          <w:szCs w:val="22"/>
        </w:rPr>
      </w:pPr>
    </w:p>
    <w:p w14:paraId="1DCC119B" w14:textId="3F8DBAFD" w:rsidR="0074151A" w:rsidRPr="009E6F38" w:rsidRDefault="0074151A" w:rsidP="0074151A">
      <w:pPr>
        <w:ind w:left="720"/>
        <w:rPr>
          <w:rFonts w:eastAsia="Calibri" w:cstheme="minorHAnsi"/>
          <w:i/>
          <w:iCs/>
          <w:sz w:val="22"/>
          <w:szCs w:val="22"/>
        </w:rPr>
      </w:pPr>
      <w:r w:rsidRPr="009E6F38">
        <w:rPr>
          <w:i/>
          <w:iCs/>
          <w:sz w:val="22"/>
          <w:szCs w:val="22"/>
        </w:rPr>
        <w:t xml:space="preserve">Mental health records are not set up for some of this data stuff. </w:t>
      </w:r>
      <w:r>
        <w:rPr>
          <w:i/>
          <w:iCs/>
          <w:sz w:val="22"/>
          <w:szCs w:val="22"/>
        </w:rPr>
        <w:t>W</w:t>
      </w:r>
      <w:r w:rsidRPr="009E6F38">
        <w:rPr>
          <w:i/>
          <w:iCs/>
          <w:sz w:val="22"/>
          <w:szCs w:val="22"/>
        </w:rPr>
        <w:t>e've been very creative. Our actual old EHR was very old</w:t>
      </w:r>
      <w:r>
        <w:rPr>
          <w:i/>
          <w:iCs/>
          <w:sz w:val="22"/>
          <w:szCs w:val="22"/>
        </w:rPr>
        <w:t xml:space="preserve"> …</w:t>
      </w:r>
      <w:r w:rsidRPr="009E6F38">
        <w:rPr>
          <w:i/>
          <w:iCs/>
          <w:sz w:val="22"/>
          <w:szCs w:val="22"/>
        </w:rPr>
        <w:t xml:space="preserve"> but we had it working as good as we could. </w:t>
      </w:r>
      <w:r>
        <w:rPr>
          <w:i/>
          <w:iCs/>
          <w:sz w:val="22"/>
          <w:szCs w:val="22"/>
        </w:rPr>
        <w:t>W</w:t>
      </w:r>
      <w:r w:rsidRPr="009E6F38">
        <w:rPr>
          <w:i/>
          <w:iCs/>
          <w:sz w:val="22"/>
          <w:szCs w:val="22"/>
        </w:rPr>
        <w:t>e just switched to a new system</w:t>
      </w:r>
      <w:r>
        <w:rPr>
          <w:i/>
          <w:iCs/>
          <w:sz w:val="22"/>
          <w:szCs w:val="22"/>
        </w:rPr>
        <w:t xml:space="preserve"> [and]</w:t>
      </w:r>
      <w:r w:rsidRPr="009E6F38">
        <w:rPr>
          <w:i/>
          <w:iCs/>
          <w:sz w:val="22"/>
          <w:szCs w:val="22"/>
        </w:rPr>
        <w:t xml:space="preserve"> some of the systems we had didn't transfer over as well. </w:t>
      </w:r>
      <w:r>
        <w:rPr>
          <w:i/>
          <w:iCs/>
          <w:sz w:val="22"/>
          <w:szCs w:val="22"/>
        </w:rPr>
        <w:t>I</w:t>
      </w:r>
      <w:r w:rsidRPr="009E6F38">
        <w:rPr>
          <w:i/>
          <w:iCs/>
          <w:sz w:val="22"/>
          <w:szCs w:val="22"/>
        </w:rPr>
        <w:t xml:space="preserve">t's really complicated because the medical records </w:t>
      </w:r>
      <w:r>
        <w:rPr>
          <w:i/>
          <w:iCs/>
          <w:sz w:val="22"/>
          <w:szCs w:val="22"/>
        </w:rPr>
        <w:t>[do]</w:t>
      </w:r>
      <w:r w:rsidRPr="009E6F38">
        <w:rPr>
          <w:i/>
          <w:iCs/>
          <w:sz w:val="22"/>
          <w:szCs w:val="22"/>
        </w:rPr>
        <w:t xml:space="preserve"> some of this stuff, </w:t>
      </w:r>
      <w:r>
        <w:rPr>
          <w:i/>
          <w:iCs/>
          <w:sz w:val="22"/>
          <w:szCs w:val="22"/>
        </w:rPr>
        <w:t xml:space="preserve">[but] </w:t>
      </w:r>
      <w:r w:rsidRPr="009E6F38">
        <w:rPr>
          <w:i/>
          <w:iCs/>
          <w:sz w:val="22"/>
          <w:szCs w:val="22"/>
        </w:rPr>
        <w:t xml:space="preserve">mental health records </w:t>
      </w:r>
      <w:r>
        <w:rPr>
          <w:i/>
          <w:iCs/>
          <w:sz w:val="22"/>
          <w:szCs w:val="22"/>
        </w:rPr>
        <w:t>do</w:t>
      </w:r>
      <w:r w:rsidRPr="009E6F38">
        <w:rPr>
          <w:i/>
          <w:iCs/>
          <w:sz w:val="22"/>
          <w:szCs w:val="22"/>
        </w:rPr>
        <w:t xml:space="preserve">n't. </w:t>
      </w:r>
      <w:r>
        <w:rPr>
          <w:i/>
          <w:iCs/>
          <w:sz w:val="22"/>
          <w:szCs w:val="22"/>
        </w:rPr>
        <w:t>W</w:t>
      </w:r>
      <w:r w:rsidRPr="009E6F38">
        <w:rPr>
          <w:i/>
          <w:iCs/>
          <w:sz w:val="22"/>
          <w:szCs w:val="22"/>
        </w:rPr>
        <w:t>hat we really need to get is a business intelligence</w:t>
      </w:r>
      <w:r w:rsidRPr="005D0886">
        <w:rPr>
          <w:i/>
          <w:iCs/>
          <w:sz w:val="22"/>
          <w:szCs w:val="22"/>
        </w:rPr>
        <w:t xml:space="preserve"> </w:t>
      </w:r>
      <w:r w:rsidRPr="00DE773D">
        <w:rPr>
          <w:i/>
          <w:iCs/>
          <w:sz w:val="22"/>
          <w:szCs w:val="22"/>
        </w:rPr>
        <w:t>program</w:t>
      </w:r>
      <w:r w:rsidRPr="009E6F38">
        <w:rPr>
          <w:i/>
          <w:iCs/>
          <w:sz w:val="22"/>
          <w:szCs w:val="22"/>
        </w:rPr>
        <w:t>, to be able to analyze some of the data</w:t>
      </w:r>
      <w:r>
        <w:rPr>
          <w:i/>
          <w:iCs/>
          <w:sz w:val="22"/>
          <w:szCs w:val="22"/>
        </w:rPr>
        <w:t xml:space="preserve"> [and]</w:t>
      </w:r>
      <w:r w:rsidRPr="009E6F38">
        <w:rPr>
          <w:i/>
          <w:iCs/>
          <w:sz w:val="22"/>
          <w:szCs w:val="22"/>
        </w:rPr>
        <w:t xml:space="preserve"> really make good use of it. I have spreadsheets, on spreadsheets, on spreadsheets to track some of this stuff.</w:t>
      </w:r>
      <w:r>
        <w:rPr>
          <w:i/>
          <w:iCs/>
          <w:sz w:val="22"/>
          <w:szCs w:val="22"/>
        </w:rPr>
        <w:t xml:space="preserve"> </w:t>
      </w:r>
      <w:r w:rsidRPr="009E6F38">
        <w:rPr>
          <w:i/>
          <w:iCs/>
          <w:sz w:val="22"/>
          <w:szCs w:val="22"/>
        </w:rPr>
        <w:t xml:space="preserve">... I have people that do nothing but spreadsheets, because it's really hard to do in our EHRs. </w:t>
      </w:r>
      <w:r w:rsidRPr="009E6F38">
        <w:rPr>
          <w:sz w:val="22"/>
          <w:szCs w:val="22"/>
        </w:rPr>
        <w:t>(Lead Clinical 08)</w:t>
      </w:r>
    </w:p>
    <w:p w14:paraId="38CC243A" w14:textId="77777777" w:rsidR="0074151A" w:rsidRDefault="0074151A" w:rsidP="0074151A">
      <w:pPr>
        <w:rPr>
          <w:rFonts w:eastAsia="Calibri" w:cstheme="minorHAnsi"/>
          <w:sz w:val="22"/>
          <w:szCs w:val="22"/>
        </w:rPr>
      </w:pPr>
    </w:p>
    <w:p w14:paraId="0A969266" w14:textId="18ECA4DC" w:rsidR="0074151A" w:rsidRPr="001E6CEA" w:rsidRDefault="00764EB1" w:rsidP="0074151A">
      <w:pPr>
        <w:rPr>
          <w:rFonts w:eastAsia="Calibri" w:cstheme="minorHAnsi"/>
          <w:sz w:val="20"/>
          <w:szCs w:val="22"/>
        </w:rPr>
      </w:pPr>
      <w:r w:rsidRPr="00337BFB">
        <w:rPr>
          <w:rFonts w:eastAsia="Calibri" w:cstheme="minorHAnsi"/>
          <w:sz w:val="22"/>
          <w:szCs w:val="22"/>
        </w:rPr>
        <w:t xml:space="preserve">Other challenges included training behavioral health staff to collect data related to physical </w:t>
      </w:r>
      <w:r w:rsidRPr="000362AC">
        <w:rPr>
          <w:rFonts w:eastAsia="Calibri" w:cstheme="minorHAnsi"/>
          <w:sz w:val="22"/>
          <w:szCs w:val="22"/>
        </w:rPr>
        <w:t xml:space="preserve">health and confusion about privacy laws (42 CFR Part 2, related to confidentiality of </w:t>
      </w:r>
      <w:r w:rsidRPr="000362AC">
        <w:rPr>
          <w:rFonts w:cstheme="minorHAnsi"/>
          <w:sz w:val="22"/>
          <w:szCs w:val="22"/>
        </w:rPr>
        <w:t>substance use disorder patient records</w:t>
      </w:r>
      <w:r>
        <w:rPr>
          <w:rFonts w:cstheme="minorHAnsi"/>
          <w:sz w:val="22"/>
          <w:szCs w:val="22"/>
        </w:rPr>
        <w:t>,</w:t>
      </w:r>
      <w:r w:rsidRPr="000362AC">
        <w:rPr>
          <w:rFonts w:eastAsia="Calibri" w:cstheme="minorHAnsi"/>
          <w:sz w:val="22"/>
          <w:szCs w:val="22"/>
        </w:rPr>
        <w:t xml:space="preserve"> and HIPAA</w:t>
      </w:r>
      <w:r>
        <w:rPr>
          <w:rFonts w:eastAsia="Calibri" w:cstheme="minorHAnsi"/>
          <w:sz w:val="22"/>
          <w:szCs w:val="22"/>
        </w:rPr>
        <w:t>, related to protection of sensitive patient health information</w:t>
      </w:r>
      <w:r w:rsidRPr="000362AC">
        <w:rPr>
          <w:rFonts w:eastAsia="Calibri" w:cstheme="minorHAnsi"/>
          <w:sz w:val="22"/>
          <w:szCs w:val="22"/>
        </w:rPr>
        <w:t>) governing the sharing of health data. 42 CFR Part 2, in particular,</w:t>
      </w:r>
      <w:r>
        <w:rPr>
          <w:rFonts w:eastAsia="Calibri" w:cstheme="minorHAnsi"/>
          <w:sz w:val="22"/>
          <w:szCs w:val="22"/>
        </w:rPr>
        <w:t xml:space="preserve"> has been challenging for Oregon providers who report that different partners have varying interpretations of the regulation. One interested party noted: “</w:t>
      </w:r>
      <w:r w:rsidRPr="001E6CEA">
        <w:rPr>
          <w:rFonts w:eastAsia="Calibri" w:cstheme="minorHAnsi"/>
          <w:i/>
          <w:sz w:val="22"/>
          <w:szCs w:val="22"/>
        </w:rPr>
        <w:t xml:space="preserve">42 CFR Part 2 [is a barrier]. </w:t>
      </w:r>
      <w:r w:rsidRPr="001E6CEA">
        <w:rPr>
          <w:rFonts w:cstheme="minorHAnsi"/>
          <w:i/>
          <w:color w:val="000000"/>
          <w:sz w:val="22"/>
          <w:shd w:val="clear" w:color="auto" w:fill="FFFFFF"/>
        </w:rPr>
        <w:t>We have some organizations that even within their own organization won't talk to each other from the SUD side to the mental health side</w:t>
      </w:r>
      <w:r>
        <w:rPr>
          <w:rFonts w:eastAsia="Calibri" w:cstheme="minorHAnsi"/>
          <w:i/>
          <w:sz w:val="20"/>
          <w:szCs w:val="22"/>
        </w:rPr>
        <w:t xml:space="preserve">” </w:t>
      </w:r>
      <w:r w:rsidRPr="001E6CEA">
        <w:rPr>
          <w:rFonts w:eastAsia="Calibri" w:cstheme="minorHAnsi"/>
          <w:sz w:val="22"/>
          <w:szCs w:val="22"/>
        </w:rPr>
        <w:t>(</w:t>
      </w:r>
      <w:r>
        <w:rPr>
          <w:rFonts w:eastAsia="Calibri" w:cstheme="minorHAnsi"/>
          <w:sz w:val="22"/>
          <w:szCs w:val="22"/>
        </w:rPr>
        <w:t>Interested Party</w:t>
      </w:r>
      <w:r w:rsidRPr="001E6CEA">
        <w:rPr>
          <w:rFonts w:eastAsia="Calibri" w:cstheme="minorHAnsi"/>
          <w:sz w:val="22"/>
          <w:szCs w:val="22"/>
        </w:rPr>
        <w:t xml:space="preserve"> 02).</w:t>
      </w:r>
    </w:p>
    <w:p w14:paraId="4D7B17EA" w14:textId="77777777" w:rsidR="0074151A" w:rsidRPr="00337BFB" w:rsidRDefault="0074151A" w:rsidP="0074151A">
      <w:pPr>
        <w:rPr>
          <w:rFonts w:eastAsia="Calibri" w:cstheme="minorHAnsi"/>
          <w:sz w:val="22"/>
          <w:szCs w:val="22"/>
        </w:rPr>
      </w:pPr>
    </w:p>
    <w:p w14:paraId="7BB3C674" w14:textId="207B9C45" w:rsidR="00764EB1" w:rsidRDefault="00764EB1" w:rsidP="00764EB1">
      <w:pPr>
        <w:rPr>
          <w:rFonts w:eastAsia="Calibri" w:cstheme="minorHAnsi"/>
          <w:sz w:val="22"/>
          <w:szCs w:val="22"/>
        </w:rPr>
      </w:pPr>
      <w:r w:rsidRPr="00337BFB">
        <w:rPr>
          <w:rFonts w:eastAsia="Calibri" w:cstheme="minorHAnsi"/>
          <w:sz w:val="22"/>
          <w:szCs w:val="22"/>
        </w:rPr>
        <w:t xml:space="preserve">Findings from service users indicate that CCBHC integration with other health services (primary care, dentistry, etc.) may play a critical role in not only getting community members into behavioral </w:t>
      </w:r>
      <w:r>
        <w:rPr>
          <w:rFonts w:eastAsia="Calibri" w:cstheme="minorHAnsi"/>
          <w:sz w:val="22"/>
          <w:szCs w:val="22"/>
        </w:rPr>
        <w:t>healthcare</w:t>
      </w:r>
      <w:r w:rsidRPr="00337BFB">
        <w:rPr>
          <w:rFonts w:eastAsia="Calibri" w:cstheme="minorHAnsi"/>
          <w:sz w:val="22"/>
          <w:szCs w:val="22"/>
        </w:rPr>
        <w:t xml:space="preserve"> but also in facilitating engagement with services across the broader health system. This may be due, in part, to the convenience of having multiple services integrated into the same facility </w:t>
      </w:r>
      <w:r>
        <w:rPr>
          <w:rFonts w:eastAsia="Calibri" w:cstheme="minorHAnsi"/>
          <w:sz w:val="22"/>
          <w:szCs w:val="22"/>
        </w:rPr>
        <w:t xml:space="preserve">and </w:t>
      </w:r>
      <w:r w:rsidRPr="00337BFB">
        <w:rPr>
          <w:rFonts w:eastAsia="Calibri" w:cstheme="minorHAnsi"/>
          <w:sz w:val="22"/>
          <w:szCs w:val="22"/>
        </w:rPr>
        <w:t>also because service users felt safe and respected as a result of the CCBHC</w:t>
      </w:r>
      <w:r>
        <w:rPr>
          <w:rFonts w:eastAsia="Calibri" w:cstheme="minorHAnsi"/>
          <w:sz w:val="22"/>
          <w:szCs w:val="22"/>
        </w:rPr>
        <w:t>’s</w:t>
      </w:r>
      <w:r w:rsidRPr="00337BFB">
        <w:rPr>
          <w:rFonts w:eastAsia="Calibri" w:cstheme="minorHAnsi"/>
          <w:sz w:val="22"/>
          <w:szCs w:val="22"/>
        </w:rPr>
        <w:t xml:space="preserve"> integrated approach to care. </w:t>
      </w:r>
      <w:r>
        <w:rPr>
          <w:rFonts w:eastAsia="Calibri" w:cstheme="minorHAnsi"/>
          <w:sz w:val="22"/>
          <w:szCs w:val="22"/>
        </w:rPr>
        <w:t>O</w:t>
      </w:r>
      <w:r w:rsidRPr="00337BFB">
        <w:rPr>
          <w:rFonts w:eastAsia="Calibri" w:cstheme="minorHAnsi"/>
          <w:sz w:val="22"/>
          <w:szCs w:val="22"/>
        </w:rPr>
        <w:t>ne service user noted</w:t>
      </w:r>
      <w:r>
        <w:rPr>
          <w:rFonts w:eastAsia="Calibri" w:cstheme="minorHAnsi"/>
          <w:sz w:val="22"/>
          <w:szCs w:val="22"/>
        </w:rPr>
        <w:t>:</w:t>
      </w:r>
      <w:r w:rsidRPr="00337BFB">
        <w:rPr>
          <w:rFonts w:eastAsia="Calibri" w:cstheme="minorHAnsi"/>
          <w:sz w:val="22"/>
          <w:szCs w:val="22"/>
        </w:rPr>
        <w:t xml:space="preserve"> “</w:t>
      </w:r>
      <w:r w:rsidRPr="00337BFB">
        <w:rPr>
          <w:rFonts w:eastAsia="Calibri" w:cstheme="minorHAnsi"/>
          <w:i/>
          <w:sz w:val="22"/>
          <w:szCs w:val="22"/>
        </w:rPr>
        <w:t>It's safe [at this clinic], because of their integration with the primary care facility. The approach to mental health here is very holistic. It's not just, "we're treating this," it's looking at the entire picture</w:t>
      </w:r>
      <w:r w:rsidRPr="00337BFB">
        <w:rPr>
          <w:rFonts w:eastAsia="Calibri" w:cstheme="minorHAnsi"/>
          <w:sz w:val="22"/>
          <w:szCs w:val="22"/>
        </w:rPr>
        <w:t>” (Service User 25).</w:t>
      </w:r>
    </w:p>
    <w:p w14:paraId="4126B545" w14:textId="77777777" w:rsidR="00F934D8" w:rsidRPr="00337BFB" w:rsidRDefault="00F934D8" w:rsidP="00764EB1">
      <w:pPr>
        <w:rPr>
          <w:rFonts w:eastAsia="Calibri" w:cstheme="minorHAnsi"/>
          <w:sz w:val="22"/>
          <w:szCs w:val="22"/>
        </w:rPr>
      </w:pPr>
    </w:p>
    <w:p w14:paraId="35EF4B4D" w14:textId="0BE167B0" w:rsidR="0074151A" w:rsidRPr="00337BFB" w:rsidRDefault="00764EB1" w:rsidP="00764EB1">
      <w:pPr>
        <w:rPr>
          <w:rFonts w:eastAsia="Calibri" w:cstheme="minorHAnsi"/>
          <w:sz w:val="22"/>
          <w:szCs w:val="22"/>
        </w:rPr>
      </w:pPr>
      <w:r w:rsidRPr="00337BFB">
        <w:rPr>
          <w:rFonts w:eastAsia="Calibri" w:cstheme="minorHAnsi"/>
          <w:sz w:val="22"/>
          <w:szCs w:val="22"/>
        </w:rPr>
        <w:t>Many</w:t>
      </w:r>
      <w:r>
        <w:rPr>
          <w:rFonts w:eastAsia="Calibri" w:cstheme="minorHAnsi"/>
          <w:sz w:val="22"/>
          <w:szCs w:val="22"/>
        </w:rPr>
        <w:t xml:space="preserve"> </w:t>
      </w:r>
      <w:r w:rsidRPr="00337BFB">
        <w:rPr>
          <w:rFonts w:eastAsia="Calibri" w:cstheme="minorHAnsi"/>
          <w:sz w:val="22"/>
          <w:szCs w:val="22"/>
        </w:rPr>
        <w:t>service users reported that their care was coordinated by their CCBHC in at least some way</w:t>
      </w:r>
      <w:r>
        <w:rPr>
          <w:rFonts w:eastAsia="Calibri" w:cstheme="minorHAnsi"/>
          <w:sz w:val="22"/>
          <w:szCs w:val="22"/>
        </w:rPr>
        <w:t xml:space="preserve"> and </w:t>
      </w:r>
      <w:r w:rsidRPr="00337BFB">
        <w:rPr>
          <w:rFonts w:eastAsia="Calibri" w:cstheme="minorHAnsi"/>
          <w:sz w:val="22"/>
          <w:szCs w:val="22"/>
        </w:rPr>
        <w:t xml:space="preserve">were appreciative that their care team communicated with one another, particularly in regard to scheduling appointments across providers and monitoring medication plans. </w:t>
      </w:r>
      <w:r>
        <w:rPr>
          <w:rFonts w:eastAsia="Calibri" w:cstheme="minorHAnsi"/>
          <w:sz w:val="22"/>
          <w:szCs w:val="22"/>
        </w:rPr>
        <w:t>O</w:t>
      </w:r>
      <w:r w:rsidRPr="00337BFB">
        <w:rPr>
          <w:rFonts w:eastAsia="Calibri" w:cstheme="minorHAnsi"/>
          <w:sz w:val="22"/>
          <w:szCs w:val="22"/>
        </w:rPr>
        <w:t>ne service user said:</w:t>
      </w:r>
    </w:p>
    <w:p w14:paraId="3CE6F7F2" w14:textId="77777777" w:rsidR="0074151A" w:rsidRDefault="0074151A" w:rsidP="0074151A">
      <w:pPr>
        <w:ind w:left="720"/>
        <w:rPr>
          <w:rFonts w:eastAsia="Calibri" w:cstheme="minorHAnsi"/>
          <w:i/>
          <w:sz w:val="22"/>
          <w:szCs w:val="22"/>
        </w:rPr>
      </w:pPr>
    </w:p>
    <w:p w14:paraId="38288956" w14:textId="51F4F1A4" w:rsidR="0074151A" w:rsidRPr="00337BFB" w:rsidRDefault="0074151A" w:rsidP="0074151A">
      <w:pPr>
        <w:ind w:left="720"/>
        <w:rPr>
          <w:rFonts w:eastAsia="Calibri" w:cstheme="minorHAnsi"/>
          <w:sz w:val="22"/>
          <w:szCs w:val="22"/>
        </w:rPr>
      </w:pPr>
      <w:r w:rsidRPr="00337BFB">
        <w:rPr>
          <w:rFonts w:eastAsia="Calibri" w:cstheme="minorHAnsi"/>
          <w:i/>
          <w:sz w:val="22"/>
          <w:szCs w:val="22"/>
        </w:rPr>
        <w:t>This is the first mental health facility that I've been able to access other than the VA, and there is no comparison between the capabilities of this clinic and the VA. The only reason that I even access care here is because they are integrated with [medical clinic] and they actually had a mental health person in with physical health. During a physical, they determined that it wasn't physical issues that I was having, it was my mental health. They were able to get me in with a mental health person right then, and now that [the medical and CCBHC] are in the same building, it’s perfect.</w:t>
      </w:r>
      <w:r w:rsidRPr="00337BFB">
        <w:rPr>
          <w:rFonts w:eastAsia="Calibri" w:cstheme="minorHAnsi"/>
          <w:sz w:val="22"/>
          <w:szCs w:val="22"/>
        </w:rPr>
        <w:t xml:space="preserve"> (Service User 26)</w:t>
      </w:r>
    </w:p>
    <w:p w14:paraId="06298336" w14:textId="77777777" w:rsidR="0074151A" w:rsidRPr="00337BFB" w:rsidRDefault="0074151A" w:rsidP="0074151A">
      <w:pPr>
        <w:rPr>
          <w:rFonts w:eastAsia="Calibri" w:cstheme="minorHAnsi"/>
          <w:sz w:val="22"/>
          <w:szCs w:val="22"/>
        </w:rPr>
      </w:pPr>
    </w:p>
    <w:p w14:paraId="25E8D217" w14:textId="77777777" w:rsidR="00764EB1" w:rsidRPr="00337BFB" w:rsidRDefault="00764EB1" w:rsidP="00764EB1">
      <w:pPr>
        <w:rPr>
          <w:rFonts w:eastAsia="Calibri" w:cstheme="minorHAnsi"/>
          <w:sz w:val="22"/>
          <w:szCs w:val="22"/>
        </w:rPr>
      </w:pPr>
      <w:r w:rsidRPr="00337BFB">
        <w:rPr>
          <w:rFonts w:eastAsia="Calibri" w:cstheme="minorHAnsi"/>
          <w:sz w:val="22"/>
          <w:szCs w:val="22"/>
        </w:rPr>
        <w:t xml:space="preserve">Service users generally spoke highly of the care coordination that they received through their CCBHC and noted it helped them to progress in their treatment in a way that they did not otherwise feel would be possible. For some service users the perception that their care was not coordinated was due to a lack of familiarity with the term. However, a few service users reported very limited care coordination. </w:t>
      </w:r>
      <w:r>
        <w:rPr>
          <w:rFonts w:eastAsia="Calibri" w:cstheme="minorHAnsi"/>
          <w:sz w:val="22"/>
          <w:szCs w:val="22"/>
        </w:rPr>
        <w:t>O</w:t>
      </w:r>
      <w:r w:rsidRPr="00337BFB">
        <w:rPr>
          <w:rFonts w:eastAsia="Calibri" w:cstheme="minorHAnsi"/>
          <w:sz w:val="22"/>
          <w:szCs w:val="22"/>
        </w:rPr>
        <w:t>ne service user reported</w:t>
      </w:r>
      <w:r>
        <w:rPr>
          <w:rFonts w:eastAsia="Calibri" w:cstheme="minorHAnsi"/>
          <w:sz w:val="22"/>
          <w:szCs w:val="22"/>
        </w:rPr>
        <w:t>:</w:t>
      </w:r>
      <w:r w:rsidRPr="00337BFB">
        <w:rPr>
          <w:rFonts w:eastAsia="Calibri" w:cstheme="minorHAnsi"/>
          <w:sz w:val="22"/>
          <w:szCs w:val="22"/>
        </w:rPr>
        <w:t xml:space="preserve"> “</w:t>
      </w:r>
      <w:r w:rsidRPr="00337BFB">
        <w:rPr>
          <w:rFonts w:eastAsia="Calibri" w:cstheme="minorHAnsi"/>
          <w:i/>
          <w:sz w:val="22"/>
          <w:szCs w:val="22"/>
        </w:rPr>
        <w:t>There is some coordination between therapists and other workers, but I don’t feel like coordinated is the right term. There is some mild collaboration, but it is far from a wraparound style treatment service</w:t>
      </w:r>
      <w:r w:rsidRPr="00337BFB">
        <w:rPr>
          <w:rFonts w:eastAsia="Calibri" w:cstheme="minorHAnsi"/>
          <w:sz w:val="22"/>
          <w:szCs w:val="22"/>
        </w:rPr>
        <w:t xml:space="preserve">” (Service User 30). </w:t>
      </w:r>
    </w:p>
    <w:p w14:paraId="6FD07466" w14:textId="42A58439" w:rsidR="00764EB1" w:rsidRDefault="00764EB1" w:rsidP="00764EB1">
      <w:pPr>
        <w:rPr>
          <w:rFonts w:eastAsia="Calibri" w:cstheme="minorHAnsi"/>
          <w:sz w:val="22"/>
          <w:szCs w:val="22"/>
        </w:rPr>
      </w:pPr>
    </w:p>
    <w:p w14:paraId="45A7633D" w14:textId="2824507D" w:rsidR="001C17EA" w:rsidRPr="00974ABB" w:rsidRDefault="001C17EA" w:rsidP="001C17EA">
      <w:pPr>
        <w:pStyle w:val="CommentText"/>
        <w:ind w:left="0" w:firstLine="0"/>
        <w:rPr>
          <w:sz w:val="22"/>
          <w:szCs w:val="22"/>
        </w:rPr>
      </w:pPr>
      <w:r w:rsidRPr="00974ABB">
        <w:rPr>
          <w:sz w:val="22"/>
          <w:szCs w:val="22"/>
        </w:rPr>
        <w:t xml:space="preserve">Several service users indicated that requirements for the use of integrated services may apply differently to those receiving services for SUD and those with a dual diagnosis. </w:t>
      </w:r>
      <w:r>
        <w:rPr>
          <w:sz w:val="22"/>
          <w:szCs w:val="22"/>
        </w:rPr>
        <w:t>This suggests the need at both the clinic and CCBHC program level to i</w:t>
      </w:r>
      <w:r w:rsidRPr="00974ABB">
        <w:rPr>
          <w:sz w:val="22"/>
          <w:szCs w:val="22"/>
        </w:rPr>
        <w:t>nvestigate differences in the experience of integration of physical and behavioral health services for service users who are required to utilize CCBHC services as a component of their treatment and/or in order to receive medication for opioid use disorder (MOUD).</w:t>
      </w:r>
    </w:p>
    <w:p w14:paraId="62CE45AA" w14:textId="77777777" w:rsidR="001C17EA" w:rsidRPr="00337BFB" w:rsidRDefault="001C17EA" w:rsidP="00764EB1">
      <w:pPr>
        <w:rPr>
          <w:rFonts w:eastAsia="Calibri" w:cstheme="minorHAnsi"/>
          <w:sz w:val="22"/>
          <w:szCs w:val="22"/>
        </w:rPr>
      </w:pPr>
    </w:p>
    <w:p w14:paraId="2B0E682A" w14:textId="2966DF60" w:rsidR="00764EB1" w:rsidRPr="00337BFB" w:rsidRDefault="00764EB1" w:rsidP="00764EB1">
      <w:pPr>
        <w:rPr>
          <w:rFonts w:eastAsia="Calibri" w:cstheme="minorHAnsi"/>
          <w:sz w:val="22"/>
          <w:szCs w:val="22"/>
        </w:rPr>
      </w:pPr>
      <w:r w:rsidRPr="00337BFB">
        <w:rPr>
          <w:rFonts w:eastAsia="Calibri" w:cstheme="minorHAnsi"/>
          <w:sz w:val="22"/>
          <w:szCs w:val="22"/>
        </w:rPr>
        <w:t xml:space="preserve">Even when integration with primary care was available, not all service users chose to take advantage of </w:t>
      </w:r>
      <w:r w:rsidR="004A4C4C">
        <w:rPr>
          <w:rFonts w:eastAsia="Calibri" w:cstheme="minorHAnsi"/>
          <w:sz w:val="22"/>
          <w:szCs w:val="22"/>
        </w:rPr>
        <w:t>it</w:t>
      </w:r>
      <w:r w:rsidRPr="00337BFB">
        <w:rPr>
          <w:rFonts w:eastAsia="Calibri" w:cstheme="minorHAnsi"/>
          <w:sz w:val="22"/>
          <w:szCs w:val="22"/>
        </w:rPr>
        <w:t xml:space="preserve">. </w:t>
      </w:r>
      <w:r w:rsidR="004A4C4C">
        <w:rPr>
          <w:rFonts w:eastAsia="Calibri" w:cstheme="minorHAnsi"/>
          <w:sz w:val="22"/>
          <w:szCs w:val="22"/>
        </w:rPr>
        <w:t>S</w:t>
      </w:r>
      <w:r w:rsidRPr="00337BFB">
        <w:rPr>
          <w:rFonts w:eastAsia="Calibri" w:cstheme="minorHAnsi"/>
          <w:sz w:val="22"/>
          <w:szCs w:val="22"/>
        </w:rPr>
        <w:t xml:space="preserve">ome service users </w:t>
      </w:r>
      <w:r>
        <w:rPr>
          <w:rFonts w:eastAsia="Calibri" w:cstheme="minorHAnsi"/>
          <w:sz w:val="22"/>
          <w:szCs w:val="22"/>
        </w:rPr>
        <w:t>received specialist care</w:t>
      </w:r>
      <w:r w:rsidRPr="00337BFB">
        <w:rPr>
          <w:rFonts w:eastAsia="Calibri" w:cstheme="minorHAnsi"/>
          <w:sz w:val="22"/>
          <w:szCs w:val="22"/>
        </w:rPr>
        <w:t xml:space="preserve"> </w:t>
      </w:r>
      <w:r>
        <w:rPr>
          <w:rFonts w:eastAsia="Calibri" w:cstheme="minorHAnsi"/>
          <w:sz w:val="22"/>
          <w:szCs w:val="22"/>
        </w:rPr>
        <w:t>that</w:t>
      </w:r>
      <w:r w:rsidRPr="00337BFB">
        <w:rPr>
          <w:rFonts w:eastAsia="Calibri" w:cstheme="minorHAnsi"/>
          <w:sz w:val="22"/>
          <w:szCs w:val="22"/>
        </w:rPr>
        <w:t xml:space="preserve"> they </w:t>
      </w:r>
      <w:r>
        <w:rPr>
          <w:rFonts w:eastAsia="Calibri" w:cstheme="minorHAnsi"/>
          <w:sz w:val="22"/>
          <w:szCs w:val="22"/>
        </w:rPr>
        <w:t>were</w:t>
      </w:r>
      <w:r w:rsidRPr="00337BFB">
        <w:rPr>
          <w:rFonts w:eastAsia="Calibri" w:cstheme="minorHAnsi"/>
          <w:sz w:val="22"/>
          <w:szCs w:val="22"/>
        </w:rPr>
        <w:t xml:space="preserve"> unable to receive through the CCBHC, while others had an existing relationship with their </w:t>
      </w:r>
      <w:r>
        <w:rPr>
          <w:rFonts w:eastAsia="Calibri" w:cstheme="minorHAnsi"/>
          <w:sz w:val="22"/>
          <w:szCs w:val="22"/>
        </w:rPr>
        <w:t>primary care provider</w:t>
      </w:r>
      <w:r w:rsidRPr="00337BFB">
        <w:rPr>
          <w:rFonts w:eastAsia="Calibri" w:cstheme="minorHAnsi"/>
          <w:sz w:val="22"/>
          <w:szCs w:val="22"/>
        </w:rPr>
        <w:t xml:space="preserve"> prior to receiving services from the CCBHC that they wished to maintain. For service users relying on outside specialty services, care coordination activities were even more important </w:t>
      </w:r>
      <w:r>
        <w:rPr>
          <w:rFonts w:eastAsia="Calibri" w:cstheme="minorHAnsi"/>
          <w:sz w:val="22"/>
          <w:szCs w:val="22"/>
        </w:rPr>
        <w:t xml:space="preserve">to ensure </w:t>
      </w:r>
      <w:r w:rsidRPr="00337BFB">
        <w:rPr>
          <w:rFonts w:eastAsia="Calibri" w:cstheme="minorHAnsi"/>
          <w:sz w:val="22"/>
          <w:szCs w:val="22"/>
        </w:rPr>
        <w:t>all members of the care team</w:t>
      </w:r>
      <w:r>
        <w:rPr>
          <w:rFonts w:eastAsia="Calibri" w:cstheme="minorHAnsi"/>
          <w:sz w:val="22"/>
          <w:szCs w:val="22"/>
        </w:rPr>
        <w:t xml:space="preserve"> had the same information</w:t>
      </w:r>
      <w:r w:rsidRPr="00337BFB">
        <w:rPr>
          <w:rFonts w:eastAsia="Calibri" w:cstheme="minorHAnsi"/>
          <w:sz w:val="22"/>
          <w:szCs w:val="22"/>
        </w:rPr>
        <w:t xml:space="preserve">. These findings indicate that it may be important </w:t>
      </w:r>
      <w:r w:rsidR="0004544E">
        <w:rPr>
          <w:rFonts w:eastAsia="Calibri" w:cstheme="minorHAnsi"/>
          <w:sz w:val="22"/>
          <w:szCs w:val="22"/>
        </w:rPr>
        <w:t xml:space="preserve">for relevant Oregon decision-makers </w:t>
      </w:r>
      <w:r w:rsidRPr="00337BFB">
        <w:rPr>
          <w:rFonts w:eastAsia="Calibri" w:cstheme="minorHAnsi"/>
          <w:sz w:val="22"/>
          <w:szCs w:val="22"/>
        </w:rPr>
        <w:t xml:space="preserve">to </w:t>
      </w:r>
      <w:r>
        <w:rPr>
          <w:rFonts w:eastAsia="Calibri" w:cstheme="minorHAnsi"/>
          <w:sz w:val="22"/>
          <w:szCs w:val="22"/>
        </w:rPr>
        <w:t>re</w:t>
      </w:r>
      <w:r w:rsidRPr="00337BFB">
        <w:rPr>
          <w:rFonts w:eastAsia="Calibri" w:cstheme="minorHAnsi"/>
          <w:sz w:val="22"/>
          <w:szCs w:val="22"/>
        </w:rPr>
        <w:t xml:space="preserve">consider the CCBHC primary care requirement </w:t>
      </w:r>
      <w:r w:rsidR="0004544E">
        <w:rPr>
          <w:rFonts w:eastAsia="Calibri" w:cstheme="minorHAnsi"/>
          <w:sz w:val="22"/>
          <w:szCs w:val="22"/>
        </w:rPr>
        <w:t xml:space="preserve">specifications </w:t>
      </w:r>
      <w:r>
        <w:rPr>
          <w:rFonts w:eastAsia="Calibri" w:cstheme="minorHAnsi"/>
          <w:sz w:val="22"/>
          <w:szCs w:val="22"/>
        </w:rPr>
        <w:t xml:space="preserve">in order </w:t>
      </w:r>
      <w:r w:rsidRPr="00337BFB">
        <w:rPr>
          <w:rFonts w:eastAsia="Calibri" w:cstheme="minorHAnsi"/>
          <w:sz w:val="22"/>
          <w:szCs w:val="22"/>
        </w:rPr>
        <w:t xml:space="preserve">to account for service users who choose not to receive </w:t>
      </w:r>
      <w:r>
        <w:rPr>
          <w:rFonts w:eastAsia="Calibri" w:cstheme="minorHAnsi"/>
          <w:sz w:val="22"/>
          <w:szCs w:val="22"/>
        </w:rPr>
        <w:t>their physical healthcare</w:t>
      </w:r>
      <w:r w:rsidRPr="00337BFB">
        <w:rPr>
          <w:rFonts w:eastAsia="Calibri" w:cstheme="minorHAnsi"/>
          <w:sz w:val="22"/>
          <w:szCs w:val="22"/>
        </w:rPr>
        <w:t xml:space="preserve"> through the clinic but </w:t>
      </w:r>
      <w:r>
        <w:rPr>
          <w:rFonts w:eastAsia="Calibri" w:cstheme="minorHAnsi"/>
          <w:sz w:val="22"/>
          <w:szCs w:val="22"/>
        </w:rPr>
        <w:t xml:space="preserve">could </w:t>
      </w:r>
      <w:r w:rsidRPr="00337BFB">
        <w:rPr>
          <w:rFonts w:eastAsia="Calibri" w:cstheme="minorHAnsi"/>
          <w:sz w:val="22"/>
          <w:szCs w:val="22"/>
        </w:rPr>
        <w:t xml:space="preserve">still benefit from care coordination activities that help to streamline their experience across </w:t>
      </w:r>
      <w:r>
        <w:rPr>
          <w:rFonts w:eastAsia="Calibri" w:cstheme="minorHAnsi"/>
          <w:sz w:val="22"/>
          <w:szCs w:val="22"/>
        </w:rPr>
        <w:t xml:space="preserve">multiple </w:t>
      </w:r>
      <w:r w:rsidRPr="00337BFB">
        <w:rPr>
          <w:rFonts w:eastAsia="Calibri" w:cstheme="minorHAnsi"/>
          <w:sz w:val="22"/>
          <w:szCs w:val="22"/>
        </w:rPr>
        <w:t xml:space="preserve">clinics and providers. </w:t>
      </w:r>
    </w:p>
    <w:p w14:paraId="62BED784" w14:textId="77777777" w:rsidR="00764EB1" w:rsidRPr="00337BFB" w:rsidRDefault="00764EB1" w:rsidP="00764EB1">
      <w:pPr>
        <w:rPr>
          <w:rFonts w:eastAsia="Calibri" w:cstheme="minorHAnsi"/>
          <w:sz w:val="22"/>
          <w:szCs w:val="22"/>
        </w:rPr>
      </w:pPr>
    </w:p>
    <w:p w14:paraId="6EC757E2" w14:textId="741BDC36" w:rsidR="0074151A" w:rsidRDefault="00764EB1" w:rsidP="00764EB1">
      <w:pPr>
        <w:rPr>
          <w:rFonts w:eastAsia="Calibri" w:cstheme="minorHAnsi"/>
          <w:i/>
          <w:sz w:val="22"/>
          <w:szCs w:val="22"/>
        </w:rPr>
      </w:pPr>
      <w:r w:rsidRPr="00337BFB">
        <w:rPr>
          <w:rFonts w:eastAsia="Calibri" w:cstheme="minorHAnsi"/>
          <w:sz w:val="22"/>
          <w:szCs w:val="22"/>
        </w:rPr>
        <w:t xml:space="preserve">Integration and coordination of care are critical for improving </w:t>
      </w:r>
      <w:r>
        <w:rPr>
          <w:rFonts w:eastAsia="Calibri" w:cstheme="minorHAnsi"/>
          <w:sz w:val="22"/>
          <w:szCs w:val="22"/>
        </w:rPr>
        <w:t>healthcare</w:t>
      </w:r>
      <w:r w:rsidRPr="00337BFB">
        <w:rPr>
          <w:rFonts w:eastAsia="Calibri" w:cstheme="minorHAnsi"/>
          <w:sz w:val="22"/>
          <w:szCs w:val="22"/>
        </w:rPr>
        <w:t xml:space="preserve"> outcomes. Interviews with clinic leaders and service </w:t>
      </w:r>
      <w:r>
        <w:rPr>
          <w:rFonts w:eastAsia="Calibri" w:cstheme="minorHAnsi"/>
          <w:sz w:val="22"/>
          <w:szCs w:val="22"/>
        </w:rPr>
        <w:t>users</w:t>
      </w:r>
      <w:r w:rsidRPr="00337BFB">
        <w:rPr>
          <w:rFonts w:eastAsia="Calibri" w:cstheme="minorHAnsi"/>
          <w:sz w:val="22"/>
          <w:szCs w:val="22"/>
        </w:rPr>
        <w:t xml:space="preserve"> suggest that</w:t>
      </w:r>
      <w:r>
        <w:rPr>
          <w:rFonts w:eastAsia="Calibri" w:cstheme="minorHAnsi"/>
          <w:sz w:val="22"/>
          <w:szCs w:val="22"/>
        </w:rPr>
        <w:t>,</w:t>
      </w:r>
      <w:r w:rsidRPr="00337BFB">
        <w:rPr>
          <w:rFonts w:eastAsia="Calibri" w:cstheme="minorHAnsi"/>
          <w:sz w:val="22"/>
          <w:szCs w:val="22"/>
        </w:rPr>
        <w:t xml:space="preserve"> even with the CCBHC model, </w:t>
      </w:r>
      <w:r>
        <w:rPr>
          <w:rFonts w:eastAsia="Calibri" w:cstheme="minorHAnsi"/>
          <w:sz w:val="22"/>
          <w:szCs w:val="22"/>
        </w:rPr>
        <w:t xml:space="preserve">challenges with </w:t>
      </w:r>
      <w:r w:rsidRPr="00337BFB">
        <w:rPr>
          <w:rFonts w:eastAsia="Calibri" w:cstheme="minorHAnsi"/>
          <w:sz w:val="22"/>
          <w:szCs w:val="22"/>
        </w:rPr>
        <w:t>data, communication, and information sharing remain</w:t>
      </w:r>
      <w:r>
        <w:rPr>
          <w:rFonts w:eastAsia="Calibri" w:cstheme="minorHAnsi"/>
          <w:sz w:val="22"/>
          <w:szCs w:val="22"/>
        </w:rPr>
        <w:t>. T</w:t>
      </w:r>
      <w:r w:rsidRPr="00337BFB">
        <w:rPr>
          <w:rFonts w:eastAsia="Calibri" w:cstheme="minorHAnsi"/>
          <w:sz w:val="22"/>
          <w:szCs w:val="22"/>
        </w:rPr>
        <w:t>he CCBHC provides a promising model for integrating primary care into behavioral health settings. As one interested party noted</w:t>
      </w:r>
      <w:r>
        <w:rPr>
          <w:rFonts w:eastAsia="Calibri" w:cstheme="minorHAnsi"/>
          <w:sz w:val="22"/>
          <w:szCs w:val="22"/>
        </w:rPr>
        <w:t>:</w:t>
      </w:r>
      <w:r w:rsidRPr="00337BFB">
        <w:rPr>
          <w:rFonts w:eastAsia="Calibri" w:cstheme="minorHAnsi"/>
          <w:sz w:val="22"/>
          <w:szCs w:val="22"/>
        </w:rPr>
        <w:t xml:space="preserve"> “</w:t>
      </w:r>
      <w:r w:rsidRPr="00337BFB">
        <w:rPr>
          <w:rFonts w:eastAsia="Calibri" w:cstheme="minorHAnsi"/>
          <w:i/>
          <w:sz w:val="22"/>
          <w:szCs w:val="22"/>
        </w:rPr>
        <w:t>[The CCBHC] is definitely</w:t>
      </w:r>
      <w:r>
        <w:rPr>
          <w:rFonts w:eastAsia="Calibri" w:cstheme="minorHAnsi"/>
          <w:i/>
          <w:sz w:val="22"/>
          <w:szCs w:val="22"/>
        </w:rPr>
        <w:t xml:space="preserve"> </w:t>
      </w:r>
      <w:r w:rsidRPr="00337BFB">
        <w:rPr>
          <w:rFonts w:eastAsia="Calibri" w:cstheme="minorHAnsi"/>
          <w:i/>
          <w:sz w:val="22"/>
          <w:szCs w:val="22"/>
        </w:rPr>
        <w:t xml:space="preserve">moving towards integrated care. It’s not completely bringing in physical </w:t>
      </w:r>
      <w:r>
        <w:rPr>
          <w:rFonts w:eastAsia="Calibri" w:cstheme="minorHAnsi"/>
          <w:i/>
          <w:sz w:val="22"/>
          <w:szCs w:val="22"/>
        </w:rPr>
        <w:t>healthcare</w:t>
      </w:r>
      <w:r w:rsidRPr="00337BFB">
        <w:rPr>
          <w:rFonts w:eastAsia="Calibri" w:cstheme="minorHAnsi"/>
          <w:i/>
          <w:sz w:val="22"/>
          <w:szCs w:val="22"/>
        </w:rPr>
        <w:t xml:space="preserve">, but it's a start…the primary care is coming to behavioral health for those people who feel like their behavioral health clinic is their main doctor” </w:t>
      </w:r>
      <w:r w:rsidRPr="0037752A">
        <w:rPr>
          <w:rFonts w:eastAsia="Calibri" w:cstheme="minorHAnsi"/>
          <w:iCs/>
          <w:sz w:val="22"/>
          <w:szCs w:val="22"/>
        </w:rPr>
        <w:t>(Interested Party 05)</w:t>
      </w:r>
      <w:r>
        <w:rPr>
          <w:rFonts w:eastAsia="Calibri" w:cstheme="minorHAnsi"/>
          <w:i/>
          <w:sz w:val="22"/>
          <w:szCs w:val="22"/>
        </w:rPr>
        <w:t>.</w:t>
      </w:r>
    </w:p>
    <w:p w14:paraId="6BDBEA6B" w14:textId="77777777" w:rsidR="00764EB1" w:rsidRDefault="00764EB1" w:rsidP="00764EB1">
      <w:pPr>
        <w:rPr>
          <w:rFonts w:eastAsia="Calibri" w:cstheme="minorHAnsi"/>
          <w:i/>
          <w:sz w:val="22"/>
          <w:szCs w:val="22"/>
        </w:rPr>
      </w:pPr>
    </w:p>
    <w:p w14:paraId="708364FF" w14:textId="21A50498" w:rsidR="0074151A" w:rsidRPr="00A17C4D" w:rsidRDefault="0074151A" w:rsidP="00A17C4D">
      <w:pPr>
        <w:spacing w:after="120"/>
        <w:rPr>
          <w:b/>
          <w:bCs/>
          <w:i/>
          <w:iCs/>
          <w:color w:val="6A7F0F"/>
          <w:highlight w:val="white"/>
        </w:rPr>
      </w:pPr>
      <w:r w:rsidRPr="00A17C4D">
        <w:rPr>
          <w:b/>
          <w:bCs/>
          <w:i/>
          <w:iCs/>
          <w:color w:val="6A7F0F"/>
          <w:highlight w:val="white"/>
        </w:rPr>
        <w:t>Primary Care Use</w:t>
      </w:r>
    </w:p>
    <w:p w14:paraId="1292F5E9" w14:textId="77777777" w:rsidR="00F934D8" w:rsidRDefault="0074151A" w:rsidP="00F934D8">
      <w:pPr>
        <w:rPr>
          <w:rFonts w:cstheme="minorHAnsi"/>
          <w:sz w:val="20"/>
          <w:szCs w:val="20"/>
        </w:rPr>
      </w:pPr>
      <w:r w:rsidRPr="00261B2D">
        <w:rPr>
          <w:rFonts w:cstheme="minorHAnsi"/>
          <w:iCs/>
          <w:color w:val="6A7F0F"/>
          <w:sz w:val="22"/>
          <w:szCs w:val="22"/>
        </w:rPr>
        <w:t xml:space="preserve">Figure 6 </w:t>
      </w:r>
      <w:r w:rsidRPr="00EC5647">
        <w:rPr>
          <w:rFonts w:cstheme="minorHAnsi"/>
          <w:iCs/>
          <w:sz w:val="22"/>
          <w:szCs w:val="22"/>
        </w:rPr>
        <w:t>provides estimates of the change in primary care use and visits for CCBHCs overall and by</w:t>
      </w:r>
      <w:r w:rsidRPr="00062EF8">
        <w:rPr>
          <w:rFonts w:cstheme="minorHAnsi"/>
          <w:iCs/>
          <w:sz w:val="22"/>
          <w:szCs w:val="22"/>
        </w:rPr>
        <w:t xml:space="preserve"> race/</w:t>
      </w:r>
      <w:r w:rsidRPr="00A17C4D">
        <w:rPr>
          <w:rFonts w:cstheme="minorHAnsi"/>
          <w:iCs/>
          <w:sz w:val="22"/>
          <w:szCs w:val="22"/>
        </w:rPr>
        <w:t>ethnicity</w:t>
      </w:r>
      <w:r w:rsidRPr="00062EF8">
        <w:rPr>
          <w:rFonts w:cstheme="minorHAnsi"/>
          <w:iCs/>
          <w:sz w:val="22"/>
          <w:szCs w:val="22"/>
        </w:rPr>
        <w:t xml:space="preserve"> groups. </w:t>
      </w:r>
      <w:hyperlink w:anchor="Appendix6_Table_A64a" w:history="1">
        <w:r w:rsidRPr="00764EB1">
          <w:rPr>
            <w:rStyle w:val="Hyperlink"/>
            <w:rFonts w:cstheme="minorHAnsi"/>
            <w:iCs/>
            <w:sz w:val="22"/>
            <w:szCs w:val="22"/>
          </w:rPr>
          <w:t>Tables A</w:t>
        </w:r>
        <w:r w:rsidR="0067134D">
          <w:rPr>
            <w:rStyle w:val="Hyperlink"/>
            <w:rFonts w:cstheme="minorHAnsi"/>
            <w:iCs/>
            <w:sz w:val="22"/>
            <w:szCs w:val="22"/>
          </w:rPr>
          <w:t>7</w:t>
        </w:r>
        <w:r w:rsidRPr="00764EB1">
          <w:rPr>
            <w:rStyle w:val="Hyperlink"/>
            <w:rFonts w:cstheme="minorHAnsi"/>
            <w:iCs/>
            <w:sz w:val="22"/>
            <w:szCs w:val="22"/>
          </w:rPr>
          <w:t>.4a</w:t>
        </w:r>
      </w:hyperlink>
      <w:r>
        <w:rPr>
          <w:rFonts w:cstheme="minorHAnsi"/>
          <w:iCs/>
          <w:sz w:val="22"/>
          <w:szCs w:val="22"/>
        </w:rPr>
        <w:t xml:space="preserve"> </w:t>
      </w:r>
      <w:r w:rsidR="00517AAA">
        <w:rPr>
          <w:rFonts w:cstheme="minorHAnsi"/>
          <w:iCs/>
          <w:sz w:val="22"/>
          <w:szCs w:val="22"/>
        </w:rPr>
        <w:t>and</w:t>
      </w:r>
      <w:r w:rsidR="00764EB1">
        <w:rPr>
          <w:rFonts w:cstheme="minorHAnsi"/>
          <w:iCs/>
          <w:sz w:val="22"/>
          <w:szCs w:val="22"/>
        </w:rPr>
        <w:t xml:space="preserve"> </w:t>
      </w:r>
      <w:hyperlink w:anchor="Appendix6_Table_A64b" w:history="1">
        <w:r w:rsidRPr="00764EB1">
          <w:rPr>
            <w:rStyle w:val="Hyperlink"/>
            <w:rFonts w:cstheme="minorHAnsi"/>
            <w:iCs/>
            <w:sz w:val="22"/>
            <w:szCs w:val="22"/>
          </w:rPr>
          <w:t>A</w:t>
        </w:r>
        <w:r w:rsidR="0067134D">
          <w:rPr>
            <w:rStyle w:val="Hyperlink"/>
            <w:rFonts w:cstheme="minorHAnsi"/>
            <w:iCs/>
            <w:sz w:val="22"/>
            <w:szCs w:val="22"/>
          </w:rPr>
          <w:t>7</w:t>
        </w:r>
        <w:r w:rsidRPr="00764EB1">
          <w:rPr>
            <w:rStyle w:val="Hyperlink"/>
            <w:rFonts w:cstheme="minorHAnsi"/>
            <w:iCs/>
            <w:sz w:val="22"/>
            <w:szCs w:val="22"/>
          </w:rPr>
          <w:t>.4b</w:t>
        </w:r>
      </w:hyperlink>
      <w:r>
        <w:rPr>
          <w:rFonts w:cstheme="minorHAnsi"/>
          <w:iCs/>
          <w:sz w:val="22"/>
          <w:szCs w:val="22"/>
        </w:rPr>
        <w:t xml:space="preserve"> </w:t>
      </w:r>
      <w:r w:rsidRPr="00062EF8">
        <w:rPr>
          <w:rFonts w:cstheme="minorHAnsi"/>
          <w:iCs/>
          <w:sz w:val="22"/>
          <w:szCs w:val="22"/>
        </w:rPr>
        <w:t xml:space="preserve">in </w:t>
      </w:r>
      <w:hyperlink w:anchor="_Appendix_7:_Additional" w:history="1">
        <w:r w:rsidRPr="00764EB1">
          <w:rPr>
            <w:rStyle w:val="Hyperlink"/>
            <w:rFonts w:cstheme="minorHAnsi"/>
            <w:iCs/>
            <w:sz w:val="22"/>
            <w:szCs w:val="22"/>
          </w:rPr>
          <w:t>Appendix 7</w:t>
        </w:r>
      </w:hyperlink>
      <w:r w:rsidRPr="00062EF8">
        <w:rPr>
          <w:rFonts w:cstheme="minorHAnsi"/>
          <w:iCs/>
          <w:sz w:val="22"/>
          <w:szCs w:val="22"/>
        </w:rPr>
        <w:t xml:space="preserve"> </w:t>
      </w:r>
      <w:r w:rsidR="00764EB1" w:rsidRPr="00062EF8">
        <w:rPr>
          <w:rFonts w:cstheme="minorHAnsi"/>
          <w:iCs/>
          <w:sz w:val="22"/>
          <w:szCs w:val="22"/>
        </w:rPr>
        <w:t>provide estimates of changes in primary care by race/ethnicity and urban</w:t>
      </w:r>
      <w:r w:rsidR="00764EB1">
        <w:rPr>
          <w:rFonts w:cstheme="minorHAnsi"/>
          <w:iCs/>
          <w:sz w:val="22"/>
          <w:szCs w:val="22"/>
        </w:rPr>
        <w:t>/</w:t>
      </w:r>
      <w:r w:rsidR="00764EB1" w:rsidRPr="00062EF8">
        <w:rPr>
          <w:rFonts w:cstheme="minorHAnsi"/>
          <w:iCs/>
          <w:sz w:val="22"/>
          <w:szCs w:val="22"/>
        </w:rPr>
        <w:t>rural</w:t>
      </w:r>
      <w:r w:rsidR="00764EB1">
        <w:rPr>
          <w:rFonts w:cstheme="minorHAnsi"/>
          <w:iCs/>
          <w:sz w:val="22"/>
          <w:szCs w:val="22"/>
        </w:rPr>
        <w:t>/remote</w:t>
      </w:r>
      <w:r w:rsidR="00764EB1" w:rsidRPr="00062EF8">
        <w:rPr>
          <w:rFonts w:cstheme="minorHAnsi"/>
          <w:iCs/>
          <w:sz w:val="22"/>
          <w:szCs w:val="22"/>
        </w:rPr>
        <w:t xml:space="preserve"> residence. Quarterly primary care use and visits per person were flat or increas</w:t>
      </w:r>
      <w:r w:rsidR="00764EB1">
        <w:rPr>
          <w:rFonts w:cstheme="minorHAnsi"/>
          <w:iCs/>
          <w:sz w:val="22"/>
          <w:szCs w:val="22"/>
        </w:rPr>
        <w:t>ed</w:t>
      </w:r>
      <w:r w:rsidR="00764EB1" w:rsidRPr="00062EF8">
        <w:rPr>
          <w:rFonts w:cstheme="minorHAnsi"/>
          <w:iCs/>
          <w:sz w:val="22"/>
          <w:szCs w:val="22"/>
        </w:rPr>
        <w:t xml:space="preserve"> minimally in the first </w:t>
      </w:r>
      <w:r w:rsidR="00764EB1">
        <w:rPr>
          <w:rFonts w:cstheme="minorHAnsi"/>
          <w:iCs/>
          <w:sz w:val="22"/>
          <w:szCs w:val="22"/>
        </w:rPr>
        <w:t xml:space="preserve">post-implementation </w:t>
      </w:r>
      <w:r w:rsidR="00764EB1" w:rsidRPr="00062EF8">
        <w:rPr>
          <w:rFonts w:cstheme="minorHAnsi"/>
          <w:iCs/>
          <w:sz w:val="22"/>
          <w:szCs w:val="22"/>
        </w:rPr>
        <w:t xml:space="preserve">period but showed increases of 2-3% by the second </w:t>
      </w:r>
      <w:r w:rsidR="00764EB1">
        <w:rPr>
          <w:rFonts w:cstheme="minorHAnsi"/>
          <w:iCs/>
          <w:sz w:val="22"/>
          <w:szCs w:val="22"/>
        </w:rPr>
        <w:t xml:space="preserve">post-implementation </w:t>
      </w:r>
      <w:r w:rsidR="00764EB1" w:rsidRPr="00062EF8">
        <w:rPr>
          <w:rFonts w:cstheme="minorHAnsi"/>
          <w:iCs/>
          <w:sz w:val="22"/>
          <w:szCs w:val="22"/>
        </w:rPr>
        <w:t xml:space="preserve">period. </w:t>
      </w:r>
      <w:r w:rsidR="00F934D8" w:rsidRPr="00062EF8">
        <w:rPr>
          <w:rFonts w:cstheme="minorHAnsi"/>
          <w:iCs/>
          <w:sz w:val="22"/>
          <w:szCs w:val="22"/>
        </w:rPr>
        <w:t>These changes most closely reflected the experience of White service users, while service users of other race</w:t>
      </w:r>
      <w:r w:rsidR="00F934D8">
        <w:rPr>
          <w:rFonts w:cstheme="minorHAnsi"/>
          <w:iCs/>
          <w:sz w:val="22"/>
          <w:szCs w:val="22"/>
        </w:rPr>
        <w:t>s</w:t>
      </w:r>
      <w:r w:rsidR="00F934D8" w:rsidRPr="00062EF8">
        <w:rPr>
          <w:rFonts w:cstheme="minorHAnsi"/>
          <w:iCs/>
          <w:sz w:val="22"/>
          <w:szCs w:val="22"/>
        </w:rPr>
        <w:t>/ethnicit</w:t>
      </w:r>
      <w:r w:rsidR="00F934D8">
        <w:rPr>
          <w:rFonts w:cstheme="minorHAnsi"/>
          <w:iCs/>
          <w:sz w:val="22"/>
          <w:szCs w:val="22"/>
        </w:rPr>
        <w:t>ies</w:t>
      </w:r>
      <w:r w:rsidR="00F934D8" w:rsidRPr="00062EF8">
        <w:rPr>
          <w:rFonts w:cstheme="minorHAnsi"/>
          <w:iCs/>
          <w:sz w:val="22"/>
          <w:szCs w:val="22"/>
        </w:rPr>
        <w:t xml:space="preserve"> did not clearly experience the same levels of increase (and may have seen decrease</w:t>
      </w:r>
      <w:r w:rsidR="00F934D8">
        <w:rPr>
          <w:rFonts w:cstheme="minorHAnsi"/>
          <w:iCs/>
          <w:sz w:val="22"/>
          <w:szCs w:val="22"/>
        </w:rPr>
        <w:t>s</w:t>
      </w:r>
      <w:r w:rsidR="00F934D8" w:rsidRPr="00062EF8">
        <w:rPr>
          <w:rFonts w:cstheme="minorHAnsi"/>
          <w:iCs/>
          <w:sz w:val="22"/>
          <w:szCs w:val="22"/>
        </w:rPr>
        <w:t xml:space="preserve"> in some cases). The Hispanic/Latino/a/x group appeared to experience at least the same, and in some cases higher, rates of increases </w:t>
      </w:r>
      <w:r w:rsidR="00F934D8">
        <w:rPr>
          <w:rFonts w:cstheme="minorHAnsi"/>
          <w:iCs/>
          <w:sz w:val="22"/>
          <w:szCs w:val="22"/>
        </w:rPr>
        <w:t>as</w:t>
      </w:r>
      <w:r w:rsidR="00F934D8" w:rsidRPr="00062EF8">
        <w:rPr>
          <w:rFonts w:cstheme="minorHAnsi"/>
          <w:iCs/>
          <w:sz w:val="22"/>
          <w:szCs w:val="22"/>
        </w:rPr>
        <w:t xml:space="preserve"> the White group or overall average</w:t>
      </w:r>
      <w:r w:rsidR="00F934D8">
        <w:rPr>
          <w:rFonts w:cstheme="minorHAnsi"/>
          <w:iCs/>
          <w:sz w:val="22"/>
          <w:szCs w:val="22"/>
        </w:rPr>
        <w:t xml:space="preserve"> (e.g., an 8.6% increase in primary care visits per person in the second post-implementation period)</w:t>
      </w:r>
      <w:r w:rsidR="00F934D8" w:rsidRPr="00062EF8">
        <w:rPr>
          <w:rFonts w:cstheme="minorHAnsi"/>
          <w:iCs/>
          <w:sz w:val="22"/>
          <w:szCs w:val="22"/>
        </w:rPr>
        <w:t xml:space="preserve">. Rural or </w:t>
      </w:r>
      <w:r w:rsidR="00F934D8">
        <w:rPr>
          <w:rFonts w:cstheme="minorHAnsi"/>
          <w:iCs/>
          <w:sz w:val="22"/>
          <w:szCs w:val="22"/>
        </w:rPr>
        <w:t>remote</w:t>
      </w:r>
      <w:r w:rsidR="00F934D8" w:rsidRPr="00062EF8">
        <w:rPr>
          <w:rFonts w:cstheme="minorHAnsi"/>
          <w:iCs/>
          <w:sz w:val="22"/>
          <w:szCs w:val="22"/>
        </w:rPr>
        <w:t xml:space="preserve"> residents experienced increases</w:t>
      </w:r>
      <w:r w:rsidR="00F934D8">
        <w:rPr>
          <w:rFonts w:cstheme="minorHAnsi"/>
          <w:iCs/>
          <w:sz w:val="22"/>
          <w:szCs w:val="22"/>
        </w:rPr>
        <w:t>, and at higher rates than average,</w:t>
      </w:r>
      <w:r w:rsidR="00F934D8" w:rsidRPr="00062EF8">
        <w:rPr>
          <w:rFonts w:cstheme="minorHAnsi"/>
          <w:iCs/>
          <w:sz w:val="22"/>
          <w:szCs w:val="22"/>
        </w:rPr>
        <w:t xml:space="preserve"> </w:t>
      </w:r>
      <w:r w:rsidR="00F934D8">
        <w:rPr>
          <w:rFonts w:cstheme="minorHAnsi"/>
          <w:iCs/>
          <w:sz w:val="22"/>
          <w:szCs w:val="22"/>
        </w:rPr>
        <w:t xml:space="preserve">across both periods </w:t>
      </w:r>
      <w:r w:rsidR="00F934D8" w:rsidRPr="00062EF8">
        <w:rPr>
          <w:rFonts w:cstheme="minorHAnsi"/>
          <w:iCs/>
          <w:sz w:val="22"/>
          <w:szCs w:val="22"/>
        </w:rPr>
        <w:t>in primary care use</w:t>
      </w:r>
      <w:r w:rsidR="00F934D8">
        <w:rPr>
          <w:rFonts w:cstheme="minorHAnsi"/>
          <w:iCs/>
          <w:sz w:val="22"/>
          <w:szCs w:val="22"/>
        </w:rPr>
        <w:t xml:space="preserve"> (1.8% and 5.9%, respectively)</w:t>
      </w:r>
      <w:r w:rsidR="00F934D8" w:rsidRPr="00062EF8">
        <w:rPr>
          <w:rFonts w:cstheme="minorHAnsi"/>
          <w:iCs/>
          <w:sz w:val="22"/>
          <w:szCs w:val="22"/>
        </w:rPr>
        <w:t xml:space="preserve"> and visits</w:t>
      </w:r>
      <w:r w:rsidR="00F934D8">
        <w:rPr>
          <w:rFonts w:cstheme="minorHAnsi"/>
          <w:iCs/>
          <w:sz w:val="22"/>
          <w:szCs w:val="22"/>
        </w:rPr>
        <w:t xml:space="preserve"> (3.8% and 6.7%, respectively)</w:t>
      </w:r>
      <w:r w:rsidR="00F934D8" w:rsidRPr="00062EF8">
        <w:rPr>
          <w:rFonts w:cstheme="minorHAnsi"/>
          <w:iCs/>
          <w:sz w:val="22"/>
          <w:szCs w:val="22"/>
        </w:rPr>
        <w:t>. Urban residents did not appear to experience increases in use and had decreases in visits per person</w:t>
      </w:r>
      <w:r w:rsidR="00F934D8">
        <w:rPr>
          <w:rFonts w:cstheme="minorHAnsi"/>
          <w:iCs/>
          <w:sz w:val="22"/>
          <w:szCs w:val="22"/>
        </w:rPr>
        <w:t xml:space="preserve"> in both periods (2.0% and 3.1%, respectively)</w:t>
      </w:r>
      <w:r w:rsidR="00F934D8" w:rsidRPr="00062EF8">
        <w:rPr>
          <w:rFonts w:cstheme="minorHAnsi"/>
          <w:iCs/>
          <w:sz w:val="22"/>
          <w:szCs w:val="22"/>
        </w:rPr>
        <w:t>.</w:t>
      </w:r>
    </w:p>
    <w:p w14:paraId="7BC67A0D" w14:textId="2AF09648" w:rsidR="0074151A" w:rsidRPr="00062EF8" w:rsidRDefault="0074151A" w:rsidP="0074151A">
      <w:pPr>
        <w:rPr>
          <w:rFonts w:cstheme="minorHAnsi"/>
          <w:iCs/>
          <w:sz w:val="22"/>
          <w:szCs w:val="22"/>
        </w:rPr>
      </w:pPr>
    </w:p>
    <w:p w14:paraId="650375C0" w14:textId="77777777" w:rsidR="004247FE" w:rsidRDefault="004247FE" w:rsidP="0074151A">
      <w:pPr>
        <w:rPr>
          <w:rFonts w:cstheme="minorHAnsi"/>
          <w:iCs/>
          <w:sz w:val="22"/>
          <w:szCs w:val="22"/>
        </w:rPr>
      </w:pPr>
    </w:p>
    <w:p w14:paraId="30E7901E" w14:textId="77777777" w:rsidR="00F934D8" w:rsidRDefault="00F934D8">
      <w:pPr>
        <w:rPr>
          <w:b/>
          <w:bCs/>
          <w:color w:val="6A7F0F"/>
          <w:sz w:val="22"/>
          <w:szCs w:val="22"/>
        </w:rPr>
      </w:pPr>
      <w:bookmarkStart w:id="36" w:name="_Toc125504951"/>
      <w:r>
        <w:rPr>
          <w:b/>
          <w:bCs/>
          <w:i/>
          <w:iCs/>
          <w:color w:val="6A7F0F"/>
          <w:sz w:val="22"/>
          <w:szCs w:val="22"/>
        </w:rPr>
        <w:br w:type="page"/>
      </w:r>
    </w:p>
    <w:p w14:paraId="6C3E0623" w14:textId="728B97C4" w:rsidR="0074151A" w:rsidRPr="004247FE" w:rsidRDefault="009A32C0" w:rsidP="009A32C0">
      <w:pPr>
        <w:pStyle w:val="Caption"/>
        <w:jc w:val="center"/>
        <w:rPr>
          <w:rFonts w:cstheme="minorHAnsi"/>
          <w:b/>
          <w:bCs/>
          <w:i w:val="0"/>
          <w:iCs w:val="0"/>
          <w:color w:val="6A7F0F"/>
          <w:sz w:val="22"/>
          <w:szCs w:val="22"/>
        </w:rPr>
      </w:pPr>
      <w:r w:rsidRPr="004247FE">
        <w:rPr>
          <w:b/>
          <w:bCs/>
          <w:i w:val="0"/>
          <w:iCs w:val="0"/>
          <w:color w:val="6A7F0F"/>
          <w:sz w:val="22"/>
          <w:szCs w:val="22"/>
        </w:rPr>
        <w:t xml:space="preserve">Figure </w:t>
      </w:r>
      <w:r w:rsidRPr="004247FE">
        <w:rPr>
          <w:b/>
          <w:bCs/>
          <w:i w:val="0"/>
          <w:iCs w:val="0"/>
          <w:color w:val="6A7F0F"/>
          <w:sz w:val="22"/>
          <w:szCs w:val="22"/>
        </w:rPr>
        <w:fldChar w:fldCharType="begin"/>
      </w:r>
      <w:r w:rsidRPr="004247FE">
        <w:rPr>
          <w:b/>
          <w:bCs/>
          <w:i w:val="0"/>
          <w:iCs w:val="0"/>
          <w:color w:val="6A7F0F"/>
          <w:sz w:val="22"/>
          <w:szCs w:val="22"/>
        </w:rPr>
        <w:instrText xml:space="preserve"> SEQ Figure \* ARABIC </w:instrText>
      </w:r>
      <w:r w:rsidRPr="004247FE">
        <w:rPr>
          <w:b/>
          <w:bCs/>
          <w:i w:val="0"/>
          <w:iCs w:val="0"/>
          <w:color w:val="6A7F0F"/>
          <w:sz w:val="22"/>
          <w:szCs w:val="22"/>
        </w:rPr>
        <w:fldChar w:fldCharType="separate"/>
      </w:r>
      <w:r w:rsidR="00DA018F">
        <w:rPr>
          <w:b/>
          <w:bCs/>
          <w:i w:val="0"/>
          <w:iCs w:val="0"/>
          <w:noProof/>
          <w:color w:val="6A7F0F"/>
          <w:sz w:val="22"/>
          <w:szCs w:val="22"/>
        </w:rPr>
        <w:t>6</w:t>
      </w:r>
      <w:r w:rsidRPr="004247FE">
        <w:rPr>
          <w:b/>
          <w:bCs/>
          <w:i w:val="0"/>
          <w:iCs w:val="0"/>
          <w:color w:val="6A7F0F"/>
          <w:sz w:val="22"/>
          <w:szCs w:val="22"/>
        </w:rPr>
        <w:fldChar w:fldCharType="end"/>
      </w:r>
      <w:r w:rsidRPr="004247FE">
        <w:rPr>
          <w:rFonts w:cstheme="minorHAnsi"/>
          <w:b/>
          <w:bCs/>
          <w:i w:val="0"/>
          <w:iCs w:val="0"/>
          <w:color w:val="6A7F0F"/>
          <w:sz w:val="22"/>
          <w:szCs w:val="22"/>
        </w:rPr>
        <w:t>: Change in Primary Care Quarterly Use and Visits Per Person for CCBHC OHP Members</w:t>
      </w:r>
      <w:bookmarkEnd w:id="36"/>
    </w:p>
    <w:p w14:paraId="227E70AA" w14:textId="77777777" w:rsidR="0074151A" w:rsidRPr="008A4E2F" w:rsidRDefault="0074151A" w:rsidP="0074151A">
      <w:pPr>
        <w:jc w:val="center"/>
        <w:rPr>
          <w:rFonts w:eastAsia="Calibri" w:cstheme="minorHAnsi"/>
          <w:iCs/>
          <w:sz w:val="22"/>
          <w:szCs w:val="22"/>
        </w:rPr>
      </w:pPr>
      <w:r>
        <w:rPr>
          <w:noProof/>
        </w:rPr>
        <w:drawing>
          <wp:inline distT="0" distB="0" distL="0" distR="0" wp14:anchorId="649B595C" wp14:editId="7149E1D3">
            <wp:extent cx="3864045" cy="33444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4977" cy="3379877"/>
                    </a:xfrm>
                    <a:prstGeom prst="rect">
                      <a:avLst/>
                    </a:prstGeom>
                  </pic:spPr>
                </pic:pic>
              </a:graphicData>
            </a:graphic>
          </wp:inline>
        </w:drawing>
      </w:r>
    </w:p>
    <w:p w14:paraId="160BF21F" w14:textId="77777777" w:rsidR="00324B1C" w:rsidRPr="00543EE2" w:rsidRDefault="00324B1C" w:rsidP="0074151A">
      <w:pPr>
        <w:jc w:val="center"/>
        <w:rPr>
          <w:rFonts w:cstheme="minorHAnsi"/>
          <w:sz w:val="13"/>
          <w:szCs w:val="13"/>
        </w:rPr>
      </w:pPr>
    </w:p>
    <w:p w14:paraId="67B4FEA6" w14:textId="62A4E075" w:rsidR="0074151A" w:rsidRDefault="0074151A" w:rsidP="0074151A">
      <w:pPr>
        <w:jc w:val="center"/>
        <w:rPr>
          <w:rFonts w:cstheme="minorHAnsi"/>
          <w:sz w:val="20"/>
          <w:szCs w:val="20"/>
        </w:rPr>
      </w:pPr>
      <w:r w:rsidRPr="005D5939">
        <w:rPr>
          <w:rFonts w:cstheme="minorHAnsi"/>
          <w:sz w:val="20"/>
          <w:szCs w:val="20"/>
        </w:rPr>
        <w:t>* = statistical significance at p&lt;.05</w:t>
      </w:r>
    </w:p>
    <w:p w14:paraId="6A43E452" w14:textId="77777777" w:rsidR="00583092" w:rsidRDefault="00583092" w:rsidP="0074151A">
      <w:pPr>
        <w:jc w:val="center"/>
        <w:rPr>
          <w:rFonts w:cstheme="minorHAnsi"/>
          <w:sz w:val="20"/>
          <w:szCs w:val="20"/>
        </w:rPr>
      </w:pPr>
    </w:p>
    <w:p w14:paraId="68C9D7FD" w14:textId="7A9E0845" w:rsidR="00F934D8" w:rsidRDefault="00F934D8">
      <w:pPr>
        <w:rPr>
          <w:rFonts w:cstheme="minorHAnsi"/>
          <w:sz w:val="20"/>
          <w:szCs w:val="20"/>
        </w:rPr>
      </w:pPr>
      <w:r>
        <w:rPr>
          <w:rFonts w:cstheme="minorHAnsi"/>
          <w:noProof/>
          <w:sz w:val="20"/>
          <w:szCs w:val="20"/>
        </w:rPr>
        <mc:AlternateContent>
          <mc:Choice Requires="wps">
            <w:drawing>
              <wp:anchor distT="0" distB="0" distL="114300" distR="114300" simplePos="0" relativeHeight="251685888" behindDoc="0" locked="0" layoutInCell="1" allowOverlap="1" wp14:anchorId="1BB0274B" wp14:editId="348F0602">
                <wp:simplePos x="0" y="0"/>
                <wp:positionH relativeFrom="column">
                  <wp:posOffset>-59300</wp:posOffset>
                </wp:positionH>
                <wp:positionV relativeFrom="paragraph">
                  <wp:posOffset>44230</wp:posOffset>
                </wp:positionV>
                <wp:extent cx="5982211" cy="3883815"/>
                <wp:effectExtent l="12700" t="12700" r="25400" b="27940"/>
                <wp:wrapNone/>
                <wp:docPr id="12" name="Text Box 12"/>
                <wp:cNvGraphicFramePr/>
                <a:graphic xmlns:a="http://schemas.openxmlformats.org/drawingml/2006/main">
                  <a:graphicData uri="http://schemas.microsoft.com/office/word/2010/wordprocessingShape">
                    <wps:wsp>
                      <wps:cNvSpPr txBox="1"/>
                      <wps:spPr>
                        <a:xfrm>
                          <a:off x="0" y="0"/>
                          <a:ext cx="5982211" cy="3883815"/>
                        </a:xfrm>
                        <a:prstGeom prst="rect">
                          <a:avLst/>
                        </a:prstGeom>
                        <a:solidFill>
                          <a:schemeClr val="lt1"/>
                        </a:solidFill>
                        <a:ln w="38100">
                          <a:solidFill>
                            <a:schemeClr val="accent6">
                              <a:lumMod val="75000"/>
                            </a:schemeClr>
                          </a:solidFill>
                        </a:ln>
                      </wps:spPr>
                      <wps:txbx>
                        <w:txbxContent>
                          <w:p w14:paraId="3B349F46" w14:textId="77777777" w:rsidR="00F934D8" w:rsidRDefault="00F934D8" w:rsidP="00F934D8">
                            <w:pPr>
                              <w:pStyle w:val="ListParagraph"/>
                              <w:spacing w:after="120"/>
                              <w:ind w:left="0" w:right="-20"/>
                              <w:contextualSpacing w:val="0"/>
                              <w:jc w:val="center"/>
                              <w:rPr>
                                <w:rFonts w:eastAsia="Calibri" w:cstheme="minorHAnsi"/>
                                <w:sz w:val="22"/>
                                <w:szCs w:val="22"/>
                              </w:rPr>
                            </w:pPr>
                            <w:r>
                              <w:rPr>
                                <w:b/>
                                <w:bCs/>
                                <w:color w:val="6A7F0F"/>
                              </w:rPr>
                              <w:t>Summary and Recommendations: Provide Integrated Physical and Behavioral Healthcare</w:t>
                            </w:r>
                          </w:p>
                          <w:p w14:paraId="6CCF0B0E" w14:textId="77777777" w:rsidR="00F934D8" w:rsidRPr="00266B12" w:rsidRDefault="00F934D8" w:rsidP="00F934D8">
                            <w:pPr>
                              <w:pStyle w:val="ListParagraph"/>
                              <w:ind w:left="0" w:right="-20"/>
                              <w:rPr>
                                <w:rStyle w:val="hgkelc"/>
                                <w:rFonts w:eastAsia="Calibri" w:cstheme="minorHAnsi"/>
                                <w:sz w:val="22"/>
                                <w:szCs w:val="22"/>
                              </w:rPr>
                            </w:pPr>
                            <w:r w:rsidRPr="009F7B17">
                              <w:rPr>
                                <w:rFonts w:eastAsia="Calibri" w:cstheme="minorHAnsi"/>
                                <w:sz w:val="22"/>
                                <w:szCs w:val="22"/>
                              </w:rPr>
                              <w:t xml:space="preserve">The CCBHC program </w:t>
                            </w:r>
                            <w:r>
                              <w:rPr>
                                <w:rFonts w:eastAsia="Calibri" w:cstheme="minorHAnsi"/>
                                <w:sz w:val="22"/>
                                <w:szCs w:val="22"/>
                              </w:rPr>
                              <w:t>contributes to</w:t>
                            </w:r>
                            <w:r w:rsidRPr="009F7B17">
                              <w:rPr>
                                <w:rFonts w:eastAsia="Calibri" w:cstheme="minorHAnsi"/>
                                <w:sz w:val="22"/>
                                <w:szCs w:val="22"/>
                              </w:rPr>
                              <w:t xml:space="preserve"> the integration of behavioral health and primary care services</w:t>
                            </w:r>
                            <w:r>
                              <w:rPr>
                                <w:rFonts w:eastAsia="Calibri" w:cstheme="minorHAnsi"/>
                                <w:sz w:val="22"/>
                                <w:szCs w:val="22"/>
                              </w:rPr>
                              <w:t xml:space="preserve"> </w:t>
                            </w:r>
                            <w:r w:rsidRPr="009F7B17">
                              <w:rPr>
                                <w:rFonts w:eastAsia="Calibri" w:cstheme="minorHAnsi"/>
                                <w:sz w:val="22"/>
                                <w:szCs w:val="22"/>
                              </w:rPr>
                              <w:t>and the adoption of team-based care</w:t>
                            </w:r>
                            <w:r>
                              <w:rPr>
                                <w:rFonts w:eastAsia="Calibri" w:cstheme="minorHAnsi"/>
                                <w:sz w:val="22"/>
                                <w:szCs w:val="22"/>
                              </w:rPr>
                              <w:t xml:space="preserve">, </w:t>
                            </w:r>
                            <w:r w:rsidRPr="00867566">
                              <w:rPr>
                                <w:rFonts w:cstheme="minorHAnsi"/>
                                <w:color w:val="000000" w:themeColor="text1"/>
                                <w:sz w:val="22"/>
                                <w:szCs w:val="22"/>
                              </w:rPr>
                              <w:t>particularly with increase</w:t>
                            </w:r>
                            <w:r>
                              <w:rPr>
                                <w:rFonts w:cstheme="minorHAnsi"/>
                                <w:color w:val="000000" w:themeColor="text1"/>
                                <w:sz w:val="22"/>
                                <w:szCs w:val="22"/>
                              </w:rPr>
                              <w:t>s in</w:t>
                            </w:r>
                            <w:r w:rsidRPr="00867566">
                              <w:rPr>
                                <w:rFonts w:cstheme="minorHAnsi"/>
                                <w:color w:val="000000" w:themeColor="text1"/>
                                <w:sz w:val="22"/>
                                <w:szCs w:val="22"/>
                              </w:rPr>
                              <w:t xml:space="preserve"> telehealth services during the COVID-19 pandemic</w:t>
                            </w:r>
                            <w:r>
                              <w:rPr>
                                <w:rFonts w:cstheme="minorHAnsi"/>
                                <w:color w:val="000000" w:themeColor="text1"/>
                                <w:sz w:val="22"/>
                                <w:szCs w:val="22"/>
                              </w:rPr>
                              <w:t>.</w:t>
                            </w:r>
                            <w:r w:rsidRPr="009F7B17">
                              <w:rPr>
                                <w:rFonts w:eastAsia="Calibri" w:cstheme="minorHAnsi"/>
                                <w:sz w:val="22"/>
                                <w:szCs w:val="22"/>
                              </w:rPr>
                              <w:t xml:space="preserve"> </w:t>
                            </w:r>
                            <w:r>
                              <w:rPr>
                                <w:rFonts w:eastAsia="Calibri" w:cstheme="minorHAnsi"/>
                                <w:sz w:val="22"/>
                                <w:szCs w:val="22"/>
                              </w:rPr>
                              <w:t xml:space="preserve">Increases in primary care use and visits were most prominent for White service users, although </w:t>
                            </w:r>
                            <w:r>
                              <w:rPr>
                                <w:rFonts w:cstheme="minorHAnsi"/>
                                <w:color w:val="000000" w:themeColor="text1"/>
                                <w:sz w:val="22"/>
                                <w:szCs w:val="22"/>
                              </w:rPr>
                              <w:t>Hispanic/</w:t>
                            </w:r>
                            <w:r w:rsidRPr="00710A26">
                              <w:rPr>
                                <w:rFonts w:eastAsia="Calibri" w:cstheme="minorHAnsi"/>
                                <w:sz w:val="22"/>
                                <w:szCs w:val="22"/>
                              </w:rPr>
                              <w:t>Latin</w:t>
                            </w:r>
                            <w:r>
                              <w:rPr>
                                <w:rFonts w:eastAsia="Calibri" w:cstheme="minorHAnsi"/>
                                <w:sz w:val="22"/>
                                <w:szCs w:val="22"/>
                              </w:rPr>
                              <w:t>o/a/x</w:t>
                            </w:r>
                            <w:r>
                              <w:rPr>
                                <w:rFonts w:cstheme="minorHAnsi"/>
                                <w:color w:val="000000" w:themeColor="text1"/>
                                <w:sz w:val="22"/>
                                <w:szCs w:val="22"/>
                              </w:rPr>
                              <w:t xml:space="preserve"> service users had generally higher than average increases</w:t>
                            </w:r>
                            <w:r>
                              <w:rPr>
                                <w:rFonts w:eastAsia="Calibri" w:cstheme="minorHAnsi"/>
                                <w:sz w:val="22"/>
                                <w:szCs w:val="22"/>
                              </w:rPr>
                              <w:t xml:space="preserve">, and were found for rural and remote residents, but not for urban area residents. </w:t>
                            </w:r>
                            <w:r w:rsidRPr="009F7B17">
                              <w:rPr>
                                <w:rFonts w:eastAsia="Calibri" w:cstheme="minorHAnsi"/>
                                <w:sz w:val="22"/>
                                <w:szCs w:val="22"/>
                              </w:rPr>
                              <w:t xml:space="preserve">Benefits to service users </w:t>
                            </w:r>
                            <w:r w:rsidRPr="00337BFB">
                              <w:rPr>
                                <w:rFonts w:eastAsia="Calibri" w:cstheme="minorHAnsi"/>
                                <w:sz w:val="22"/>
                                <w:szCs w:val="22"/>
                              </w:rPr>
                              <w:t>in those CCBHCs that have integrated other services</w:t>
                            </w:r>
                            <w:r>
                              <w:rPr>
                                <w:rFonts w:eastAsia="Calibri" w:cstheme="minorHAnsi"/>
                                <w:sz w:val="22"/>
                                <w:szCs w:val="22"/>
                              </w:rPr>
                              <w:t>,</w:t>
                            </w:r>
                            <w:r w:rsidRPr="00337BFB">
                              <w:rPr>
                                <w:rFonts w:eastAsia="Calibri" w:cstheme="minorHAnsi"/>
                                <w:sz w:val="22"/>
                                <w:szCs w:val="22"/>
                              </w:rPr>
                              <w:t xml:space="preserve"> such as dental care</w:t>
                            </w:r>
                            <w:r>
                              <w:rPr>
                                <w:rFonts w:eastAsia="Calibri" w:cstheme="minorHAnsi"/>
                                <w:sz w:val="22"/>
                                <w:szCs w:val="22"/>
                              </w:rPr>
                              <w:t>,</w:t>
                            </w:r>
                            <w:r w:rsidRPr="00337BFB">
                              <w:rPr>
                                <w:rFonts w:eastAsia="Calibri" w:cstheme="minorHAnsi"/>
                                <w:sz w:val="22"/>
                                <w:szCs w:val="22"/>
                              </w:rPr>
                              <w:t xml:space="preserve"> </w:t>
                            </w:r>
                            <w:r w:rsidRPr="009F7B17">
                              <w:rPr>
                                <w:rFonts w:eastAsia="Calibri" w:cstheme="minorHAnsi"/>
                                <w:sz w:val="22"/>
                                <w:szCs w:val="22"/>
                              </w:rPr>
                              <w:t xml:space="preserve">include engagement with the broader health system. Several service users reported that they felt safe at the CCBHC clinic because of the holistic approach to </w:t>
                            </w:r>
                            <w:r>
                              <w:rPr>
                                <w:rFonts w:eastAsia="Calibri" w:cstheme="minorHAnsi"/>
                                <w:sz w:val="22"/>
                                <w:szCs w:val="22"/>
                              </w:rPr>
                              <w:t>healthcare</w:t>
                            </w:r>
                            <w:r w:rsidRPr="009F7B17">
                              <w:rPr>
                                <w:rFonts w:eastAsia="Calibri" w:cstheme="minorHAnsi"/>
                                <w:sz w:val="22"/>
                                <w:szCs w:val="22"/>
                              </w:rPr>
                              <w:t xml:space="preserve">. </w:t>
                            </w:r>
                          </w:p>
                          <w:p w14:paraId="6765ADE8" w14:textId="081CEDA9" w:rsidR="00F934D8" w:rsidRDefault="00F934D8"/>
                          <w:p w14:paraId="58D62603" w14:textId="44424B53" w:rsidR="00F934D8" w:rsidRDefault="00F934D8">
                            <w:r w:rsidRPr="009F7B17">
                              <w:rPr>
                                <w:rFonts w:eastAsia="Calibri" w:cstheme="minorHAnsi"/>
                                <w:sz w:val="22"/>
                                <w:szCs w:val="22"/>
                              </w:rPr>
                              <w:t xml:space="preserve">While many service users indicated that their care was coordinated, some reported limited coordination. </w:t>
                            </w:r>
                            <w:r>
                              <w:rPr>
                                <w:rFonts w:eastAsia="Calibri" w:cstheme="minorHAnsi"/>
                                <w:sz w:val="22"/>
                                <w:szCs w:val="22"/>
                              </w:rPr>
                              <w:t>S</w:t>
                            </w:r>
                            <w:r w:rsidRPr="009F7B17">
                              <w:rPr>
                                <w:rFonts w:eastAsia="Calibri" w:cstheme="minorHAnsi"/>
                                <w:sz w:val="22"/>
                                <w:szCs w:val="22"/>
                              </w:rPr>
                              <w:t xml:space="preserve">ome clinics faced substantial challenges in meeting the state requirement for 20 hours </w:t>
                            </w:r>
                            <w:r>
                              <w:rPr>
                                <w:rFonts w:eastAsia="Calibri" w:cstheme="minorHAnsi"/>
                                <w:sz w:val="22"/>
                                <w:szCs w:val="22"/>
                              </w:rPr>
                              <w:t xml:space="preserve">per week </w:t>
                            </w:r>
                            <w:r w:rsidRPr="009F7B17">
                              <w:rPr>
                                <w:rFonts w:eastAsia="Calibri" w:cstheme="minorHAnsi"/>
                                <w:sz w:val="22"/>
                                <w:szCs w:val="22"/>
                              </w:rPr>
                              <w:t xml:space="preserve">of onsite primary care, including difficulty recruiting and retaining a </w:t>
                            </w:r>
                            <w:r>
                              <w:rPr>
                                <w:rFonts w:eastAsia="Calibri" w:cstheme="minorHAnsi"/>
                                <w:sz w:val="22"/>
                                <w:szCs w:val="22"/>
                              </w:rPr>
                              <w:t xml:space="preserve">primary care provider, </w:t>
                            </w:r>
                            <w:r w:rsidRPr="009F7B17">
                              <w:rPr>
                                <w:rFonts w:eastAsia="Calibri" w:cstheme="minorHAnsi"/>
                                <w:sz w:val="22"/>
                                <w:szCs w:val="22"/>
                              </w:rPr>
                              <w:t>ensuring service availability</w:t>
                            </w:r>
                            <w:r>
                              <w:rPr>
                                <w:rFonts w:eastAsia="Calibri" w:cstheme="minorHAnsi"/>
                                <w:sz w:val="22"/>
                                <w:szCs w:val="22"/>
                              </w:rPr>
                              <w:t>,</w:t>
                            </w:r>
                            <w:r w:rsidRPr="009F7B17">
                              <w:rPr>
                                <w:rFonts w:eastAsia="Calibri" w:cstheme="minorHAnsi"/>
                                <w:sz w:val="22"/>
                                <w:szCs w:val="22"/>
                              </w:rPr>
                              <w:t xml:space="preserve"> and </w:t>
                            </w:r>
                            <w:r>
                              <w:rPr>
                                <w:rFonts w:eastAsia="Calibri" w:cstheme="minorHAnsi"/>
                                <w:sz w:val="22"/>
                                <w:szCs w:val="22"/>
                              </w:rPr>
                              <w:t xml:space="preserve">identifying a </w:t>
                            </w:r>
                            <w:r w:rsidRPr="009F7B17">
                              <w:rPr>
                                <w:rFonts w:eastAsia="Calibri" w:cstheme="minorHAnsi"/>
                                <w:sz w:val="22"/>
                                <w:szCs w:val="22"/>
                              </w:rPr>
                              <w:t>sufficient patient panel</w:t>
                            </w:r>
                            <w:r>
                              <w:rPr>
                                <w:rFonts w:eastAsia="Calibri" w:cstheme="minorHAnsi"/>
                                <w:sz w:val="22"/>
                                <w:szCs w:val="22"/>
                              </w:rPr>
                              <w:t xml:space="preserve">, despite the fact that </w:t>
                            </w:r>
                            <w:r w:rsidRPr="00915880">
                              <w:rPr>
                                <w:rFonts w:cstheme="minorHAnsi"/>
                                <w:color w:val="000000" w:themeColor="text1"/>
                                <w:sz w:val="22"/>
                                <w:szCs w:val="22"/>
                              </w:rPr>
                              <w:t>OHA currently</w:t>
                            </w:r>
                            <w:r w:rsidRPr="007A253E">
                              <w:rPr>
                                <w:rFonts w:cstheme="minorHAnsi"/>
                                <w:color w:val="000000" w:themeColor="text1"/>
                                <w:sz w:val="22"/>
                                <w:szCs w:val="22"/>
                              </w:rPr>
                              <w:t xml:space="preserve"> offers flexibility in the onsite primary care requirement</w:t>
                            </w:r>
                            <w:r w:rsidRPr="009F7B17">
                              <w:rPr>
                                <w:rFonts w:eastAsia="Calibri" w:cstheme="minorHAnsi"/>
                                <w:sz w:val="22"/>
                                <w:szCs w:val="22"/>
                              </w:rPr>
                              <w:t xml:space="preserve">. </w:t>
                            </w:r>
                            <w:r>
                              <w:rPr>
                                <w:rFonts w:eastAsia="Calibri" w:cstheme="minorHAnsi"/>
                                <w:sz w:val="22"/>
                                <w:szCs w:val="22"/>
                              </w:rPr>
                              <w:t>S</w:t>
                            </w:r>
                            <w:r w:rsidRPr="009F7B17">
                              <w:rPr>
                                <w:rFonts w:eastAsia="Calibri" w:cstheme="minorHAnsi"/>
                                <w:sz w:val="22"/>
                                <w:szCs w:val="22"/>
                              </w:rPr>
                              <w:t xml:space="preserve">ome service users reported receiving primary care at a clinic that was not the CCBHC because they already had a pre-existing relationship with </w:t>
                            </w:r>
                            <w:r w:rsidRPr="00915880">
                              <w:rPr>
                                <w:rFonts w:eastAsia="Calibri" w:cstheme="minorHAnsi"/>
                                <w:sz w:val="22"/>
                                <w:szCs w:val="22"/>
                              </w:rPr>
                              <w:t xml:space="preserve">another </w:t>
                            </w:r>
                            <w:r>
                              <w:rPr>
                                <w:rFonts w:eastAsia="Calibri" w:cstheme="minorHAnsi"/>
                                <w:sz w:val="22"/>
                                <w:szCs w:val="22"/>
                              </w:rPr>
                              <w:t>primary care provider</w:t>
                            </w:r>
                            <w:r w:rsidRPr="00915880">
                              <w:rPr>
                                <w:rFonts w:eastAsia="Calibri" w:cstheme="minorHAnsi"/>
                                <w:sz w:val="22"/>
                                <w:szCs w:val="22"/>
                              </w:rPr>
                              <w:t>. Inadequate data sharing infrastructures and inconsistent interpretation of 42 CFR Part 2 also posed barriers to effective care coordination.</w:t>
                            </w:r>
                            <w:r>
                              <w:rPr>
                                <w:rFonts w:eastAsia="Calibri" w:cstheme="minorHAnsi"/>
                                <w:sz w:val="22"/>
                                <w:szCs w:val="22"/>
                              </w:rPr>
                              <w:t xml:space="preserve"> </w:t>
                            </w:r>
                            <w:r w:rsidRPr="00915880">
                              <w:rPr>
                                <w:rFonts w:eastAsia="Calibri" w:cstheme="minorHAnsi"/>
                                <w:sz w:val="22"/>
                                <w:szCs w:val="22"/>
                              </w:rPr>
                              <w:t xml:space="preserve">CCBHC program staff </w:t>
                            </w:r>
                            <w:r>
                              <w:rPr>
                                <w:rFonts w:eastAsia="Calibri" w:cstheme="minorHAnsi"/>
                                <w:sz w:val="22"/>
                                <w:szCs w:val="22"/>
                              </w:rPr>
                              <w:t>reported that i</w:t>
                            </w:r>
                            <w:r w:rsidRPr="00915880">
                              <w:rPr>
                                <w:rFonts w:eastAsia="Calibri" w:cstheme="minorHAnsi"/>
                                <w:sz w:val="22"/>
                                <w:szCs w:val="22"/>
                              </w:rPr>
                              <w:t>n October 2022</w:t>
                            </w:r>
                            <w:r>
                              <w:rPr>
                                <w:rFonts w:eastAsia="Calibri" w:cstheme="minorHAnsi"/>
                                <w:sz w:val="22"/>
                                <w:szCs w:val="22"/>
                              </w:rPr>
                              <w:t xml:space="preserve"> they </w:t>
                            </w:r>
                            <w:r w:rsidRPr="00915880">
                              <w:rPr>
                                <w:rFonts w:eastAsia="Calibri" w:cstheme="minorHAnsi"/>
                                <w:sz w:val="22"/>
                                <w:szCs w:val="22"/>
                              </w:rPr>
                              <w:t xml:space="preserve">began </w:t>
                            </w:r>
                            <w:r w:rsidRPr="000776F2">
                              <w:rPr>
                                <w:sz w:val="22"/>
                                <w:szCs w:val="22"/>
                              </w:rPr>
                              <w:t>facilitating a bi-weekly</w:t>
                            </w:r>
                            <w:r>
                              <w:rPr>
                                <w:sz w:val="22"/>
                                <w:szCs w:val="22"/>
                              </w:rPr>
                              <w:t>,</w:t>
                            </w:r>
                            <w:r w:rsidRPr="000776F2">
                              <w:rPr>
                                <w:sz w:val="22"/>
                                <w:szCs w:val="22"/>
                              </w:rPr>
                              <w:t xml:space="preserve"> </w:t>
                            </w:r>
                            <w:r>
                              <w:rPr>
                                <w:sz w:val="22"/>
                                <w:szCs w:val="22"/>
                              </w:rPr>
                              <w:t>service user-</w:t>
                            </w:r>
                            <w:r w:rsidRPr="000776F2">
                              <w:rPr>
                                <w:sz w:val="22"/>
                                <w:szCs w:val="22"/>
                              </w:rPr>
                              <w:t xml:space="preserve">driven steering committee to discuss </w:t>
                            </w:r>
                            <w:r>
                              <w:rPr>
                                <w:sz w:val="22"/>
                                <w:szCs w:val="22"/>
                              </w:rPr>
                              <w:t xml:space="preserve">the </w:t>
                            </w:r>
                            <w:r w:rsidRPr="000776F2">
                              <w:rPr>
                                <w:sz w:val="22"/>
                                <w:szCs w:val="22"/>
                              </w:rPr>
                              <w:t xml:space="preserve">Oregon-specific criteria of the </w:t>
                            </w:r>
                            <w:r>
                              <w:rPr>
                                <w:sz w:val="22"/>
                                <w:szCs w:val="22"/>
                              </w:rPr>
                              <w:t xml:space="preserve">CCBHC </w:t>
                            </w:r>
                            <w:r w:rsidRPr="000776F2">
                              <w:rPr>
                                <w:sz w:val="22"/>
                                <w:szCs w:val="22"/>
                              </w:rPr>
                              <w:t>model. Topics to date</w:t>
                            </w:r>
                            <w:r>
                              <w:rPr>
                                <w:sz w:val="22"/>
                                <w:szCs w:val="22"/>
                              </w:rPr>
                              <w:t xml:space="preserve"> </w:t>
                            </w:r>
                            <w:r w:rsidRPr="000776F2">
                              <w:rPr>
                                <w:sz w:val="22"/>
                                <w:szCs w:val="22"/>
                              </w:rPr>
                              <w:t>have included standardizing the criteria of being person-centered, integrated, equitable, and</w:t>
                            </w:r>
                            <w:r w:rsidR="004D4508">
                              <w:rPr>
                                <w:sz w:val="22"/>
                                <w:szCs w:val="22"/>
                              </w:rPr>
                              <w:t xml:space="preser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0274B" id="Text Box 12" o:spid="_x0000_s1030" type="#_x0000_t202" style="position:absolute;margin-left:-4.65pt;margin-top:3.5pt;width:471.05pt;height:305.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CETgIAAK0EAAAOAAAAZHJzL2Uyb0RvYy54bWysVE1v2zAMvQ/YfxB0X2ynSZsacYosRYYB&#10;XVsgHXpWZCk2IIuapMTOfv0oOV9tdxp2kSWReiQfHz296xpFdsK6GnRBs0FKidAcylpvCvrzZfll&#10;QonzTJdMgRYF3QtH72afP01bk4shVKBKYQmCaJe3pqCV9yZPEscr0TA3ACM0GiXYhnk82k1SWtYi&#10;eqOSYZpeJy3Y0ljgwjm8ve+NdBbxpRTcP0nphCeqoJibj6uN6zqsyWzK8o1lpqr5IQ32D1k0rNYY&#10;9AR1zzwjW1t/gGpqbsGB9AMOTQJS1lzEGrCaLH1XzapiRsRakBxnTjS5/wfLH3cr82yJ775Chw0M&#10;hLTG5Q4vQz2dtE34YqYE7Ujh/kSb6DzheDm+nQyHWUYJR9vVZHI1ycYBJzk/N9b5bwIaEjYFtdiX&#10;SBfbPTjfux5dQjQHqi6XtVLxELQgFsqSHcMuKh+TRPA3XkqTNkTP0jQivzFGOZ0hGOdC++vop7bN&#10;Dyh76Jtxiq/7dE5PYh0XaBhYabw8sxR2vlt3pC4LOjoyuIZyj8Ra6DXnDF/WWPwDc/6ZWRQZcomD&#10;459wkQoweTjsKKnA/v7bffDH3qOVkhZFW1D3a8usoER916iK22w0CiqPh9H4ZogHe2lZX1r0tlkA&#10;Moqdw+ziNvh7ddxKC80rztc8REUT0xxjF9QftwvfjxLOJxfzeXRCXRvmH/TK8AAdOhha+9K9MmsO&#10;/fconUc4ypvl72TQ+4aXGuZbD7KOGgk896we6MeZiN05zG8Yustz9Dr/ZWZ/AAAA//8DAFBLAwQU&#10;AAYACAAAACEAVx2M2uIAAAANAQAADwAAAGRycy9kb3ducmV2LnhtbEyPzU7DMBCE70i8g7VI3Fqn&#10;rUjTNE6FCL2CWpDgaMcmCcTrKHbz8/Ysp3JZaTWzs/Nlh8m2bDC9bxwKWC0jYAZLpxusBLy/HRcJ&#10;MB8katk6NAJm4+GQ395kMtVuxJMZzqFiFII+lQLqELqUc1/Wxkq/dJ1B0r5cb2Wgta+47uVI4bbl&#10;6yiKuZUN0odaduapNuXP+WIp5eW1+B4+nueH8fNUKNWq45xshbi/m4o9jcc9sGCmcL2APwbqDzkV&#10;U+6C2rNWwGK3IaeALWGRvNusCUcJiFdJDDzP+H+K/BcAAP//AwBQSwECLQAUAAYACAAAACEAtoM4&#10;kv4AAADhAQAAEwAAAAAAAAAAAAAAAAAAAAAAW0NvbnRlbnRfVHlwZXNdLnhtbFBLAQItABQABgAI&#10;AAAAIQA4/SH/1gAAAJQBAAALAAAAAAAAAAAAAAAAAC8BAABfcmVscy8ucmVsc1BLAQItABQABgAI&#10;AAAAIQApW0CETgIAAK0EAAAOAAAAAAAAAAAAAAAAAC4CAABkcnMvZTJvRG9jLnhtbFBLAQItABQA&#10;BgAIAAAAIQBXHYza4gAAAA0BAAAPAAAAAAAAAAAAAAAAAKgEAABkcnMvZG93bnJldi54bWxQSwUG&#10;AAAAAAQABADzAAAAtwUAAAAA&#10;" fillcolor="white [3201]" strokecolor="#538135 [2409]" strokeweight="3pt">
                <v:textbox>
                  <w:txbxContent>
                    <w:p w14:paraId="3B349F46" w14:textId="77777777" w:rsidR="00F934D8" w:rsidRDefault="00F934D8" w:rsidP="00F934D8">
                      <w:pPr>
                        <w:pStyle w:val="ListParagraph"/>
                        <w:spacing w:after="120"/>
                        <w:ind w:left="0" w:right="-20"/>
                        <w:contextualSpacing w:val="0"/>
                        <w:jc w:val="center"/>
                        <w:rPr>
                          <w:rFonts w:eastAsia="Calibri" w:cstheme="minorHAnsi"/>
                          <w:sz w:val="22"/>
                          <w:szCs w:val="22"/>
                        </w:rPr>
                      </w:pPr>
                      <w:r>
                        <w:rPr>
                          <w:b/>
                          <w:bCs/>
                          <w:color w:val="6A7F0F"/>
                        </w:rPr>
                        <w:t>Summary and Recommendations: Provide Integrated Physical and Behavioral Healthcare</w:t>
                      </w:r>
                    </w:p>
                    <w:p w14:paraId="6CCF0B0E" w14:textId="77777777" w:rsidR="00F934D8" w:rsidRPr="00266B12" w:rsidRDefault="00F934D8" w:rsidP="00F934D8">
                      <w:pPr>
                        <w:pStyle w:val="ListParagraph"/>
                        <w:ind w:left="0" w:right="-20"/>
                        <w:rPr>
                          <w:rStyle w:val="hgkelc"/>
                          <w:rFonts w:eastAsia="Calibri" w:cstheme="minorHAnsi"/>
                          <w:sz w:val="22"/>
                          <w:szCs w:val="22"/>
                        </w:rPr>
                      </w:pPr>
                      <w:r w:rsidRPr="009F7B17">
                        <w:rPr>
                          <w:rFonts w:eastAsia="Calibri" w:cstheme="minorHAnsi"/>
                          <w:sz w:val="22"/>
                          <w:szCs w:val="22"/>
                        </w:rPr>
                        <w:t xml:space="preserve">The CCBHC program </w:t>
                      </w:r>
                      <w:r>
                        <w:rPr>
                          <w:rFonts w:eastAsia="Calibri" w:cstheme="minorHAnsi"/>
                          <w:sz w:val="22"/>
                          <w:szCs w:val="22"/>
                        </w:rPr>
                        <w:t>contributes to</w:t>
                      </w:r>
                      <w:r w:rsidRPr="009F7B17">
                        <w:rPr>
                          <w:rFonts w:eastAsia="Calibri" w:cstheme="minorHAnsi"/>
                          <w:sz w:val="22"/>
                          <w:szCs w:val="22"/>
                        </w:rPr>
                        <w:t xml:space="preserve"> the integration of behavioral health and primary care services</w:t>
                      </w:r>
                      <w:r>
                        <w:rPr>
                          <w:rFonts w:eastAsia="Calibri" w:cstheme="minorHAnsi"/>
                          <w:sz w:val="22"/>
                          <w:szCs w:val="22"/>
                        </w:rPr>
                        <w:t xml:space="preserve"> </w:t>
                      </w:r>
                      <w:r w:rsidRPr="009F7B17">
                        <w:rPr>
                          <w:rFonts w:eastAsia="Calibri" w:cstheme="minorHAnsi"/>
                          <w:sz w:val="22"/>
                          <w:szCs w:val="22"/>
                        </w:rPr>
                        <w:t>and the adoption of team-based care</w:t>
                      </w:r>
                      <w:r>
                        <w:rPr>
                          <w:rFonts w:eastAsia="Calibri" w:cstheme="minorHAnsi"/>
                          <w:sz w:val="22"/>
                          <w:szCs w:val="22"/>
                        </w:rPr>
                        <w:t xml:space="preserve">, </w:t>
                      </w:r>
                      <w:r w:rsidRPr="00867566">
                        <w:rPr>
                          <w:rFonts w:cstheme="minorHAnsi"/>
                          <w:color w:val="000000" w:themeColor="text1"/>
                          <w:sz w:val="22"/>
                          <w:szCs w:val="22"/>
                        </w:rPr>
                        <w:t>particularly with increase</w:t>
                      </w:r>
                      <w:r>
                        <w:rPr>
                          <w:rFonts w:cstheme="minorHAnsi"/>
                          <w:color w:val="000000" w:themeColor="text1"/>
                          <w:sz w:val="22"/>
                          <w:szCs w:val="22"/>
                        </w:rPr>
                        <w:t>s in</w:t>
                      </w:r>
                      <w:r w:rsidRPr="00867566">
                        <w:rPr>
                          <w:rFonts w:cstheme="minorHAnsi"/>
                          <w:color w:val="000000" w:themeColor="text1"/>
                          <w:sz w:val="22"/>
                          <w:szCs w:val="22"/>
                        </w:rPr>
                        <w:t xml:space="preserve"> telehealth services during the COVID-19 pandemic</w:t>
                      </w:r>
                      <w:r>
                        <w:rPr>
                          <w:rFonts w:cstheme="minorHAnsi"/>
                          <w:color w:val="000000" w:themeColor="text1"/>
                          <w:sz w:val="22"/>
                          <w:szCs w:val="22"/>
                        </w:rPr>
                        <w:t>.</w:t>
                      </w:r>
                      <w:r w:rsidRPr="009F7B17">
                        <w:rPr>
                          <w:rFonts w:eastAsia="Calibri" w:cstheme="minorHAnsi"/>
                          <w:sz w:val="22"/>
                          <w:szCs w:val="22"/>
                        </w:rPr>
                        <w:t xml:space="preserve"> </w:t>
                      </w:r>
                      <w:r>
                        <w:rPr>
                          <w:rFonts w:eastAsia="Calibri" w:cstheme="minorHAnsi"/>
                          <w:sz w:val="22"/>
                          <w:szCs w:val="22"/>
                        </w:rPr>
                        <w:t xml:space="preserve">Increases in primary care use and visits were most prominent for White service users, although </w:t>
                      </w:r>
                      <w:r>
                        <w:rPr>
                          <w:rFonts w:cstheme="minorHAnsi"/>
                          <w:color w:val="000000" w:themeColor="text1"/>
                          <w:sz w:val="22"/>
                          <w:szCs w:val="22"/>
                        </w:rPr>
                        <w:t>Hispanic/</w:t>
                      </w:r>
                      <w:r w:rsidRPr="00710A26">
                        <w:rPr>
                          <w:rFonts w:eastAsia="Calibri" w:cstheme="minorHAnsi"/>
                          <w:sz w:val="22"/>
                          <w:szCs w:val="22"/>
                        </w:rPr>
                        <w:t>Latin</w:t>
                      </w:r>
                      <w:r>
                        <w:rPr>
                          <w:rFonts w:eastAsia="Calibri" w:cstheme="minorHAnsi"/>
                          <w:sz w:val="22"/>
                          <w:szCs w:val="22"/>
                        </w:rPr>
                        <w:t>o/a/x</w:t>
                      </w:r>
                      <w:r>
                        <w:rPr>
                          <w:rFonts w:cstheme="minorHAnsi"/>
                          <w:color w:val="000000" w:themeColor="text1"/>
                          <w:sz w:val="22"/>
                          <w:szCs w:val="22"/>
                        </w:rPr>
                        <w:t xml:space="preserve"> service users had generally higher than average increases</w:t>
                      </w:r>
                      <w:r>
                        <w:rPr>
                          <w:rFonts w:eastAsia="Calibri" w:cstheme="minorHAnsi"/>
                          <w:sz w:val="22"/>
                          <w:szCs w:val="22"/>
                        </w:rPr>
                        <w:t xml:space="preserve">, and were found for rural and remote residents, but not for urban area residents. </w:t>
                      </w:r>
                      <w:r w:rsidRPr="009F7B17">
                        <w:rPr>
                          <w:rFonts w:eastAsia="Calibri" w:cstheme="minorHAnsi"/>
                          <w:sz w:val="22"/>
                          <w:szCs w:val="22"/>
                        </w:rPr>
                        <w:t xml:space="preserve">Benefits to service users </w:t>
                      </w:r>
                      <w:r w:rsidRPr="00337BFB">
                        <w:rPr>
                          <w:rFonts w:eastAsia="Calibri" w:cstheme="minorHAnsi"/>
                          <w:sz w:val="22"/>
                          <w:szCs w:val="22"/>
                        </w:rPr>
                        <w:t>in those CCBHCs that have integrated other services</w:t>
                      </w:r>
                      <w:r>
                        <w:rPr>
                          <w:rFonts w:eastAsia="Calibri" w:cstheme="minorHAnsi"/>
                          <w:sz w:val="22"/>
                          <w:szCs w:val="22"/>
                        </w:rPr>
                        <w:t>,</w:t>
                      </w:r>
                      <w:r w:rsidRPr="00337BFB">
                        <w:rPr>
                          <w:rFonts w:eastAsia="Calibri" w:cstheme="minorHAnsi"/>
                          <w:sz w:val="22"/>
                          <w:szCs w:val="22"/>
                        </w:rPr>
                        <w:t xml:space="preserve"> such as dental care</w:t>
                      </w:r>
                      <w:r>
                        <w:rPr>
                          <w:rFonts w:eastAsia="Calibri" w:cstheme="minorHAnsi"/>
                          <w:sz w:val="22"/>
                          <w:szCs w:val="22"/>
                        </w:rPr>
                        <w:t>,</w:t>
                      </w:r>
                      <w:r w:rsidRPr="00337BFB">
                        <w:rPr>
                          <w:rFonts w:eastAsia="Calibri" w:cstheme="minorHAnsi"/>
                          <w:sz w:val="22"/>
                          <w:szCs w:val="22"/>
                        </w:rPr>
                        <w:t xml:space="preserve"> </w:t>
                      </w:r>
                      <w:r w:rsidRPr="009F7B17">
                        <w:rPr>
                          <w:rFonts w:eastAsia="Calibri" w:cstheme="minorHAnsi"/>
                          <w:sz w:val="22"/>
                          <w:szCs w:val="22"/>
                        </w:rPr>
                        <w:t xml:space="preserve">include engagement with the broader health system. Several service users reported that they felt safe at the CCBHC clinic because of the holistic approach to </w:t>
                      </w:r>
                      <w:r>
                        <w:rPr>
                          <w:rFonts w:eastAsia="Calibri" w:cstheme="minorHAnsi"/>
                          <w:sz w:val="22"/>
                          <w:szCs w:val="22"/>
                        </w:rPr>
                        <w:t>healthcare</w:t>
                      </w:r>
                      <w:r w:rsidRPr="009F7B17">
                        <w:rPr>
                          <w:rFonts w:eastAsia="Calibri" w:cstheme="minorHAnsi"/>
                          <w:sz w:val="22"/>
                          <w:szCs w:val="22"/>
                        </w:rPr>
                        <w:t xml:space="preserve">. </w:t>
                      </w:r>
                    </w:p>
                    <w:p w14:paraId="6765ADE8" w14:textId="081CEDA9" w:rsidR="00F934D8" w:rsidRDefault="00F934D8"/>
                    <w:p w14:paraId="58D62603" w14:textId="44424B53" w:rsidR="00F934D8" w:rsidRDefault="00F934D8">
                      <w:r w:rsidRPr="009F7B17">
                        <w:rPr>
                          <w:rFonts w:eastAsia="Calibri" w:cstheme="minorHAnsi"/>
                          <w:sz w:val="22"/>
                          <w:szCs w:val="22"/>
                        </w:rPr>
                        <w:t xml:space="preserve">While many service users indicated that their care was coordinated, some reported limited coordination. </w:t>
                      </w:r>
                      <w:r>
                        <w:rPr>
                          <w:rFonts w:eastAsia="Calibri" w:cstheme="minorHAnsi"/>
                          <w:sz w:val="22"/>
                          <w:szCs w:val="22"/>
                        </w:rPr>
                        <w:t>S</w:t>
                      </w:r>
                      <w:r w:rsidRPr="009F7B17">
                        <w:rPr>
                          <w:rFonts w:eastAsia="Calibri" w:cstheme="minorHAnsi"/>
                          <w:sz w:val="22"/>
                          <w:szCs w:val="22"/>
                        </w:rPr>
                        <w:t xml:space="preserve">ome clinics faced substantial challenges in meeting the state requirement for 20 hours </w:t>
                      </w:r>
                      <w:r>
                        <w:rPr>
                          <w:rFonts w:eastAsia="Calibri" w:cstheme="minorHAnsi"/>
                          <w:sz w:val="22"/>
                          <w:szCs w:val="22"/>
                        </w:rPr>
                        <w:t xml:space="preserve">per week </w:t>
                      </w:r>
                      <w:r w:rsidRPr="009F7B17">
                        <w:rPr>
                          <w:rFonts w:eastAsia="Calibri" w:cstheme="minorHAnsi"/>
                          <w:sz w:val="22"/>
                          <w:szCs w:val="22"/>
                        </w:rPr>
                        <w:t xml:space="preserve">of onsite primary care, including difficulty recruiting and retaining a </w:t>
                      </w:r>
                      <w:r>
                        <w:rPr>
                          <w:rFonts w:eastAsia="Calibri" w:cstheme="minorHAnsi"/>
                          <w:sz w:val="22"/>
                          <w:szCs w:val="22"/>
                        </w:rPr>
                        <w:t xml:space="preserve">primary care provider, </w:t>
                      </w:r>
                      <w:r w:rsidRPr="009F7B17">
                        <w:rPr>
                          <w:rFonts w:eastAsia="Calibri" w:cstheme="minorHAnsi"/>
                          <w:sz w:val="22"/>
                          <w:szCs w:val="22"/>
                        </w:rPr>
                        <w:t>ensuring service availability</w:t>
                      </w:r>
                      <w:r>
                        <w:rPr>
                          <w:rFonts w:eastAsia="Calibri" w:cstheme="minorHAnsi"/>
                          <w:sz w:val="22"/>
                          <w:szCs w:val="22"/>
                        </w:rPr>
                        <w:t>,</w:t>
                      </w:r>
                      <w:r w:rsidRPr="009F7B17">
                        <w:rPr>
                          <w:rFonts w:eastAsia="Calibri" w:cstheme="minorHAnsi"/>
                          <w:sz w:val="22"/>
                          <w:szCs w:val="22"/>
                        </w:rPr>
                        <w:t xml:space="preserve"> and </w:t>
                      </w:r>
                      <w:r>
                        <w:rPr>
                          <w:rFonts w:eastAsia="Calibri" w:cstheme="minorHAnsi"/>
                          <w:sz w:val="22"/>
                          <w:szCs w:val="22"/>
                        </w:rPr>
                        <w:t xml:space="preserve">identifying a </w:t>
                      </w:r>
                      <w:r w:rsidRPr="009F7B17">
                        <w:rPr>
                          <w:rFonts w:eastAsia="Calibri" w:cstheme="minorHAnsi"/>
                          <w:sz w:val="22"/>
                          <w:szCs w:val="22"/>
                        </w:rPr>
                        <w:t>sufficient patient panel</w:t>
                      </w:r>
                      <w:r>
                        <w:rPr>
                          <w:rFonts w:eastAsia="Calibri" w:cstheme="minorHAnsi"/>
                          <w:sz w:val="22"/>
                          <w:szCs w:val="22"/>
                        </w:rPr>
                        <w:t xml:space="preserve">, </w:t>
                      </w:r>
                      <w:proofErr w:type="gramStart"/>
                      <w:r>
                        <w:rPr>
                          <w:rFonts w:eastAsia="Calibri" w:cstheme="minorHAnsi"/>
                          <w:sz w:val="22"/>
                          <w:szCs w:val="22"/>
                        </w:rPr>
                        <w:t>despite the fact that</w:t>
                      </w:r>
                      <w:proofErr w:type="gramEnd"/>
                      <w:r>
                        <w:rPr>
                          <w:rFonts w:eastAsia="Calibri" w:cstheme="minorHAnsi"/>
                          <w:sz w:val="22"/>
                          <w:szCs w:val="22"/>
                        </w:rPr>
                        <w:t xml:space="preserve"> </w:t>
                      </w:r>
                      <w:r w:rsidRPr="00915880">
                        <w:rPr>
                          <w:rFonts w:cstheme="minorHAnsi"/>
                          <w:color w:val="000000" w:themeColor="text1"/>
                          <w:sz w:val="22"/>
                          <w:szCs w:val="22"/>
                        </w:rPr>
                        <w:t>OHA currently</w:t>
                      </w:r>
                      <w:r w:rsidRPr="007A253E">
                        <w:rPr>
                          <w:rFonts w:cstheme="minorHAnsi"/>
                          <w:color w:val="000000" w:themeColor="text1"/>
                          <w:sz w:val="22"/>
                          <w:szCs w:val="22"/>
                        </w:rPr>
                        <w:t xml:space="preserve"> offers flexibility in the onsite primary care requirement</w:t>
                      </w:r>
                      <w:r w:rsidRPr="009F7B17">
                        <w:rPr>
                          <w:rFonts w:eastAsia="Calibri" w:cstheme="minorHAnsi"/>
                          <w:sz w:val="22"/>
                          <w:szCs w:val="22"/>
                        </w:rPr>
                        <w:t xml:space="preserve">. </w:t>
                      </w:r>
                      <w:r>
                        <w:rPr>
                          <w:rFonts w:eastAsia="Calibri" w:cstheme="minorHAnsi"/>
                          <w:sz w:val="22"/>
                          <w:szCs w:val="22"/>
                        </w:rPr>
                        <w:t>S</w:t>
                      </w:r>
                      <w:r w:rsidRPr="009F7B17">
                        <w:rPr>
                          <w:rFonts w:eastAsia="Calibri" w:cstheme="minorHAnsi"/>
                          <w:sz w:val="22"/>
                          <w:szCs w:val="22"/>
                        </w:rPr>
                        <w:t xml:space="preserve">ome service users reported receiving primary care at a clinic that was not the CCBHC because they already had a pre-existing relationship with </w:t>
                      </w:r>
                      <w:r w:rsidRPr="00915880">
                        <w:rPr>
                          <w:rFonts w:eastAsia="Calibri" w:cstheme="minorHAnsi"/>
                          <w:sz w:val="22"/>
                          <w:szCs w:val="22"/>
                        </w:rPr>
                        <w:t xml:space="preserve">another </w:t>
                      </w:r>
                      <w:r>
                        <w:rPr>
                          <w:rFonts w:eastAsia="Calibri" w:cstheme="minorHAnsi"/>
                          <w:sz w:val="22"/>
                          <w:szCs w:val="22"/>
                        </w:rPr>
                        <w:t>primary care provider</w:t>
                      </w:r>
                      <w:r w:rsidRPr="00915880">
                        <w:rPr>
                          <w:rFonts w:eastAsia="Calibri" w:cstheme="minorHAnsi"/>
                          <w:sz w:val="22"/>
                          <w:szCs w:val="22"/>
                        </w:rPr>
                        <w:t>. Inadequate data sharing infrastructures and inconsistent interpretation of 42 CFR Part 2 also posed barriers to effective care coordination.</w:t>
                      </w:r>
                      <w:r>
                        <w:rPr>
                          <w:rFonts w:eastAsia="Calibri" w:cstheme="minorHAnsi"/>
                          <w:sz w:val="22"/>
                          <w:szCs w:val="22"/>
                        </w:rPr>
                        <w:t xml:space="preserve"> </w:t>
                      </w:r>
                      <w:r w:rsidRPr="00915880">
                        <w:rPr>
                          <w:rFonts w:eastAsia="Calibri" w:cstheme="minorHAnsi"/>
                          <w:sz w:val="22"/>
                          <w:szCs w:val="22"/>
                        </w:rPr>
                        <w:t xml:space="preserve">CCBHC program staff </w:t>
                      </w:r>
                      <w:r>
                        <w:rPr>
                          <w:rFonts w:eastAsia="Calibri" w:cstheme="minorHAnsi"/>
                          <w:sz w:val="22"/>
                          <w:szCs w:val="22"/>
                        </w:rPr>
                        <w:t>reported that i</w:t>
                      </w:r>
                      <w:r w:rsidRPr="00915880">
                        <w:rPr>
                          <w:rFonts w:eastAsia="Calibri" w:cstheme="minorHAnsi"/>
                          <w:sz w:val="22"/>
                          <w:szCs w:val="22"/>
                        </w:rPr>
                        <w:t>n October 2022</w:t>
                      </w:r>
                      <w:r>
                        <w:rPr>
                          <w:rFonts w:eastAsia="Calibri" w:cstheme="minorHAnsi"/>
                          <w:sz w:val="22"/>
                          <w:szCs w:val="22"/>
                        </w:rPr>
                        <w:t xml:space="preserve"> they </w:t>
                      </w:r>
                      <w:r w:rsidRPr="00915880">
                        <w:rPr>
                          <w:rFonts w:eastAsia="Calibri" w:cstheme="minorHAnsi"/>
                          <w:sz w:val="22"/>
                          <w:szCs w:val="22"/>
                        </w:rPr>
                        <w:t xml:space="preserve">began </w:t>
                      </w:r>
                      <w:r w:rsidRPr="000776F2">
                        <w:rPr>
                          <w:sz w:val="22"/>
                          <w:szCs w:val="22"/>
                        </w:rPr>
                        <w:t>facilitating a bi-weekly</w:t>
                      </w:r>
                      <w:r>
                        <w:rPr>
                          <w:sz w:val="22"/>
                          <w:szCs w:val="22"/>
                        </w:rPr>
                        <w:t>,</w:t>
                      </w:r>
                      <w:r w:rsidRPr="000776F2">
                        <w:rPr>
                          <w:sz w:val="22"/>
                          <w:szCs w:val="22"/>
                        </w:rPr>
                        <w:t xml:space="preserve"> </w:t>
                      </w:r>
                      <w:r>
                        <w:rPr>
                          <w:sz w:val="22"/>
                          <w:szCs w:val="22"/>
                        </w:rPr>
                        <w:t>service user-</w:t>
                      </w:r>
                      <w:r w:rsidRPr="000776F2">
                        <w:rPr>
                          <w:sz w:val="22"/>
                          <w:szCs w:val="22"/>
                        </w:rPr>
                        <w:t xml:space="preserve">driven steering committee to discuss </w:t>
                      </w:r>
                      <w:r>
                        <w:rPr>
                          <w:sz w:val="22"/>
                          <w:szCs w:val="22"/>
                        </w:rPr>
                        <w:t xml:space="preserve">the </w:t>
                      </w:r>
                      <w:r w:rsidRPr="000776F2">
                        <w:rPr>
                          <w:sz w:val="22"/>
                          <w:szCs w:val="22"/>
                        </w:rPr>
                        <w:t xml:space="preserve">Oregon-specific criteria of the </w:t>
                      </w:r>
                      <w:r>
                        <w:rPr>
                          <w:sz w:val="22"/>
                          <w:szCs w:val="22"/>
                        </w:rPr>
                        <w:t xml:space="preserve">CCBHC </w:t>
                      </w:r>
                      <w:r w:rsidRPr="000776F2">
                        <w:rPr>
                          <w:sz w:val="22"/>
                          <w:szCs w:val="22"/>
                        </w:rPr>
                        <w:t>model. Topics to date</w:t>
                      </w:r>
                      <w:r>
                        <w:rPr>
                          <w:sz w:val="22"/>
                          <w:szCs w:val="22"/>
                        </w:rPr>
                        <w:t xml:space="preserve"> </w:t>
                      </w:r>
                      <w:r w:rsidRPr="000776F2">
                        <w:rPr>
                          <w:sz w:val="22"/>
                          <w:szCs w:val="22"/>
                        </w:rPr>
                        <w:t>have included standardizing the criteria of being person-centered, integrated, equitable, and</w:t>
                      </w:r>
                      <w:r w:rsidR="004D4508">
                        <w:rPr>
                          <w:sz w:val="22"/>
                          <w:szCs w:val="22"/>
                        </w:rPr>
                        <w:t xml:space="preserve"> community-</w:t>
                      </w:r>
                    </w:p>
                  </w:txbxContent>
                </v:textbox>
              </v:shape>
            </w:pict>
          </mc:Fallback>
        </mc:AlternateContent>
      </w:r>
      <w:r>
        <w:rPr>
          <w:rFonts w:cstheme="minorHAnsi"/>
          <w:sz w:val="20"/>
          <w:szCs w:val="20"/>
        </w:rPr>
        <w:br w:type="page"/>
      </w:r>
    </w:p>
    <w:p w14:paraId="7FA1AF9B" w14:textId="1F6145B2" w:rsidR="004A4C4C" w:rsidRDefault="004D4508" w:rsidP="0074151A">
      <w:pPr>
        <w:jc w:val="center"/>
        <w:rPr>
          <w:rFonts w:cstheme="minorHAnsi"/>
          <w:sz w:val="20"/>
          <w:szCs w:val="20"/>
        </w:rPr>
      </w:pPr>
      <w:r>
        <w:rPr>
          <w:rFonts w:cstheme="minorHAnsi"/>
          <w:noProof/>
          <w:sz w:val="20"/>
          <w:szCs w:val="20"/>
        </w:rPr>
        <mc:AlternateContent>
          <mc:Choice Requires="wps">
            <w:drawing>
              <wp:anchor distT="0" distB="0" distL="114300" distR="114300" simplePos="0" relativeHeight="251688960" behindDoc="0" locked="0" layoutInCell="1" allowOverlap="1" wp14:anchorId="72BF4DA1" wp14:editId="1A624BED">
                <wp:simplePos x="0" y="0"/>
                <wp:positionH relativeFrom="column">
                  <wp:posOffset>2125</wp:posOffset>
                </wp:positionH>
                <wp:positionV relativeFrom="paragraph">
                  <wp:posOffset>17680</wp:posOffset>
                </wp:positionV>
                <wp:extent cx="5947200" cy="1216800"/>
                <wp:effectExtent l="12700" t="12700" r="22225" b="27940"/>
                <wp:wrapNone/>
                <wp:docPr id="14" name="Text Box 14"/>
                <wp:cNvGraphicFramePr/>
                <a:graphic xmlns:a="http://schemas.openxmlformats.org/drawingml/2006/main">
                  <a:graphicData uri="http://schemas.microsoft.com/office/word/2010/wordprocessingShape">
                    <wps:wsp>
                      <wps:cNvSpPr txBox="1"/>
                      <wps:spPr>
                        <a:xfrm>
                          <a:off x="0" y="0"/>
                          <a:ext cx="5947200" cy="1216800"/>
                        </a:xfrm>
                        <a:prstGeom prst="rect">
                          <a:avLst/>
                        </a:prstGeom>
                        <a:solidFill>
                          <a:schemeClr val="lt1"/>
                        </a:solidFill>
                        <a:ln w="38100">
                          <a:solidFill>
                            <a:schemeClr val="accent6">
                              <a:lumMod val="75000"/>
                            </a:schemeClr>
                          </a:solidFill>
                        </a:ln>
                      </wps:spPr>
                      <wps:txbx>
                        <w:txbxContent>
                          <w:p w14:paraId="409E5717" w14:textId="77777777" w:rsidR="004D4508" w:rsidRDefault="004D4508" w:rsidP="004D4508">
                            <w:pPr>
                              <w:pStyle w:val="ListParagraph"/>
                              <w:ind w:left="0"/>
                              <w:rPr>
                                <w:rFonts w:cstheme="minorHAnsi"/>
                                <w:color w:val="000000" w:themeColor="text1"/>
                                <w:sz w:val="22"/>
                                <w:szCs w:val="22"/>
                              </w:rPr>
                            </w:pPr>
                            <w:r w:rsidRPr="000776F2">
                              <w:rPr>
                                <w:sz w:val="22"/>
                                <w:szCs w:val="22"/>
                              </w:rPr>
                              <w:t>based.</w:t>
                            </w:r>
                            <w:r>
                              <w:rPr>
                                <w:sz w:val="22"/>
                                <w:szCs w:val="22"/>
                              </w:rPr>
                              <w:t xml:space="preserve"> A change in the future to </w:t>
                            </w:r>
                            <w:r w:rsidRPr="007A253E">
                              <w:rPr>
                                <w:rFonts w:cstheme="minorHAnsi"/>
                                <w:color w:val="000000" w:themeColor="text1"/>
                                <w:sz w:val="22"/>
                                <w:szCs w:val="22"/>
                              </w:rPr>
                              <w:t>tiered criteria that establish both minimum and aspirational standards for care coordination and integration</w:t>
                            </w:r>
                            <w:r>
                              <w:rPr>
                                <w:rFonts w:cstheme="minorHAnsi"/>
                                <w:color w:val="000000" w:themeColor="text1"/>
                                <w:sz w:val="22"/>
                                <w:szCs w:val="22"/>
                              </w:rPr>
                              <w:t xml:space="preserve"> might be a strategy to better support the CCBHCs. </w:t>
                            </w:r>
                          </w:p>
                          <w:p w14:paraId="157FEC5E" w14:textId="77777777" w:rsidR="004D4508" w:rsidRDefault="004D4508" w:rsidP="004D4508">
                            <w:pPr>
                              <w:pStyle w:val="ListParagraph"/>
                              <w:ind w:left="0"/>
                              <w:rPr>
                                <w:rFonts w:cstheme="minorHAnsi"/>
                                <w:color w:val="000000" w:themeColor="text1"/>
                                <w:sz w:val="22"/>
                                <w:szCs w:val="22"/>
                              </w:rPr>
                            </w:pPr>
                          </w:p>
                          <w:p w14:paraId="679B91E9" w14:textId="77777777" w:rsidR="004D4508" w:rsidRPr="00583092" w:rsidRDefault="004D4508" w:rsidP="004D4508">
                            <w:pPr>
                              <w:pStyle w:val="ListParagraph"/>
                              <w:ind w:left="0"/>
                              <w:rPr>
                                <w:rFonts w:cstheme="minorHAnsi"/>
                                <w:color w:val="000000" w:themeColor="text1"/>
                                <w:sz w:val="22"/>
                                <w:szCs w:val="22"/>
                              </w:rPr>
                            </w:pPr>
                            <w:r w:rsidRPr="00583092">
                              <w:rPr>
                                <w:rFonts w:cstheme="minorHAnsi"/>
                                <w:b/>
                                <w:bCs/>
                                <w:color w:val="6A7F0F"/>
                                <w:sz w:val="22"/>
                                <w:szCs w:val="22"/>
                              </w:rPr>
                              <w:t>Recommendation:</w:t>
                            </w:r>
                            <w:r w:rsidRPr="00583092">
                              <w:rPr>
                                <w:rFonts w:cstheme="minorHAnsi"/>
                                <w:color w:val="6A7F0F"/>
                                <w:sz w:val="22"/>
                                <w:szCs w:val="22"/>
                              </w:rPr>
                              <w:t xml:space="preserve"> </w:t>
                            </w:r>
                            <w:r w:rsidRPr="00583092">
                              <w:rPr>
                                <w:rFonts w:cstheme="minorHAnsi"/>
                                <w:color w:val="000000" w:themeColor="text1"/>
                                <w:sz w:val="22"/>
                                <w:szCs w:val="22"/>
                              </w:rPr>
                              <w:t xml:space="preserve">Establish clearer standards for primary and behavioral care coordination and integration that </w:t>
                            </w:r>
                            <w:r w:rsidRPr="00583092">
                              <w:rPr>
                                <w:color w:val="000000" w:themeColor="text1"/>
                                <w:sz w:val="22"/>
                                <w:szCs w:val="22"/>
                              </w:rPr>
                              <w:t xml:space="preserve">enable CCBHCs to better provide whole-person care and services that </w:t>
                            </w:r>
                            <w:r w:rsidRPr="00583092">
                              <w:rPr>
                                <w:rFonts w:cstheme="minorHAnsi"/>
                                <w:color w:val="000000" w:themeColor="text1"/>
                                <w:sz w:val="22"/>
                                <w:szCs w:val="22"/>
                              </w:rPr>
                              <w:t>meet the complex and multiple needs of diverse service users.</w:t>
                            </w:r>
                          </w:p>
                          <w:p w14:paraId="716EE1A0" w14:textId="55C6A46A" w:rsidR="004D4508" w:rsidRDefault="004D4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F4DA1" id="Text Box 14" o:spid="_x0000_s1031" type="#_x0000_t202" style="position:absolute;left:0;text-align:left;margin-left:.15pt;margin-top:1.4pt;width:468.3pt;height:95.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gdSgIAAK0EAAAOAAAAZHJzL2Uyb0RvYy54bWysVE1vGjEQvVfqf7B8L8tSIGTFElEiqkpp&#10;EolUORuvDZa8Htc27NJf37GXr6aVKlW9mLFn9s3MmzdM79pak71wXoEpad7rUyIMh0qZTUm/vSw/&#10;TCjxgZmKaTCipAfh6d3s/btpYwsxgC3oSjiCIMYXjS3pNgRbZJnnW1Ez3wMrDDoluJoFvLpNVjnW&#10;IHqts0G/P84acJV1wIX3+HrfOeks4UspeHiS0otAdEmxtpBOl851PLPZlBUbx+xW8WMZ7B+qqJky&#10;mPQMdc8CIzunfoOqFXfgQYYehzoDKRUXqQfsJu+/6Wa1ZVakXpAcb880+f8Hyx/3K/vsSGg/QYsD&#10;jIQ01hceH2M/rXR1/MVKCfqRwsOZNtEGwvFxdDu8wVlQwtGXD/LxBC+Ik10+t86HzwJqEo2SOpxL&#10;oovtH3zoQk8hMZsHraql0jpdohbEQjuyZzhFHVKRCP5LlDakKenHSY65/wbBOBcmjFOc3tVfoeqg&#10;b0b9c+VJgTFr6uMqFSbWBh8vLEUrtOuWqArJODG4huqAxDroNOctXyps/oH58MwcigwJw8UJT3hI&#10;DVg8HC1KtuB+/Ok9xuPs0UtJg6Itqf++Y05Qor8YVMVtPhxGlafLcIRTocRde9bXHrOrF4CM5rii&#10;liczxgd9MqWD+hX3ax6zoosZjrlLGk7mInSrhPvJxXyeglDXloUHs7I8QsdZxNG+tK/M2eP8A0rn&#10;EU7yZsUbGXSx8UsD810AqZJGIs8dq0f6cSfSdI77G5fu+p6iLv8ys58AAAD//wMAUEsDBBQABgAI&#10;AAAAIQCAdieO4AAAAAsBAAAPAAAAZHJzL2Rvd25yZXYueG1sTI9LT8MwEITvSPwHa5G4UYe2lCaN&#10;UyFCr6AWJDja8ZIE/IhiN49/z3KCy0qrmZ2dL99P1rAB+9B6J+B2kQBDV3ndulrA2+vhZgssROm0&#10;NN6hgBkD7IvLi1xm2o/uiMMp1oxCXMikgCbGLuM8VA1aGRa+Q0fap++tjLT2Nde9HCncGr5Mkg23&#10;snX0oZEdPjZYfZ/OllKeX8qv4f1pvhs/jqVSRh3m7b0Q11dTuaPxsAMWcYp/F/DLQP2hoGLKn50O&#10;zAhYkU/AkhhITFebFJgiV7peAy9y/p+h+AEAAP//AwBQSwECLQAUAAYACAAAACEAtoM4kv4AAADh&#10;AQAAEwAAAAAAAAAAAAAAAAAAAAAAW0NvbnRlbnRfVHlwZXNdLnhtbFBLAQItABQABgAIAAAAIQA4&#10;/SH/1gAAAJQBAAALAAAAAAAAAAAAAAAAAC8BAABfcmVscy8ucmVsc1BLAQItABQABgAIAAAAIQDd&#10;migdSgIAAK0EAAAOAAAAAAAAAAAAAAAAAC4CAABkcnMvZTJvRG9jLnhtbFBLAQItABQABgAIAAAA&#10;IQCAdieO4AAAAAsBAAAPAAAAAAAAAAAAAAAAAKQEAABkcnMvZG93bnJldi54bWxQSwUGAAAAAAQA&#10;BADzAAAAsQUAAAAA&#10;" fillcolor="white [3201]" strokecolor="#538135 [2409]" strokeweight="3pt">
                <v:textbox>
                  <w:txbxContent>
                    <w:p w14:paraId="409E5717" w14:textId="77777777" w:rsidR="004D4508" w:rsidRDefault="004D4508" w:rsidP="004D4508">
                      <w:pPr>
                        <w:pStyle w:val="ListParagraph"/>
                        <w:ind w:left="0"/>
                        <w:rPr>
                          <w:rFonts w:cstheme="minorHAnsi"/>
                          <w:color w:val="000000" w:themeColor="text1"/>
                          <w:sz w:val="22"/>
                          <w:szCs w:val="22"/>
                        </w:rPr>
                      </w:pPr>
                      <w:r w:rsidRPr="000776F2">
                        <w:rPr>
                          <w:sz w:val="22"/>
                          <w:szCs w:val="22"/>
                        </w:rPr>
                        <w:t>based.</w:t>
                      </w:r>
                      <w:r>
                        <w:rPr>
                          <w:sz w:val="22"/>
                          <w:szCs w:val="22"/>
                        </w:rPr>
                        <w:t xml:space="preserve"> A change in the future to </w:t>
                      </w:r>
                      <w:r w:rsidRPr="007A253E">
                        <w:rPr>
                          <w:rFonts w:cstheme="minorHAnsi"/>
                          <w:color w:val="000000" w:themeColor="text1"/>
                          <w:sz w:val="22"/>
                          <w:szCs w:val="22"/>
                        </w:rPr>
                        <w:t>tiered criteria that establish both minimum and aspirational standards for care coordination and integration</w:t>
                      </w:r>
                      <w:r>
                        <w:rPr>
                          <w:rFonts w:cstheme="minorHAnsi"/>
                          <w:color w:val="000000" w:themeColor="text1"/>
                          <w:sz w:val="22"/>
                          <w:szCs w:val="22"/>
                        </w:rPr>
                        <w:t xml:space="preserve"> might be a strategy to better support the CCBHCs. </w:t>
                      </w:r>
                    </w:p>
                    <w:p w14:paraId="157FEC5E" w14:textId="77777777" w:rsidR="004D4508" w:rsidRDefault="004D4508" w:rsidP="004D4508">
                      <w:pPr>
                        <w:pStyle w:val="ListParagraph"/>
                        <w:ind w:left="0"/>
                        <w:rPr>
                          <w:rFonts w:cstheme="minorHAnsi"/>
                          <w:color w:val="000000" w:themeColor="text1"/>
                          <w:sz w:val="22"/>
                          <w:szCs w:val="22"/>
                        </w:rPr>
                      </w:pPr>
                    </w:p>
                    <w:p w14:paraId="679B91E9" w14:textId="77777777" w:rsidR="004D4508" w:rsidRPr="00583092" w:rsidRDefault="004D4508" w:rsidP="004D4508">
                      <w:pPr>
                        <w:pStyle w:val="ListParagraph"/>
                        <w:ind w:left="0"/>
                        <w:rPr>
                          <w:rFonts w:cstheme="minorHAnsi"/>
                          <w:color w:val="000000" w:themeColor="text1"/>
                          <w:sz w:val="22"/>
                          <w:szCs w:val="22"/>
                        </w:rPr>
                      </w:pPr>
                      <w:r w:rsidRPr="00583092">
                        <w:rPr>
                          <w:rFonts w:cstheme="minorHAnsi"/>
                          <w:b/>
                          <w:bCs/>
                          <w:color w:val="6A7F0F"/>
                          <w:sz w:val="22"/>
                          <w:szCs w:val="22"/>
                        </w:rPr>
                        <w:t>Recommendation:</w:t>
                      </w:r>
                      <w:r w:rsidRPr="00583092">
                        <w:rPr>
                          <w:rFonts w:cstheme="minorHAnsi"/>
                          <w:color w:val="6A7F0F"/>
                          <w:sz w:val="22"/>
                          <w:szCs w:val="22"/>
                        </w:rPr>
                        <w:t xml:space="preserve"> </w:t>
                      </w:r>
                      <w:r w:rsidRPr="00583092">
                        <w:rPr>
                          <w:rFonts w:cstheme="minorHAnsi"/>
                          <w:color w:val="000000" w:themeColor="text1"/>
                          <w:sz w:val="22"/>
                          <w:szCs w:val="22"/>
                        </w:rPr>
                        <w:t xml:space="preserve">Establish clearer standards for primary and behavioral care coordination and integration that </w:t>
                      </w:r>
                      <w:r w:rsidRPr="00583092">
                        <w:rPr>
                          <w:color w:val="000000" w:themeColor="text1"/>
                          <w:sz w:val="22"/>
                          <w:szCs w:val="22"/>
                        </w:rPr>
                        <w:t xml:space="preserve">enable CCBHCs to better provide whole-person care and services that </w:t>
                      </w:r>
                      <w:r w:rsidRPr="00583092">
                        <w:rPr>
                          <w:rFonts w:cstheme="minorHAnsi"/>
                          <w:color w:val="000000" w:themeColor="text1"/>
                          <w:sz w:val="22"/>
                          <w:szCs w:val="22"/>
                        </w:rPr>
                        <w:t>meet the complex and multiple needs of diverse service users.</w:t>
                      </w:r>
                    </w:p>
                    <w:p w14:paraId="716EE1A0" w14:textId="55C6A46A" w:rsidR="004D4508" w:rsidRDefault="004D4508"/>
                  </w:txbxContent>
                </v:textbox>
              </v:shape>
            </w:pict>
          </mc:Fallback>
        </mc:AlternateContent>
      </w:r>
    </w:p>
    <w:p w14:paraId="3887F5FC" w14:textId="338F66A3" w:rsidR="004D4508" w:rsidRDefault="004D4508" w:rsidP="004D4508">
      <w:pPr>
        <w:rPr>
          <w:rFonts w:cstheme="minorHAnsi"/>
          <w:sz w:val="20"/>
          <w:szCs w:val="20"/>
        </w:rPr>
      </w:pPr>
    </w:p>
    <w:p w14:paraId="0C84381E" w14:textId="77777777" w:rsidR="004D4508" w:rsidRDefault="004D4508" w:rsidP="004D4508">
      <w:pPr>
        <w:rPr>
          <w:rFonts w:cstheme="minorHAnsi"/>
          <w:sz w:val="20"/>
          <w:szCs w:val="20"/>
        </w:rPr>
      </w:pPr>
    </w:p>
    <w:p w14:paraId="2D1ED8B1" w14:textId="136BCABB" w:rsidR="004D4508" w:rsidRDefault="004D4508">
      <w:pPr>
        <w:rPr>
          <w:rFonts w:cstheme="minorHAnsi"/>
          <w:sz w:val="20"/>
          <w:szCs w:val="20"/>
        </w:rPr>
      </w:pPr>
    </w:p>
    <w:p w14:paraId="294D25E7" w14:textId="77E4B614" w:rsidR="004D4508" w:rsidRDefault="004D4508">
      <w:pPr>
        <w:rPr>
          <w:rFonts w:cstheme="minorHAnsi"/>
          <w:sz w:val="20"/>
          <w:szCs w:val="20"/>
        </w:rPr>
      </w:pPr>
    </w:p>
    <w:p w14:paraId="1C2A081E" w14:textId="648518EF" w:rsidR="004D4508" w:rsidRDefault="004D4508">
      <w:pPr>
        <w:rPr>
          <w:rFonts w:cstheme="minorHAnsi"/>
          <w:sz w:val="20"/>
          <w:szCs w:val="20"/>
        </w:rPr>
      </w:pPr>
    </w:p>
    <w:p w14:paraId="611A81E8" w14:textId="02329D7A" w:rsidR="004D4508" w:rsidRDefault="004D4508">
      <w:pPr>
        <w:rPr>
          <w:rFonts w:cstheme="minorHAnsi"/>
          <w:sz w:val="20"/>
          <w:szCs w:val="20"/>
        </w:rPr>
      </w:pPr>
    </w:p>
    <w:p w14:paraId="6AD0125B" w14:textId="4C87E095" w:rsidR="004D4508" w:rsidRDefault="004D4508">
      <w:pPr>
        <w:rPr>
          <w:rFonts w:cstheme="minorHAnsi"/>
          <w:sz w:val="20"/>
          <w:szCs w:val="20"/>
        </w:rPr>
      </w:pPr>
    </w:p>
    <w:p w14:paraId="13BF8F78" w14:textId="45330580" w:rsidR="004D4508" w:rsidRDefault="004D4508">
      <w:pPr>
        <w:rPr>
          <w:rFonts w:cstheme="minorHAnsi"/>
          <w:sz w:val="20"/>
          <w:szCs w:val="20"/>
        </w:rPr>
      </w:pPr>
    </w:p>
    <w:p w14:paraId="202E3D96" w14:textId="33904528" w:rsidR="00517657" w:rsidRPr="004247FE" w:rsidRDefault="00BE2198" w:rsidP="006546A9">
      <w:pPr>
        <w:pStyle w:val="Heading2"/>
        <w:spacing w:after="120"/>
        <w:rPr>
          <w:rFonts w:asciiTheme="minorHAnsi" w:hAnsiTheme="minorHAnsi" w:cstheme="minorHAnsi"/>
          <w:b/>
          <w:bCs/>
          <w:color w:val="6A7F0F"/>
        </w:rPr>
      </w:pPr>
      <w:bookmarkStart w:id="37" w:name="_Toc126068182"/>
      <w:r w:rsidRPr="004247FE">
        <w:rPr>
          <w:rFonts w:asciiTheme="minorHAnsi" w:hAnsiTheme="minorHAnsi" w:cstheme="minorHAnsi"/>
          <w:b/>
          <w:bCs/>
          <w:color w:val="6A7F0F"/>
        </w:rPr>
        <w:t>Offer Services that Result in Improved Health Outcomes, Lower Overall Healthcare Costs, and Improve Overall Community Health</w:t>
      </w:r>
      <w:bookmarkEnd w:id="37"/>
    </w:p>
    <w:p w14:paraId="7EA18359" w14:textId="77777777" w:rsidR="007E3335" w:rsidRPr="00710A26" w:rsidRDefault="007E3335" w:rsidP="007E3335">
      <w:pPr>
        <w:rPr>
          <w:rFonts w:eastAsia="Calibri" w:cstheme="minorHAnsi"/>
          <w:sz w:val="22"/>
          <w:szCs w:val="22"/>
        </w:rPr>
      </w:pPr>
      <w:r w:rsidRPr="00710A26">
        <w:rPr>
          <w:rFonts w:eastAsia="Calibri" w:cstheme="minorHAnsi"/>
          <w:sz w:val="22"/>
          <w:szCs w:val="22"/>
        </w:rPr>
        <w:t xml:space="preserve">In order to assess the impact of CCBHCs on health outcomes, </w:t>
      </w:r>
      <w:r>
        <w:rPr>
          <w:rFonts w:eastAsia="Calibri" w:cstheme="minorHAnsi"/>
          <w:sz w:val="22"/>
          <w:szCs w:val="22"/>
        </w:rPr>
        <w:t>healthcare</w:t>
      </w:r>
      <w:r w:rsidRPr="00710A26">
        <w:rPr>
          <w:rFonts w:eastAsia="Calibri" w:cstheme="minorHAnsi"/>
          <w:sz w:val="22"/>
          <w:szCs w:val="22"/>
        </w:rPr>
        <w:t xml:space="preserve"> costs, and overall community health, this evaluation examined quantitative data on </w:t>
      </w:r>
      <w:r>
        <w:rPr>
          <w:rFonts w:eastAsia="Calibri" w:cstheme="minorHAnsi"/>
          <w:sz w:val="22"/>
          <w:szCs w:val="22"/>
        </w:rPr>
        <w:t>treatment service patterns</w:t>
      </w:r>
      <w:r w:rsidRPr="00710A26">
        <w:rPr>
          <w:rFonts w:eastAsia="Calibri" w:cstheme="minorHAnsi"/>
          <w:sz w:val="22"/>
          <w:szCs w:val="22"/>
        </w:rPr>
        <w:t xml:space="preserve"> and performance outcomes and qualitative data </w:t>
      </w:r>
      <w:r>
        <w:rPr>
          <w:rFonts w:eastAsia="Calibri" w:cstheme="minorHAnsi"/>
          <w:sz w:val="22"/>
          <w:szCs w:val="22"/>
        </w:rPr>
        <w:t>reflecting the perspectives of</w:t>
      </w:r>
      <w:r w:rsidRPr="00710A26">
        <w:rPr>
          <w:rFonts w:eastAsia="Calibri" w:cstheme="minorHAnsi"/>
          <w:sz w:val="22"/>
          <w:szCs w:val="22"/>
        </w:rPr>
        <w:t xml:space="preserve"> clinic leaders</w:t>
      </w:r>
      <w:r>
        <w:rPr>
          <w:rFonts w:eastAsia="Calibri" w:cstheme="minorHAnsi"/>
          <w:sz w:val="22"/>
          <w:szCs w:val="22"/>
        </w:rPr>
        <w:t xml:space="preserve">, </w:t>
      </w:r>
      <w:r w:rsidRPr="00710A26">
        <w:rPr>
          <w:rFonts w:eastAsia="Calibri" w:cstheme="minorHAnsi"/>
          <w:sz w:val="22"/>
          <w:szCs w:val="22"/>
        </w:rPr>
        <w:t>interested parties, CBO representatives</w:t>
      </w:r>
      <w:r>
        <w:rPr>
          <w:rFonts w:eastAsia="Calibri" w:cstheme="minorHAnsi"/>
          <w:sz w:val="22"/>
          <w:szCs w:val="22"/>
        </w:rPr>
        <w:t>,</w:t>
      </w:r>
      <w:r w:rsidRPr="00710A26">
        <w:rPr>
          <w:rFonts w:eastAsia="Calibri" w:cstheme="minorHAnsi"/>
          <w:sz w:val="22"/>
          <w:szCs w:val="22"/>
        </w:rPr>
        <w:t xml:space="preserve"> and service users.</w:t>
      </w:r>
    </w:p>
    <w:p w14:paraId="3A55E217" w14:textId="77777777" w:rsidR="008D0F16" w:rsidRPr="00710A26" w:rsidRDefault="008D0F16" w:rsidP="008D0F16">
      <w:pPr>
        <w:rPr>
          <w:rFonts w:eastAsia="Calibri" w:cstheme="minorHAnsi"/>
          <w:sz w:val="22"/>
          <w:szCs w:val="22"/>
        </w:rPr>
      </w:pPr>
    </w:p>
    <w:p w14:paraId="0BCF5A22" w14:textId="77777777" w:rsidR="008D0F16" w:rsidRPr="00A17C4D" w:rsidRDefault="008D0F16" w:rsidP="00A17C4D">
      <w:pPr>
        <w:spacing w:after="120"/>
        <w:rPr>
          <w:b/>
          <w:bCs/>
          <w:i/>
          <w:iCs/>
          <w:color w:val="6A7F0F"/>
          <w:highlight w:val="white"/>
        </w:rPr>
      </w:pPr>
      <w:r w:rsidRPr="00A17C4D">
        <w:rPr>
          <w:b/>
          <w:bCs/>
          <w:i/>
          <w:iCs/>
          <w:color w:val="6A7F0F"/>
          <w:highlight w:val="white"/>
        </w:rPr>
        <w:t>Improved Health Outcomes</w:t>
      </w:r>
    </w:p>
    <w:p w14:paraId="7E00318D" w14:textId="5A03F798" w:rsidR="007E3335" w:rsidRDefault="007E3335" w:rsidP="007E3335">
      <w:pPr>
        <w:rPr>
          <w:rFonts w:cstheme="minorHAnsi"/>
          <w:sz w:val="22"/>
          <w:szCs w:val="22"/>
        </w:rPr>
      </w:pPr>
      <w:r>
        <w:rPr>
          <w:rFonts w:cstheme="minorHAnsi"/>
          <w:sz w:val="22"/>
          <w:szCs w:val="22"/>
        </w:rPr>
        <w:t xml:space="preserve">The </w:t>
      </w:r>
      <w:r w:rsidRPr="008E4372">
        <w:rPr>
          <w:rFonts w:cstheme="minorHAnsi"/>
          <w:sz w:val="22"/>
          <w:szCs w:val="22"/>
        </w:rPr>
        <w:t>MHSIP</w:t>
      </w:r>
      <w:r>
        <w:rPr>
          <w:rFonts w:cstheme="minorHAnsi"/>
          <w:sz w:val="22"/>
          <w:szCs w:val="22"/>
        </w:rPr>
        <w:t xml:space="preserve"> survey provides information on OHP members’ self-reported experiences using mental health and substance use services and was used to measure members’ health outcomes. The survey covers</w:t>
      </w:r>
      <w:r w:rsidRPr="008E4372">
        <w:rPr>
          <w:rFonts w:cstheme="minorHAnsi"/>
          <w:sz w:val="22"/>
          <w:szCs w:val="22"/>
        </w:rPr>
        <w:t xml:space="preserve"> domains </w:t>
      </w:r>
      <w:r>
        <w:rPr>
          <w:rFonts w:cstheme="minorHAnsi"/>
          <w:sz w:val="22"/>
          <w:szCs w:val="22"/>
        </w:rPr>
        <w:t xml:space="preserve">that reflect treatment impact </w:t>
      </w:r>
      <w:r w:rsidRPr="008E4372">
        <w:rPr>
          <w:rFonts w:cstheme="minorHAnsi"/>
          <w:sz w:val="22"/>
          <w:szCs w:val="22"/>
        </w:rPr>
        <w:t xml:space="preserve">(Treatment Outcomes, Daily Functioning), </w:t>
      </w:r>
      <w:r>
        <w:rPr>
          <w:rFonts w:cstheme="minorHAnsi"/>
          <w:sz w:val="22"/>
          <w:szCs w:val="22"/>
        </w:rPr>
        <w:t>as well as</w:t>
      </w:r>
      <w:r w:rsidRPr="008E4372">
        <w:rPr>
          <w:rFonts w:cstheme="minorHAnsi"/>
          <w:sz w:val="22"/>
          <w:szCs w:val="22"/>
        </w:rPr>
        <w:t xml:space="preserve"> others tied to improvements in overall community health through addressing social determinants and inequities, including power imbalances in patient-provider relationships (Access, Social Connectedness, Quality, Participation, and Appropriateness).</w:t>
      </w:r>
      <w:r>
        <w:rPr>
          <w:rFonts w:cstheme="minorHAnsi"/>
          <w:sz w:val="22"/>
          <w:szCs w:val="22"/>
        </w:rPr>
        <w:t xml:space="preserve"> The MHSIP surveys are provided to Adults and Children/</w:t>
      </w:r>
      <w:r w:rsidR="00B06107">
        <w:rPr>
          <w:rFonts w:cstheme="minorHAnsi"/>
          <w:sz w:val="22"/>
          <w:szCs w:val="22"/>
        </w:rPr>
        <w:t xml:space="preserve"> </w:t>
      </w:r>
      <w:r>
        <w:rPr>
          <w:rFonts w:cstheme="minorHAnsi"/>
          <w:sz w:val="22"/>
          <w:szCs w:val="22"/>
        </w:rPr>
        <w:t xml:space="preserve">Youth separately and in outpatient and residential settings separately. Each domain surveyed has a 1-5 domain score and a yes/no satisfaction score. As the domains differ slightly for adults and children, they are reported separately. </w:t>
      </w:r>
    </w:p>
    <w:p w14:paraId="19241BBD" w14:textId="77777777" w:rsidR="008D0F16" w:rsidRDefault="008D0F16" w:rsidP="008D0F16">
      <w:pPr>
        <w:rPr>
          <w:rFonts w:cstheme="minorHAnsi"/>
          <w:sz w:val="22"/>
          <w:szCs w:val="22"/>
        </w:rPr>
      </w:pPr>
    </w:p>
    <w:p w14:paraId="73480322" w14:textId="50964E18" w:rsidR="007E3335" w:rsidRDefault="008D0F16" w:rsidP="007E3335">
      <w:pPr>
        <w:rPr>
          <w:rFonts w:cstheme="minorHAnsi"/>
          <w:sz w:val="22"/>
          <w:szCs w:val="22"/>
        </w:rPr>
      </w:pPr>
      <w:r w:rsidRPr="00261B2D">
        <w:rPr>
          <w:rFonts w:cstheme="minorHAnsi"/>
          <w:color w:val="6A7F0F"/>
          <w:sz w:val="22"/>
          <w:szCs w:val="22"/>
        </w:rPr>
        <w:t xml:space="preserve">Figure 7 </w:t>
      </w:r>
      <w:r>
        <w:rPr>
          <w:rFonts w:cstheme="minorHAnsi"/>
          <w:sz w:val="22"/>
          <w:szCs w:val="22"/>
        </w:rPr>
        <w:t xml:space="preserve">below provides the overall changes in MHSIP domain and satisfaction scores for CCBHC service </w:t>
      </w:r>
      <w:r w:rsidRPr="006564BF">
        <w:rPr>
          <w:rFonts w:cstheme="minorHAnsi"/>
          <w:sz w:val="22"/>
          <w:szCs w:val="22"/>
        </w:rPr>
        <w:t xml:space="preserve">users compared to those for non-CCBHC CMHP service users. </w:t>
      </w:r>
      <w:hyperlink w:anchor="Appendix6_Table_A65a" w:history="1">
        <w:r w:rsidRPr="007E3335">
          <w:rPr>
            <w:rStyle w:val="Hyperlink"/>
            <w:rFonts w:cstheme="minorHAnsi"/>
            <w:sz w:val="22"/>
            <w:szCs w:val="22"/>
          </w:rPr>
          <w:t>Tables A</w:t>
        </w:r>
        <w:r w:rsidR="0067134D">
          <w:rPr>
            <w:rStyle w:val="Hyperlink"/>
            <w:rFonts w:cstheme="minorHAnsi"/>
            <w:sz w:val="22"/>
            <w:szCs w:val="22"/>
          </w:rPr>
          <w:t>7</w:t>
        </w:r>
        <w:r w:rsidRPr="007E3335">
          <w:rPr>
            <w:rStyle w:val="Hyperlink"/>
            <w:rFonts w:cstheme="minorHAnsi"/>
            <w:sz w:val="22"/>
            <w:szCs w:val="22"/>
          </w:rPr>
          <w:t>.5a-f</w:t>
        </w:r>
      </w:hyperlink>
      <w:r w:rsidRPr="006564BF">
        <w:rPr>
          <w:rFonts w:cstheme="minorHAnsi"/>
          <w:sz w:val="22"/>
          <w:szCs w:val="22"/>
        </w:rPr>
        <w:t xml:space="preserve"> in </w:t>
      </w:r>
      <w:hyperlink w:anchor="_Appendix_7:_Additional" w:history="1">
        <w:r w:rsidRPr="007E3335">
          <w:rPr>
            <w:rStyle w:val="Hyperlink"/>
            <w:rFonts w:cstheme="minorHAnsi"/>
            <w:sz w:val="22"/>
            <w:szCs w:val="22"/>
          </w:rPr>
          <w:t>Appendix 7</w:t>
        </w:r>
      </w:hyperlink>
      <w:r w:rsidRPr="006564BF">
        <w:rPr>
          <w:rFonts w:cstheme="minorHAnsi"/>
          <w:sz w:val="22"/>
          <w:szCs w:val="22"/>
        </w:rPr>
        <w:t xml:space="preserve"> </w:t>
      </w:r>
      <w:r w:rsidR="007E3335" w:rsidRPr="006564BF">
        <w:rPr>
          <w:rFonts w:cstheme="minorHAnsi"/>
          <w:sz w:val="22"/>
          <w:szCs w:val="22"/>
        </w:rPr>
        <w:t>provide</w:t>
      </w:r>
      <w:r w:rsidR="007E3335">
        <w:rPr>
          <w:rFonts w:cstheme="minorHAnsi"/>
          <w:sz w:val="22"/>
          <w:szCs w:val="22"/>
        </w:rPr>
        <w:t xml:space="preserve"> changes by service user race/ethnicity and place of residence. These results indicate that the CCBHC program positively influenced OHP member experience in using mental health and substance use services. However, these positive changes were not uniform. They tended to accrue to specific groups of service users related to age, race/ethnicity or place of residence.</w:t>
      </w:r>
    </w:p>
    <w:p w14:paraId="313ED539" w14:textId="5286B1C4" w:rsidR="00F3244E" w:rsidRDefault="00F3244E" w:rsidP="007E3335">
      <w:pPr>
        <w:rPr>
          <w:rFonts w:cstheme="minorHAnsi"/>
          <w:sz w:val="22"/>
          <w:szCs w:val="22"/>
        </w:rPr>
      </w:pPr>
    </w:p>
    <w:p w14:paraId="0854D0AA" w14:textId="77777777" w:rsidR="00F3244E" w:rsidRDefault="00F3244E" w:rsidP="00F3244E">
      <w:pPr>
        <w:rPr>
          <w:rFonts w:cstheme="minorHAnsi"/>
          <w:sz w:val="22"/>
          <w:szCs w:val="22"/>
        </w:rPr>
      </w:pPr>
      <w:r w:rsidRPr="008E4372">
        <w:rPr>
          <w:rFonts w:cstheme="minorHAnsi"/>
          <w:sz w:val="22"/>
          <w:szCs w:val="22"/>
        </w:rPr>
        <w:t>Among Adult Outpatient and Residential survey respondents</w:t>
      </w:r>
      <w:r>
        <w:rPr>
          <w:rFonts w:cstheme="minorHAnsi"/>
          <w:sz w:val="22"/>
          <w:szCs w:val="22"/>
        </w:rPr>
        <w:t xml:space="preserve">, there were no </w:t>
      </w:r>
      <w:r w:rsidRPr="008E4372">
        <w:rPr>
          <w:rFonts w:cstheme="minorHAnsi"/>
          <w:sz w:val="22"/>
          <w:szCs w:val="22"/>
        </w:rPr>
        <w:t>significant</w:t>
      </w:r>
      <w:r>
        <w:rPr>
          <w:rFonts w:cstheme="minorHAnsi"/>
          <w:sz w:val="22"/>
          <w:szCs w:val="22"/>
        </w:rPr>
        <w:t xml:space="preserve"> </w:t>
      </w:r>
      <w:r w:rsidRPr="008E4372">
        <w:rPr>
          <w:rFonts w:cstheme="minorHAnsi"/>
          <w:sz w:val="22"/>
          <w:szCs w:val="22"/>
        </w:rPr>
        <w:t>changes in MHSIP domain</w:t>
      </w:r>
      <w:r>
        <w:rPr>
          <w:rFonts w:cstheme="minorHAnsi"/>
          <w:sz w:val="22"/>
          <w:szCs w:val="22"/>
        </w:rPr>
        <w:t xml:space="preserve"> or satisfaction</w:t>
      </w:r>
      <w:r w:rsidRPr="008E4372">
        <w:rPr>
          <w:rFonts w:cstheme="minorHAnsi"/>
          <w:sz w:val="22"/>
          <w:szCs w:val="22"/>
        </w:rPr>
        <w:t xml:space="preserve"> scores </w:t>
      </w:r>
      <w:r>
        <w:rPr>
          <w:rFonts w:cstheme="minorHAnsi"/>
          <w:sz w:val="22"/>
          <w:szCs w:val="22"/>
        </w:rPr>
        <w:t xml:space="preserve">overall. For rural or remote residents, the </w:t>
      </w:r>
      <w:r w:rsidRPr="008E4372">
        <w:rPr>
          <w:rFonts w:cstheme="minorHAnsi"/>
          <w:sz w:val="22"/>
          <w:szCs w:val="22"/>
        </w:rPr>
        <w:t xml:space="preserve">satisfaction </w:t>
      </w:r>
      <w:r>
        <w:rPr>
          <w:rFonts w:cstheme="minorHAnsi"/>
          <w:sz w:val="22"/>
          <w:szCs w:val="22"/>
        </w:rPr>
        <w:t>score for</w:t>
      </w:r>
      <w:r w:rsidRPr="008E4372">
        <w:rPr>
          <w:rFonts w:cstheme="minorHAnsi"/>
          <w:sz w:val="22"/>
          <w:szCs w:val="22"/>
        </w:rPr>
        <w:t xml:space="preserve"> Access to </w:t>
      </w:r>
      <w:r>
        <w:rPr>
          <w:rFonts w:cstheme="minorHAnsi"/>
          <w:sz w:val="22"/>
          <w:szCs w:val="22"/>
        </w:rPr>
        <w:t>S</w:t>
      </w:r>
      <w:r w:rsidRPr="008E4372">
        <w:rPr>
          <w:rFonts w:cstheme="minorHAnsi"/>
          <w:sz w:val="22"/>
          <w:szCs w:val="22"/>
        </w:rPr>
        <w:t xml:space="preserve">ervices during the first </w:t>
      </w:r>
      <w:r>
        <w:rPr>
          <w:rFonts w:cstheme="minorHAnsi"/>
          <w:iCs/>
          <w:sz w:val="22"/>
          <w:szCs w:val="22"/>
        </w:rPr>
        <w:t xml:space="preserve">post-implementation period </w:t>
      </w:r>
      <w:r>
        <w:rPr>
          <w:rFonts w:cstheme="minorHAnsi"/>
          <w:sz w:val="22"/>
          <w:szCs w:val="22"/>
        </w:rPr>
        <w:t xml:space="preserve">increased </w:t>
      </w:r>
      <w:r w:rsidRPr="008E4372">
        <w:rPr>
          <w:rFonts w:cstheme="minorHAnsi"/>
          <w:sz w:val="22"/>
          <w:szCs w:val="22"/>
        </w:rPr>
        <w:t xml:space="preserve">and </w:t>
      </w:r>
      <w:r>
        <w:rPr>
          <w:rFonts w:cstheme="minorHAnsi"/>
          <w:sz w:val="22"/>
          <w:szCs w:val="22"/>
        </w:rPr>
        <w:t xml:space="preserve">the domain score for </w:t>
      </w:r>
      <w:r w:rsidRPr="008E4372">
        <w:rPr>
          <w:rFonts w:cstheme="minorHAnsi"/>
          <w:sz w:val="22"/>
          <w:szCs w:val="22"/>
        </w:rPr>
        <w:t xml:space="preserve">Participation during </w:t>
      </w:r>
      <w:r>
        <w:rPr>
          <w:rFonts w:cstheme="minorHAnsi"/>
          <w:sz w:val="22"/>
          <w:szCs w:val="22"/>
        </w:rPr>
        <w:t xml:space="preserve">both </w:t>
      </w:r>
      <w:r w:rsidRPr="008E4372">
        <w:rPr>
          <w:rFonts w:cstheme="minorHAnsi"/>
          <w:sz w:val="22"/>
          <w:szCs w:val="22"/>
        </w:rPr>
        <w:t xml:space="preserve">the first and second </w:t>
      </w:r>
      <w:r>
        <w:rPr>
          <w:rFonts w:cstheme="minorHAnsi"/>
          <w:iCs/>
          <w:sz w:val="22"/>
          <w:szCs w:val="22"/>
        </w:rPr>
        <w:t>post-implementation periods</w:t>
      </w:r>
      <w:r>
        <w:rPr>
          <w:rFonts w:cstheme="minorHAnsi"/>
          <w:sz w:val="22"/>
          <w:szCs w:val="22"/>
        </w:rPr>
        <w:t xml:space="preserve">. Service users identifying as Black/African American had increased domain and satisfaction scores on Access to Services in both </w:t>
      </w:r>
      <w:r>
        <w:rPr>
          <w:rFonts w:cstheme="minorHAnsi"/>
          <w:iCs/>
          <w:sz w:val="22"/>
          <w:szCs w:val="22"/>
        </w:rPr>
        <w:t xml:space="preserve">post-implementation </w:t>
      </w:r>
      <w:r>
        <w:rPr>
          <w:rFonts w:cstheme="minorHAnsi"/>
          <w:sz w:val="22"/>
          <w:szCs w:val="22"/>
        </w:rPr>
        <w:t xml:space="preserve">periods, increased scores for General Satisfaction in the second period, and an increase in the satisfaction score for Quality in the second </w:t>
      </w:r>
      <w:r>
        <w:rPr>
          <w:rFonts w:cstheme="minorHAnsi"/>
          <w:iCs/>
          <w:sz w:val="22"/>
          <w:szCs w:val="22"/>
        </w:rPr>
        <w:t xml:space="preserve">post-implementation </w:t>
      </w:r>
      <w:r>
        <w:rPr>
          <w:rFonts w:cstheme="minorHAnsi"/>
          <w:sz w:val="22"/>
          <w:szCs w:val="22"/>
        </w:rPr>
        <w:t xml:space="preserve">period. Overall, Black/African American service users had some of the largest score changes but also had some of the lowest initial (pre-CCBHC) scores. American Indian/Alaskan Native service users had increases in their satisfaction score for Participation in the first </w:t>
      </w:r>
      <w:r>
        <w:rPr>
          <w:rFonts w:cstheme="minorHAnsi"/>
          <w:iCs/>
          <w:sz w:val="22"/>
          <w:szCs w:val="22"/>
        </w:rPr>
        <w:t xml:space="preserve">post-implementation </w:t>
      </w:r>
      <w:r>
        <w:rPr>
          <w:rFonts w:cstheme="minorHAnsi"/>
          <w:sz w:val="22"/>
          <w:szCs w:val="22"/>
        </w:rPr>
        <w:t xml:space="preserve">period, and service users in the All Other Race/Ethnicity category had increased satisfaction scores for Treatment Outcome. </w:t>
      </w:r>
    </w:p>
    <w:p w14:paraId="145E7FAD" w14:textId="77777777" w:rsidR="00F3244E" w:rsidRDefault="00F3244E" w:rsidP="007E3335">
      <w:pPr>
        <w:rPr>
          <w:rFonts w:cstheme="minorHAnsi"/>
          <w:sz w:val="22"/>
          <w:szCs w:val="22"/>
        </w:rPr>
      </w:pPr>
    </w:p>
    <w:p w14:paraId="4A20E2FA" w14:textId="3A6359C8" w:rsidR="007E3335" w:rsidRDefault="007E3335" w:rsidP="00974ABB">
      <w:pPr>
        <w:pStyle w:val="Caption"/>
        <w:keepNext/>
        <w:spacing w:after="0"/>
        <w:jc w:val="center"/>
        <w:rPr>
          <w:b/>
          <w:bCs/>
          <w:i w:val="0"/>
          <w:iCs w:val="0"/>
          <w:color w:val="6A7F0F"/>
          <w:sz w:val="22"/>
          <w:szCs w:val="22"/>
        </w:rPr>
      </w:pPr>
      <w:bookmarkStart w:id="38" w:name="_Toc125504952"/>
      <w:r w:rsidRPr="00974ABB">
        <w:rPr>
          <w:b/>
          <w:bCs/>
          <w:i w:val="0"/>
          <w:iCs w:val="0"/>
          <w:color w:val="6A7F0F"/>
          <w:sz w:val="22"/>
          <w:szCs w:val="22"/>
        </w:rPr>
        <w:t xml:space="preserve">Figure </w:t>
      </w:r>
      <w:r w:rsidRPr="00974ABB">
        <w:rPr>
          <w:b/>
          <w:bCs/>
          <w:i w:val="0"/>
          <w:iCs w:val="0"/>
          <w:color w:val="6A7F0F"/>
          <w:sz w:val="22"/>
          <w:szCs w:val="22"/>
        </w:rPr>
        <w:fldChar w:fldCharType="begin"/>
      </w:r>
      <w:r w:rsidRPr="00974ABB">
        <w:rPr>
          <w:b/>
          <w:bCs/>
          <w:i w:val="0"/>
          <w:iCs w:val="0"/>
          <w:color w:val="6A7F0F"/>
          <w:sz w:val="22"/>
          <w:szCs w:val="22"/>
        </w:rPr>
        <w:instrText xml:space="preserve"> SEQ Figure \* ARABIC </w:instrText>
      </w:r>
      <w:r w:rsidRPr="00974ABB">
        <w:rPr>
          <w:b/>
          <w:bCs/>
          <w:i w:val="0"/>
          <w:iCs w:val="0"/>
          <w:color w:val="6A7F0F"/>
          <w:sz w:val="22"/>
          <w:szCs w:val="22"/>
        </w:rPr>
        <w:fldChar w:fldCharType="separate"/>
      </w:r>
      <w:r w:rsidR="00DA018F">
        <w:rPr>
          <w:b/>
          <w:bCs/>
          <w:i w:val="0"/>
          <w:iCs w:val="0"/>
          <w:noProof/>
          <w:color w:val="6A7F0F"/>
          <w:sz w:val="22"/>
          <w:szCs w:val="22"/>
        </w:rPr>
        <w:t>7</w:t>
      </w:r>
      <w:r w:rsidRPr="00974ABB">
        <w:rPr>
          <w:b/>
          <w:bCs/>
          <w:i w:val="0"/>
          <w:iCs w:val="0"/>
          <w:color w:val="6A7F0F"/>
          <w:sz w:val="22"/>
          <w:szCs w:val="22"/>
        </w:rPr>
        <w:fldChar w:fldCharType="end"/>
      </w:r>
      <w:r w:rsidRPr="00974ABB">
        <w:rPr>
          <w:b/>
          <w:bCs/>
          <w:i w:val="0"/>
          <w:iCs w:val="0"/>
          <w:color w:val="6A7F0F"/>
          <w:sz w:val="22"/>
          <w:szCs w:val="22"/>
        </w:rPr>
        <w:t xml:space="preserve">: Change in MHSIP Survey Domains and Satisfaction for CCBHC OHP Members: </w:t>
      </w:r>
      <w:r w:rsidRPr="00974ABB">
        <w:rPr>
          <w:b/>
          <w:bCs/>
          <w:i w:val="0"/>
          <w:iCs w:val="0"/>
          <w:color w:val="6A7F0F"/>
          <w:sz w:val="22"/>
          <w:szCs w:val="22"/>
        </w:rPr>
        <w:br/>
        <w:t xml:space="preserve">Adult and Children </w:t>
      </w:r>
      <w:r w:rsidR="00517AAA" w:rsidRPr="00974ABB">
        <w:rPr>
          <w:b/>
          <w:bCs/>
          <w:i w:val="0"/>
          <w:iCs w:val="0"/>
          <w:color w:val="6A7F0F"/>
          <w:sz w:val="22"/>
          <w:szCs w:val="22"/>
        </w:rPr>
        <w:t>and</w:t>
      </w:r>
      <w:r w:rsidRPr="00974ABB">
        <w:rPr>
          <w:b/>
          <w:bCs/>
          <w:i w:val="0"/>
          <w:iCs w:val="0"/>
          <w:color w:val="6A7F0F"/>
          <w:sz w:val="22"/>
          <w:szCs w:val="22"/>
        </w:rPr>
        <w:t xml:space="preserve"> Youth Outpatient and Residential Services</w:t>
      </w:r>
      <w:bookmarkEnd w:id="38"/>
    </w:p>
    <w:p w14:paraId="2AFE4C0D" w14:textId="77777777" w:rsidR="00974ABB" w:rsidRPr="00974ABB" w:rsidRDefault="00974ABB" w:rsidP="00974ABB"/>
    <w:p w14:paraId="6AB07380" w14:textId="77777777" w:rsidR="007E3335" w:rsidRPr="008E4372" w:rsidRDefault="007E3335" w:rsidP="007E3335">
      <w:pPr>
        <w:jc w:val="center"/>
        <w:rPr>
          <w:rFonts w:cstheme="minorHAnsi"/>
          <w:sz w:val="22"/>
          <w:szCs w:val="22"/>
        </w:rPr>
      </w:pPr>
      <w:r>
        <w:rPr>
          <w:noProof/>
        </w:rPr>
        <w:drawing>
          <wp:inline distT="0" distB="0" distL="0" distR="0" wp14:anchorId="196B50D4" wp14:editId="4508A736">
            <wp:extent cx="5943600" cy="4912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912360"/>
                    </a:xfrm>
                    <a:prstGeom prst="rect">
                      <a:avLst/>
                    </a:prstGeom>
                  </pic:spPr>
                </pic:pic>
              </a:graphicData>
            </a:graphic>
          </wp:inline>
        </w:drawing>
      </w:r>
    </w:p>
    <w:p w14:paraId="0E4BD7CF" w14:textId="77777777" w:rsidR="007E3335" w:rsidRPr="005D5939" w:rsidRDefault="007E3335" w:rsidP="007E3335">
      <w:pPr>
        <w:jc w:val="center"/>
        <w:rPr>
          <w:rFonts w:cstheme="minorHAnsi"/>
          <w:sz w:val="20"/>
          <w:szCs w:val="20"/>
        </w:rPr>
      </w:pPr>
      <w:r w:rsidRPr="005D5939">
        <w:rPr>
          <w:rFonts w:cstheme="minorHAnsi"/>
          <w:sz w:val="20"/>
          <w:szCs w:val="20"/>
        </w:rPr>
        <w:t>* = statistical significance at p&lt;.05</w:t>
      </w:r>
    </w:p>
    <w:p w14:paraId="0EA2DFAB" w14:textId="77777777" w:rsidR="007E3335" w:rsidRDefault="007E3335" w:rsidP="007E3335">
      <w:pPr>
        <w:rPr>
          <w:rFonts w:cstheme="minorHAnsi"/>
          <w:sz w:val="22"/>
          <w:szCs w:val="22"/>
        </w:rPr>
      </w:pPr>
    </w:p>
    <w:p w14:paraId="51059705" w14:textId="77777777" w:rsidR="00EC2C55" w:rsidRPr="008E4372" w:rsidRDefault="00EC2C55" w:rsidP="00EC2C55">
      <w:pPr>
        <w:rPr>
          <w:rFonts w:cstheme="minorHAnsi"/>
          <w:sz w:val="22"/>
          <w:szCs w:val="22"/>
        </w:rPr>
      </w:pPr>
      <w:r>
        <w:rPr>
          <w:rFonts w:cstheme="minorHAnsi"/>
          <w:sz w:val="22"/>
          <w:szCs w:val="22"/>
        </w:rPr>
        <w:t xml:space="preserve">Among children and youth, there were identifiable increases in several domains. </w:t>
      </w:r>
      <w:r w:rsidRPr="008E4372">
        <w:rPr>
          <w:rFonts w:cstheme="minorHAnsi"/>
          <w:sz w:val="22"/>
          <w:szCs w:val="22"/>
        </w:rPr>
        <w:t>Among survey respondents for child and youth outpatient and residential services, overall domain scores increased for domain</w:t>
      </w:r>
      <w:r>
        <w:rPr>
          <w:rFonts w:cstheme="minorHAnsi"/>
          <w:sz w:val="22"/>
          <w:szCs w:val="22"/>
        </w:rPr>
        <w:t xml:space="preserve"> and satisfaction scores for </w:t>
      </w:r>
      <w:r w:rsidRPr="008E4372">
        <w:rPr>
          <w:rFonts w:cstheme="minorHAnsi"/>
          <w:sz w:val="22"/>
          <w:szCs w:val="22"/>
        </w:rPr>
        <w:t xml:space="preserve">Daily Functioning, Treatment Outcomes, and Participation for the second </w:t>
      </w:r>
      <w:r>
        <w:rPr>
          <w:rFonts w:cstheme="minorHAnsi"/>
          <w:iCs/>
          <w:sz w:val="22"/>
          <w:szCs w:val="22"/>
        </w:rPr>
        <w:t xml:space="preserve">post-implementation </w:t>
      </w:r>
      <w:r w:rsidRPr="008E4372">
        <w:rPr>
          <w:rFonts w:cstheme="minorHAnsi"/>
          <w:sz w:val="22"/>
          <w:szCs w:val="22"/>
        </w:rPr>
        <w:t>period</w:t>
      </w:r>
      <w:r>
        <w:rPr>
          <w:rFonts w:cstheme="minorHAnsi"/>
          <w:sz w:val="22"/>
          <w:szCs w:val="22"/>
        </w:rPr>
        <w:t>.</w:t>
      </w:r>
      <w:r w:rsidRPr="008E4372">
        <w:rPr>
          <w:rFonts w:cstheme="minorHAnsi"/>
          <w:sz w:val="22"/>
          <w:szCs w:val="22"/>
        </w:rPr>
        <w:t xml:space="preserve"> </w:t>
      </w:r>
      <w:r>
        <w:rPr>
          <w:rFonts w:cstheme="minorHAnsi"/>
          <w:sz w:val="22"/>
          <w:szCs w:val="22"/>
        </w:rPr>
        <w:t>S</w:t>
      </w:r>
      <w:r w:rsidRPr="008E4372">
        <w:rPr>
          <w:rFonts w:cstheme="minorHAnsi"/>
          <w:sz w:val="22"/>
          <w:szCs w:val="22"/>
        </w:rPr>
        <w:t>atisfaction</w:t>
      </w:r>
      <w:r>
        <w:rPr>
          <w:rFonts w:cstheme="minorHAnsi"/>
          <w:sz w:val="22"/>
          <w:szCs w:val="22"/>
        </w:rPr>
        <w:t xml:space="preserve"> scores for</w:t>
      </w:r>
      <w:r w:rsidRPr="008E4372">
        <w:rPr>
          <w:rFonts w:cstheme="minorHAnsi"/>
          <w:sz w:val="22"/>
          <w:szCs w:val="22"/>
        </w:rPr>
        <w:t xml:space="preserve"> Appropriateness also increased for the first and second </w:t>
      </w:r>
      <w:r>
        <w:rPr>
          <w:rFonts w:cstheme="minorHAnsi"/>
          <w:iCs/>
          <w:sz w:val="22"/>
          <w:szCs w:val="22"/>
        </w:rPr>
        <w:t xml:space="preserve">post-implementation </w:t>
      </w:r>
      <w:r w:rsidRPr="008E4372">
        <w:rPr>
          <w:rFonts w:cstheme="minorHAnsi"/>
          <w:sz w:val="22"/>
          <w:szCs w:val="22"/>
        </w:rPr>
        <w:t xml:space="preserve">periods. For </w:t>
      </w:r>
      <w:r>
        <w:rPr>
          <w:rFonts w:cstheme="minorHAnsi"/>
          <w:sz w:val="22"/>
          <w:szCs w:val="22"/>
        </w:rPr>
        <w:t>children and youth</w:t>
      </w:r>
      <w:r w:rsidRPr="008E4372">
        <w:rPr>
          <w:rFonts w:cstheme="minorHAnsi"/>
          <w:sz w:val="22"/>
          <w:szCs w:val="22"/>
        </w:rPr>
        <w:t>, more</w:t>
      </w:r>
      <w:r>
        <w:rPr>
          <w:rFonts w:cstheme="minorHAnsi"/>
          <w:sz w:val="22"/>
          <w:szCs w:val="22"/>
        </w:rPr>
        <w:t xml:space="preserve"> domain and satisfaction</w:t>
      </w:r>
      <w:r w:rsidRPr="008E4372">
        <w:rPr>
          <w:rFonts w:cstheme="minorHAnsi"/>
          <w:sz w:val="22"/>
          <w:szCs w:val="22"/>
        </w:rPr>
        <w:t xml:space="preserve"> score increases were realized for those patients living in urban areas.</w:t>
      </w:r>
      <w:r>
        <w:rPr>
          <w:rFonts w:cstheme="minorHAnsi"/>
          <w:sz w:val="22"/>
          <w:szCs w:val="22"/>
        </w:rPr>
        <w:t xml:space="preserve"> Urban residents had increases in domain scores in the second </w:t>
      </w:r>
      <w:r>
        <w:rPr>
          <w:rFonts w:cstheme="minorHAnsi"/>
          <w:iCs/>
          <w:sz w:val="22"/>
          <w:szCs w:val="22"/>
        </w:rPr>
        <w:t xml:space="preserve">post-implementation </w:t>
      </w:r>
      <w:r>
        <w:rPr>
          <w:rFonts w:cstheme="minorHAnsi"/>
          <w:sz w:val="22"/>
          <w:szCs w:val="22"/>
        </w:rPr>
        <w:t>period</w:t>
      </w:r>
      <w:r w:rsidRPr="008E4372">
        <w:rPr>
          <w:rFonts w:cstheme="minorHAnsi"/>
          <w:sz w:val="22"/>
          <w:szCs w:val="22"/>
        </w:rPr>
        <w:t xml:space="preserve"> </w:t>
      </w:r>
      <w:r>
        <w:rPr>
          <w:rFonts w:cstheme="minorHAnsi"/>
          <w:sz w:val="22"/>
          <w:szCs w:val="22"/>
        </w:rPr>
        <w:t xml:space="preserve">related to Appropriateness, Daily Functioning, Treatment Outcomes and Participation. Satisfaction scores for Access in the first </w:t>
      </w:r>
      <w:r>
        <w:rPr>
          <w:rFonts w:cstheme="minorHAnsi"/>
          <w:iCs/>
          <w:sz w:val="22"/>
          <w:szCs w:val="22"/>
        </w:rPr>
        <w:t xml:space="preserve">post-implementation </w:t>
      </w:r>
      <w:r>
        <w:rPr>
          <w:rFonts w:cstheme="minorHAnsi"/>
          <w:sz w:val="22"/>
          <w:szCs w:val="22"/>
        </w:rPr>
        <w:t xml:space="preserve">period, Social Connectedness in the second </w:t>
      </w:r>
      <w:r>
        <w:rPr>
          <w:rFonts w:cstheme="minorHAnsi"/>
          <w:iCs/>
          <w:sz w:val="22"/>
          <w:szCs w:val="22"/>
        </w:rPr>
        <w:t xml:space="preserve">post-implementation </w:t>
      </w:r>
      <w:r>
        <w:rPr>
          <w:rFonts w:cstheme="minorHAnsi"/>
          <w:sz w:val="22"/>
          <w:szCs w:val="22"/>
        </w:rPr>
        <w:t xml:space="preserve">period and Appropriateness in both </w:t>
      </w:r>
      <w:r>
        <w:rPr>
          <w:rFonts w:cstheme="minorHAnsi"/>
          <w:iCs/>
          <w:sz w:val="22"/>
          <w:szCs w:val="22"/>
        </w:rPr>
        <w:t xml:space="preserve">post-implementation </w:t>
      </w:r>
      <w:r>
        <w:rPr>
          <w:rFonts w:cstheme="minorHAnsi"/>
          <w:sz w:val="22"/>
          <w:szCs w:val="22"/>
        </w:rPr>
        <w:t>periods also increased. For rural or remote residents, o</w:t>
      </w:r>
      <w:r w:rsidRPr="008E4372">
        <w:rPr>
          <w:rFonts w:cstheme="minorHAnsi"/>
          <w:sz w:val="22"/>
          <w:szCs w:val="22"/>
        </w:rPr>
        <w:t>nly satisfaction</w:t>
      </w:r>
      <w:r>
        <w:rPr>
          <w:rFonts w:cstheme="minorHAnsi"/>
          <w:sz w:val="22"/>
          <w:szCs w:val="22"/>
        </w:rPr>
        <w:t xml:space="preserve"> scores for</w:t>
      </w:r>
      <w:r w:rsidRPr="008E4372">
        <w:rPr>
          <w:rFonts w:cstheme="minorHAnsi"/>
          <w:sz w:val="22"/>
          <w:szCs w:val="22"/>
        </w:rPr>
        <w:t xml:space="preserve"> Daily Functioning and Treatment Outcomes during the </w:t>
      </w:r>
      <w:r>
        <w:rPr>
          <w:rFonts w:cstheme="minorHAnsi"/>
          <w:iCs/>
          <w:sz w:val="22"/>
          <w:szCs w:val="22"/>
        </w:rPr>
        <w:t xml:space="preserve">post-implementation </w:t>
      </w:r>
      <w:r w:rsidRPr="008E4372">
        <w:rPr>
          <w:rFonts w:cstheme="minorHAnsi"/>
          <w:sz w:val="22"/>
          <w:szCs w:val="22"/>
        </w:rPr>
        <w:t>period increased</w:t>
      </w:r>
      <w:r>
        <w:rPr>
          <w:rFonts w:cstheme="minorHAnsi"/>
          <w:sz w:val="22"/>
          <w:szCs w:val="22"/>
        </w:rPr>
        <w:t>.</w:t>
      </w:r>
      <w:r w:rsidRPr="008E4372">
        <w:rPr>
          <w:rFonts w:cstheme="minorHAnsi"/>
          <w:sz w:val="22"/>
          <w:szCs w:val="22"/>
        </w:rPr>
        <w:t xml:space="preserve"> </w:t>
      </w:r>
      <w:r>
        <w:rPr>
          <w:rFonts w:cstheme="minorHAnsi"/>
          <w:sz w:val="22"/>
          <w:szCs w:val="22"/>
        </w:rPr>
        <w:t xml:space="preserve"> </w:t>
      </w:r>
    </w:p>
    <w:p w14:paraId="5E7F867D" w14:textId="77777777" w:rsidR="00EC2C55" w:rsidRDefault="00EC2C55" w:rsidP="00EC2C55">
      <w:pPr>
        <w:rPr>
          <w:rFonts w:cstheme="minorHAnsi"/>
          <w:sz w:val="22"/>
          <w:szCs w:val="22"/>
        </w:rPr>
      </w:pPr>
    </w:p>
    <w:p w14:paraId="3C4A4827" w14:textId="7DE74D8A" w:rsidR="007E3335" w:rsidRPr="008E4372" w:rsidRDefault="007E3335" w:rsidP="007E3335">
      <w:pPr>
        <w:rPr>
          <w:rFonts w:cstheme="minorHAnsi"/>
          <w:sz w:val="22"/>
          <w:szCs w:val="22"/>
        </w:rPr>
      </w:pPr>
      <w:r>
        <w:rPr>
          <w:rFonts w:cstheme="minorHAnsi"/>
          <w:sz w:val="22"/>
          <w:szCs w:val="22"/>
        </w:rPr>
        <w:t>Black/African American c</w:t>
      </w:r>
      <w:r w:rsidRPr="008E4372">
        <w:rPr>
          <w:rFonts w:cstheme="minorHAnsi"/>
          <w:sz w:val="22"/>
          <w:szCs w:val="22"/>
        </w:rPr>
        <w:t xml:space="preserve">hild and youth </w:t>
      </w:r>
      <w:r>
        <w:rPr>
          <w:rFonts w:cstheme="minorHAnsi"/>
          <w:sz w:val="22"/>
          <w:szCs w:val="22"/>
        </w:rPr>
        <w:t xml:space="preserve">respondents had </w:t>
      </w:r>
      <w:r w:rsidRPr="008E4372">
        <w:rPr>
          <w:rFonts w:cstheme="minorHAnsi"/>
          <w:sz w:val="22"/>
          <w:szCs w:val="22"/>
        </w:rPr>
        <w:t>improvements in</w:t>
      </w:r>
      <w:r>
        <w:rPr>
          <w:rFonts w:cstheme="minorHAnsi"/>
          <w:sz w:val="22"/>
          <w:szCs w:val="22"/>
        </w:rPr>
        <w:t xml:space="preserve"> domain and satisfaction scores for</w:t>
      </w:r>
      <w:r w:rsidRPr="008E4372">
        <w:rPr>
          <w:rFonts w:cstheme="minorHAnsi"/>
          <w:sz w:val="22"/>
          <w:szCs w:val="22"/>
        </w:rPr>
        <w:t xml:space="preserve"> Daily Functioning, Tr</w:t>
      </w:r>
      <w:r>
        <w:rPr>
          <w:rFonts w:cstheme="minorHAnsi"/>
          <w:sz w:val="22"/>
          <w:szCs w:val="22"/>
        </w:rPr>
        <w:t>e</w:t>
      </w:r>
      <w:r w:rsidRPr="008E4372">
        <w:rPr>
          <w:rFonts w:cstheme="minorHAnsi"/>
          <w:sz w:val="22"/>
          <w:szCs w:val="22"/>
        </w:rPr>
        <w:t xml:space="preserve">atment Outcomes, and Participation during both the first and second </w:t>
      </w:r>
      <w:r>
        <w:rPr>
          <w:rFonts w:cstheme="minorHAnsi"/>
          <w:iCs/>
          <w:sz w:val="22"/>
          <w:szCs w:val="22"/>
        </w:rPr>
        <w:t xml:space="preserve">post-implementation </w:t>
      </w:r>
      <w:r w:rsidRPr="008E4372">
        <w:rPr>
          <w:rFonts w:cstheme="minorHAnsi"/>
          <w:sz w:val="22"/>
          <w:szCs w:val="22"/>
        </w:rPr>
        <w:t>periods</w:t>
      </w:r>
      <w:r>
        <w:rPr>
          <w:rFonts w:cstheme="minorHAnsi"/>
          <w:sz w:val="22"/>
          <w:szCs w:val="22"/>
        </w:rPr>
        <w:t>;</w:t>
      </w:r>
      <w:r w:rsidRPr="008E4372">
        <w:rPr>
          <w:rFonts w:cstheme="minorHAnsi"/>
          <w:sz w:val="22"/>
          <w:szCs w:val="22"/>
        </w:rPr>
        <w:t xml:space="preserve"> </w:t>
      </w:r>
      <w:r>
        <w:rPr>
          <w:rFonts w:cstheme="minorHAnsi"/>
          <w:sz w:val="22"/>
          <w:szCs w:val="22"/>
        </w:rPr>
        <w:t xml:space="preserve">domain scores for Appropriateness in both </w:t>
      </w:r>
      <w:r>
        <w:rPr>
          <w:rFonts w:cstheme="minorHAnsi"/>
          <w:iCs/>
          <w:sz w:val="22"/>
          <w:szCs w:val="22"/>
        </w:rPr>
        <w:t xml:space="preserve">post-implementation </w:t>
      </w:r>
      <w:r>
        <w:rPr>
          <w:rFonts w:cstheme="minorHAnsi"/>
          <w:sz w:val="22"/>
          <w:szCs w:val="22"/>
        </w:rPr>
        <w:t xml:space="preserve">periods and satisfaction in the second </w:t>
      </w:r>
      <w:r>
        <w:rPr>
          <w:rFonts w:cstheme="minorHAnsi"/>
          <w:iCs/>
          <w:sz w:val="22"/>
          <w:szCs w:val="22"/>
        </w:rPr>
        <w:t xml:space="preserve">post-implementation </w:t>
      </w:r>
      <w:r>
        <w:rPr>
          <w:rFonts w:cstheme="minorHAnsi"/>
          <w:sz w:val="22"/>
          <w:szCs w:val="22"/>
        </w:rPr>
        <w:t xml:space="preserve">period; and the </w:t>
      </w:r>
      <w:r w:rsidRPr="008E4372">
        <w:rPr>
          <w:rFonts w:cstheme="minorHAnsi"/>
          <w:sz w:val="22"/>
          <w:szCs w:val="22"/>
        </w:rPr>
        <w:t xml:space="preserve">Cultural Sensitivity </w:t>
      </w:r>
      <w:r>
        <w:rPr>
          <w:rFonts w:cstheme="minorHAnsi"/>
          <w:sz w:val="22"/>
          <w:szCs w:val="22"/>
        </w:rPr>
        <w:t xml:space="preserve">domain </w:t>
      </w:r>
      <w:r w:rsidRPr="008E4372">
        <w:rPr>
          <w:rFonts w:cstheme="minorHAnsi"/>
          <w:sz w:val="22"/>
          <w:szCs w:val="22"/>
        </w:rPr>
        <w:t>scor</w:t>
      </w:r>
      <w:r>
        <w:rPr>
          <w:rFonts w:cstheme="minorHAnsi"/>
          <w:sz w:val="22"/>
          <w:szCs w:val="22"/>
        </w:rPr>
        <w:t>e</w:t>
      </w:r>
      <w:r w:rsidRPr="008E4372">
        <w:rPr>
          <w:rFonts w:cstheme="minorHAnsi"/>
          <w:sz w:val="22"/>
          <w:szCs w:val="22"/>
        </w:rPr>
        <w:t xml:space="preserve"> during the second </w:t>
      </w:r>
      <w:r>
        <w:rPr>
          <w:rFonts w:cstheme="minorHAnsi"/>
          <w:iCs/>
          <w:sz w:val="22"/>
          <w:szCs w:val="22"/>
        </w:rPr>
        <w:t xml:space="preserve">post-implementation </w:t>
      </w:r>
      <w:r w:rsidRPr="008E4372">
        <w:rPr>
          <w:rFonts w:cstheme="minorHAnsi"/>
          <w:sz w:val="22"/>
          <w:szCs w:val="22"/>
        </w:rPr>
        <w:t>period.</w:t>
      </w:r>
      <w:r>
        <w:rPr>
          <w:rFonts w:cstheme="minorHAnsi"/>
          <w:sz w:val="22"/>
          <w:szCs w:val="22"/>
        </w:rPr>
        <w:t xml:space="preserve"> American Indian/Alaskan Native</w:t>
      </w:r>
      <w:r w:rsidRPr="008E4372">
        <w:rPr>
          <w:rFonts w:cstheme="minorHAnsi"/>
          <w:sz w:val="22"/>
          <w:szCs w:val="22"/>
        </w:rPr>
        <w:t xml:space="preserve"> </w:t>
      </w:r>
      <w:r>
        <w:rPr>
          <w:rFonts w:cstheme="minorHAnsi"/>
          <w:sz w:val="22"/>
          <w:szCs w:val="22"/>
        </w:rPr>
        <w:t xml:space="preserve">and All Other Race/Ethnicity </w:t>
      </w:r>
      <w:r w:rsidRPr="008E4372">
        <w:rPr>
          <w:rFonts w:cstheme="minorHAnsi"/>
          <w:sz w:val="22"/>
          <w:szCs w:val="22"/>
        </w:rPr>
        <w:t>re</w:t>
      </w:r>
      <w:r>
        <w:rPr>
          <w:rFonts w:cstheme="minorHAnsi"/>
          <w:sz w:val="22"/>
          <w:szCs w:val="22"/>
        </w:rPr>
        <w:t>s</w:t>
      </w:r>
      <w:r w:rsidRPr="008E4372">
        <w:rPr>
          <w:rFonts w:cstheme="minorHAnsi"/>
          <w:sz w:val="22"/>
          <w:szCs w:val="22"/>
        </w:rPr>
        <w:t>pondents reported improved</w:t>
      </w:r>
      <w:r>
        <w:rPr>
          <w:rFonts w:cstheme="minorHAnsi"/>
          <w:sz w:val="22"/>
          <w:szCs w:val="22"/>
        </w:rPr>
        <w:t xml:space="preserve"> domain scores in</w:t>
      </w:r>
      <w:r w:rsidRPr="008E4372">
        <w:rPr>
          <w:rFonts w:cstheme="minorHAnsi"/>
          <w:sz w:val="22"/>
          <w:szCs w:val="22"/>
        </w:rPr>
        <w:t xml:space="preserve"> </w:t>
      </w:r>
      <w:r>
        <w:rPr>
          <w:rFonts w:cstheme="minorHAnsi"/>
          <w:sz w:val="22"/>
          <w:szCs w:val="22"/>
        </w:rPr>
        <w:t>C</w:t>
      </w:r>
      <w:r w:rsidRPr="008E4372">
        <w:rPr>
          <w:rFonts w:cstheme="minorHAnsi"/>
          <w:sz w:val="22"/>
          <w:szCs w:val="22"/>
        </w:rPr>
        <w:t xml:space="preserve">ultural </w:t>
      </w:r>
      <w:r>
        <w:rPr>
          <w:rFonts w:cstheme="minorHAnsi"/>
          <w:sz w:val="22"/>
          <w:szCs w:val="22"/>
        </w:rPr>
        <w:t>S</w:t>
      </w:r>
      <w:r w:rsidRPr="008E4372">
        <w:rPr>
          <w:rFonts w:cstheme="minorHAnsi"/>
          <w:sz w:val="22"/>
          <w:szCs w:val="22"/>
        </w:rPr>
        <w:t>ensitivity</w:t>
      </w:r>
      <w:r>
        <w:rPr>
          <w:rFonts w:cstheme="minorHAnsi"/>
          <w:sz w:val="22"/>
          <w:szCs w:val="22"/>
        </w:rPr>
        <w:t xml:space="preserve"> during the first </w:t>
      </w:r>
      <w:r>
        <w:rPr>
          <w:rFonts w:cstheme="minorHAnsi"/>
          <w:iCs/>
          <w:sz w:val="22"/>
          <w:szCs w:val="22"/>
        </w:rPr>
        <w:t xml:space="preserve">post-implementation </w:t>
      </w:r>
      <w:r>
        <w:rPr>
          <w:rFonts w:cstheme="minorHAnsi"/>
          <w:sz w:val="22"/>
          <w:szCs w:val="22"/>
        </w:rPr>
        <w:t xml:space="preserve">period, while Hispanic/Latino/a/x and White respondents had increased satisfaction scores for Appropriateness in the second </w:t>
      </w:r>
      <w:r>
        <w:rPr>
          <w:rFonts w:cstheme="minorHAnsi"/>
          <w:iCs/>
          <w:sz w:val="22"/>
          <w:szCs w:val="22"/>
        </w:rPr>
        <w:t xml:space="preserve">post-implementation </w:t>
      </w:r>
      <w:r>
        <w:rPr>
          <w:rFonts w:cstheme="minorHAnsi"/>
          <w:sz w:val="22"/>
          <w:szCs w:val="22"/>
        </w:rPr>
        <w:t xml:space="preserve">period. White respondents also had increased satisfaction scores for Daily Functioning and Treatment Outcomes. </w:t>
      </w:r>
      <w:bookmarkStart w:id="39" w:name="_Hlk125038450"/>
      <w:r w:rsidRPr="008E4372">
        <w:rPr>
          <w:rFonts w:cstheme="minorHAnsi"/>
          <w:sz w:val="22"/>
          <w:szCs w:val="22"/>
        </w:rPr>
        <w:t>Hispanic/</w:t>
      </w:r>
      <w:r w:rsidR="00CA1C6F">
        <w:rPr>
          <w:rFonts w:cstheme="minorHAnsi"/>
          <w:sz w:val="22"/>
          <w:szCs w:val="22"/>
        </w:rPr>
        <w:t xml:space="preserve"> </w:t>
      </w:r>
      <w:r w:rsidRPr="008E4372">
        <w:rPr>
          <w:rFonts w:cstheme="minorHAnsi"/>
          <w:sz w:val="22"/>
          <w:szCs w:val="22"/>
        </w:rPr>
        <w:t>Latin</w:t>
      </w:r>
      <w:r>
        <w:rPr>
          <w:rFonts w:cstheme="minorHAnsi"/>
          <w:sz w:val="22"/>
          <w:szCs w:val="22"/>
        </w:rPr>
        <w:t>o/a/x</w:t>
      </w:r>
      <w:r w:rsidRPr="008E4372">
        <w:rPr>
          <w:rFonts w:cstheme="minorHAnsi"/>
          <w:sz w:val="22"/>
          <w:szCs w:val="22"/>
        </w:rPr>
        <w:t xml:space="preserve"> </w:t>
      </w:r>
      <w:bookmarkEnd w:id="39"/>
      <w:r w:rsidRPr="008E4372">
        <w:rPr>
          <w:rFonts w:cstheme="minorHAnsi"/>
          <w:sz w:val="22"/>
          <w:szCs w:val="22"/>
        </w:rPr>
        <w:t xml:space="preserve">and White respondents also reported increased satisfaction with the Appropriateness of services during the second </w:t>
      </w:r>
      <w:r>
        <w:rPr>
          <w:rFonts w:cstheme="minorHAnsi"/>
          <w:iCs/>
          <w:sz w:val="22"/>
          <w:szCs w:val="22"/>
        </w:rPr>
        <w:t xml:space="preserve">post-implementation </w:t>
      </w:r>
      <w:r w:rsidRPr="008E4372">
        <w:rPr>
          <w:rFonts w:cstheme="minorHAnsi"/>
          <w:sz w:val="22"/>
          <w:szCs w:val="22"/>
        </w:rPr>
        <w:t xml:space="preserve">period, and White respondents also saw increased satisfaction with Daily Functioning and Treatment Outcomes domains. Cumulatively, all races and ethnicities reported improvements in these four domains during the second </w:t>
      </w:r>
      <w:r>
        <w:rPr>
          <w:rFonts w:cstheme="minorHAnsi"/>
          <w:iCs/>
          <w:sz w:val="22"/>
          <w:szCs w:val="22"/>
        </w:rPr>
        <w:t xml:space="preserve">post-implementation </w:t>
      </w:r>
      <w:r w:rsidRPr="008E4372">
        <w:rPr>
          <w:rFonts w:cstheme="minorHAnsi"/>
          <w:sz w:val="22"/>
          <w:szCs w:val="22"/>
        </w:rPr>
        <w:t xml:space="preserve">period and, in the case of Appropriateness, during the first </w:t>
      </w:r>
      <w:r>
        <w:rPr>
          <w:rFonts w:cstheme="minorHAnsi"/>
          <w:iCs/>
          <w:sz w:val="22"/>
          <w:szCs w:val="22"/>
        </w:rPr>
        <w:t xml:space="preserve">post-implementation </w:t>
      </w:r>
      <w:r w:rsidRPr="008E4372">
        <w:rPr>
          <w:rFonts w:cstheme="minorHAnsi"/>
          <w:sz w:val="22"/>
          <w:szCs w:val="22"/>
        </w:rPr>
        <w:t>period as well. Again, it is important to note that Black/African American respondents experienc</w:t>
      </w:r>
      <w:r>
        <w:rPr>
          <w:rFonts w:cstheme="minorHAnsi"/>
          <w:sz w:val="22"/>
          <w:szCs w:val="22"/>
        </w:rPr>
        <w:t>ed</w:t>
      </w:r>
      <w:r w:rsidRPr="008E4372">
        <w:rPr>
          <w:rFonts w:cstheme="minorHAnsi"/>
          <w:sz w:val="22"/>
          <w:szCs w:val="22"/>
        </w:rPr>
        <w:t xml:space="preserve"> stronger, positive effects than other racial and ethnic groups, likely due to the severity of existing disparities among that group</w:t>
      </w:r>
      <w:r>
        <w:rPr>
          <w:rFonts w:cstheme="minorHAnsi"/>
          <w:sz w:val="22"/>
          <w:szCs w:val="22"/>
        </w:rPr>
        <w:t>.</w:t>
      </w:r>
    </w:p>
    <w:p w14:paraId="1C8BDE30" w14:textId="77777777" w:rsidR="008D0F16" w:rsidRPr="008E4372" w:rsidRDefault="008D0F16" w:rsidP="008D0F16">
      <w:pPr>
        <w:rPr>
          <w:rFonts w:cstheme="minorHAnsi"/>
          <w:sz w:val="22"/>
          <w:szCs w:val="22"/>
        </w:rPr>
      </w:pPr>
    </w:p>
    <w:p w14:paraId="3CD7A0F1" w14:textId="77777777" w:rsidR="008D0F16" w:rsidRPr="00A17C4D" w:rsidRDefault="008D0F16" w:rsidP="00A17C4D">
      <w:pPr>
        <w:spacing w:after="120"/>
        <w:rPr>
          <w:b/>
          <w:bCs/>
          <w:i/>
          <w:iCs/>
          <w:color w:val="6A7F0F"/>
          <w:highlight w:val="white"/>
        </w:rPr>
      </w:pPr>
      <w:r w:rsidRPr="00A17C4D">
        <w:rPr>
          <w:b/>
          <w:bCs/>
          <w:i/>
          <w:iCs/>
          <w:color w:val="6A7F0F"/>
          <w:highlight w:val="white"/>
        </w:rPr>
        <w:t>Changes in Inpatient, Emergency Department and Residential Treatment Facility Use</w:t>
      </w:r>
    </w:p>
    <w:p w14:paraId="7E210B9A" w14:textId="47FEAB95" w:rsidR="007E3335" w:rsidRDefault="007E3335" w:rsidP="007E3335">
      <w:pPr>
        <w:rPr>
          <w:rFonts w:cstheme="minorHAnsi"/>
          <w:sz w:val="22"/>
          <w:szCs w:val="22"/>
        </w:rPr>
      </w:pPr>
      <w:r>
        <w:rPr>
          <w:rFonts w:cstheme="minorHAnsi"/>
          <w:sz w:val="22"/>
          <w:szCs w:val="22"/>
        </w:rPr>
        <w:t xml:space="preserve">Reductions in emergency department (ED) and inpatient hospital services are generally both recognized as potential areas for cost savings that might result from improved outpatient access and treatment. They also are indirect measures of health status as reductions in these areas typically require better stabilization and management of health conditions. As the CCBHC program sought to increase behavioral health, substance use, and physical (primary care) outpatient service access, there is potential for reductions in ED and inpatient services across all three areas. Residential Treatment Facilities (RTF), focused on children and youth for behavioral health conditions and adults for substance use conditions, are intermediate providers between hospital-based inpatient and ED services. They can provide cost-effective localized residential treatment within facilities typically more integrated with community outpatient services; while they may be an effective substitute for hospital-based services, appropriate reductions in their use can also signal improved population health. </w:t>
      </w:r>
    </w:p>
    <w:p w14:paraId="749771C8" w14:textId="77777777" w:rsidR="00E30421" w:rsidRDefault="00E30421" w:rsidP="008D0F16">
      <w:pPr>
        <w:rPr>
          <w:rFonts w:cstheme="minorHAnsi"/>
          <w:sz w:val="22"/>
          <w:szCs w:val="22"/>
        </w:rPr>
      </w:pPr>
    </w:p>
    <w:p w14:paraId="2B6BDDC9" w14:textId="00D0498A" w:rsidR="008D0F16" w:rsidRDefault="007E3335" w:rsidP="008D0F16">
      <w:pPr>
        <w:rPr>
          <w:rFonts w:cstheme="minorHAnsi"/>
          <w:sz w:val="22"/>
          <w:szCs w:val="22"/>
        </w:rPr>
      </w:pPr>
      <w:r w:rsidRPr="00261B2D">
        <w:rPr>
          <w:rFonts w:cstheme="minorHAnsi"/>
          <w:color w:val="6A7F0F"/>
          <w:sz w:val="22"/>
          <w:szCs w:val="22"/>
        </w:rPr>
        <w:t xml:space="preserve">Figure 8 </w:t>
      </w:r>
      <w:r w:rsidRPr="00EC5647">
        <w:rPr>
          <w:rFonts w:cstheme="minorHAnsi"/>
          <w:sz w:val="22"/>
          <w:szCs w:val="22"/>
        </w:rPr>
        <w:t xml:space="preserve">below provides estimates of the rate of change in quarterly use and </w:t>
      </w:r>
      <w:r w:rsidRPr="00EC5647">
        <w:rPr>
          <w:sz w:val="22"/>
          <w:szCs w:val="22"/>
        </w:rPr>
        <w:t>the number of days in</w:t>
      </w:r>
      <w:r w:rsidRPr="00B323D0">
        <w:rPr>
          <w:rFonts w:cstheme="minorHAnsi"/>
          <w:sz w:val="22"/>
          <w:szCs w:val="22"/>
        </w:rPr>
        <w:t xml:space="preserve"> inpatient, ED and RTF treatment across mental health, substance use and physical health categories.</w:t>
      </w:r>
      <w:r w:rsidRPr="00C341CC">
        <w:rPr>
          <w:rFonts w:cstheme="minorHAnsi"/>
          <w:sz w:val="22"/>
          <w:szCs w:val="22"/>
        </w:rPr>
        <w:t xml:space="preserve"> </w:t>
      </w:r>
      <w:hyperlink w:anchor="Appendix6_Table_A66a" w:history="1">
        <w:r w:rsidRPr="007E3335">
          <w:rPr>
            <w:rStyle w:val="Hyperlink"/>
            <w:rFonts w:cstheme="minorHAnsi"/>
            <w:sz w:val="22"/>
            <w:szCs w:val="22"/>
          </w:rPr>
          <w:t>Tables A</w:t>
        </w:r>
        <w:r w:rsidR="0067134D">
          <w:rPr>
            <w:rStyle w:val="Hyperlink"/>
            <w:rFonts w:cstheme="minorHAnsi"/>
            <w:sz w:val="22"/>
            <w:szCs w:val="22"/>
          </w:rPr>
          <w:t>7</w:t>
        </w:r>
        <w:r w:rsidRPr="007E3335">
          <w:rPr>
            <w:rStyle w:val="Hyperlink"/>
            <w:rFonts w:cstheme="minorHAnsi"/>
            <w:sz w:val="22"/>
            <w:szCs w:val="22"/>
          </w:rPr>
          <w:t>.6a-f</w:t>
        </w:r>
      </w:hyperlink>
      <w:r w:rsidRPr="00C341CC">
        <w:rPr>
          <w:rFonts w:cstheme="minorHAnsi"/>
          <w:sz w:val="22"/>
          <w:szCs w:val="22"/>
        </w:rPr>
        <w:t xml:space="preserve"> in</w:t>
      </w:r>
      <w:r>
        <w:rPr>
          <w:rFonts w:cstheme="minorHAnsi"/>
          <w:sz w:val="22"/>
          <w:szCs w:val="22"/>
        </w:rPr>
        <w:t xml:space="preserve"> </w:t>
      </w:r>
      <w:hyperlink w:anchor="_Appendix_7:_Additional" w:history="1">
        <w:r w:rsidRPr="007E3335">
          <w:rPr>
            <w:rStyle w:val="Hyperlink"/>
            <w:rFonts w:cstheme="minorHAnsi"/>
            <w:sz w:val="22"/>
            <w:szCs w:val="22"/>
          </w:rPr>
          <w:t>Appendix 7</w:t>
        </w:r>
      </w:hyperlink>
      <w:r>
        <w:rPr>
          <w:rFonts w:cstheme="minorHAnsi"/>
          <w:sz w:val="22"/>
          <w:szCs w:val="22"/>
        </w:rPr>
        <w:t xml:space="preserve"> provide these change estimates across race/ethnicity and urban/ rural/remote residence. There are notable changes, predominately reductions, in ED, inpatient and/or RTF services related to mental health, substance use and physical health. </w:t>
      </w:r>
    </w:p>
    <w:p w14:paraId="51A1EBA1" w14:textId="4BD957AE" w:rsidR="0019591E" w:rsidRDefault="0019591E" w:rsidP="008D0F16">
      <w:pPr>
        <w:rPr>
          <w:rFonts w:cstheme="minorHAnsi"/>
          <w:sz w:val="22"/>
          <w:szCs w:val="22"/>
        </w:rPr>
      </w:pPr>
    </w:p>
    <w:p w14:paraId="2BC56672" w14:textId="03B16BF0" w:rsidR="0019591E" w:rsidRDefault="0019591E" w:rsidP="0019591E">
      <w:pPr>
        <w:rPr>
          <w:rFonts w:cstheme="minorHAnsi"/>
          <w:sz w:val="22"/>
          <w:szCs w:val="22"/>
        </w:rPr>
      </w:pPr>
      <w:r>
        <w:rPr>
          <w:rFonts w:cstheme="minorHAnsi"/>
          <w:sz w:val="22"/>
          <w:szCs w:val="22"/>
        </w:rPr>
        <w:t xml:space="preserve">For mental health conditions, ED (-14.1% and -10.5%) and inpatient (-22.4% and -12.9%) use declined across both periods. ED visits (-15.0%) and inpatient days (-22.9%) both declined in the first period but dissipate in the second. Mental health RTF use increased (38.5% and 49.3%) across both periods without discernable change in treatment days. The increase in mental health RTF use was almost entirely a phenomenon among urban residents (53.9% and 108.7%, respectively); use declined in rural or remote areas in the second period (28.5%). There were few discernable differences in the overall patterns by race/ethnicity; Black/African American service users had a large, estimated increase in second period use (243.8%). </w:t>
      </w:r>
    </w:p>
    <w:p w14:paraId="4EF7FF0D" w14:textId="77777777" w:rsidR="0019591E" w:rsidRDefault="0019591E" w:rsidP="0019591E">
      <w:pPr>
        <w:rPr>
          <w:rFonts w:cstheme="minorHAnsi"/>
          <w:sz w:val="22"/>
          <w:szCs w:val="22"/>
        </w:rPr>
      </w:pPr>
    </w:p>
    <w:p w14:paraId="7E7D6011" w14:textId="2630F3D1" w:rsidR="008D0F16" w:rsidRDefault="00E03825" w:rsidP="00974ABB">
      <w:pPr>
        <w:pStyle w:val="Caption"/>
        <w:keepNext/>
        <w:spacing w:after="0"/>
        <w:jc w:val="center"/>
        <w:rPr>
          <w:b/>
          <w:bCs/>
          <w:i w:val="0"/>
          <w:iCs w:val="0"/>
          <w:color w:val="6A7F0F"/>
          <w:sz w:val="22"/>
          <w:szCs w:val="22"/>
        </w:rPr>
      </w:pPr>
      <w:bookmarkStart w:id="40" w:name="_Toc125504953"/>
      <w:r w:rsidRPr="004247FE">
        <w:rPr>
          <w:b/>
          <w:bCs/>
          <w:i w:val="0"/>
          <w:iCs w:val="0"/>
          <w:color w:val="6A7F0F"/>
          <w:sz w:val="22"/>
          <w:szCs w:val="22"/>
        </w:rPr>
        <w:t xml:space="preserve">Figure </w:t>
      </w:r>
      <w:r w:rsidRPr="004247FE">
        <w:rPr>
          <w:b/>
          <w:bCs/>
          <w:i w:val="0"/>
          <w:iCs w:val="0"/>
          <w:color w:val="6A7F0F"/>
          <w:sz w:val="22"/>
          <w:szCs w:val="22"/>
        </w:rPr>
        <w:fldChar w:fldCharType="begin"/>
      </w:r>
      <w:r w:rsidRPr="004247FE">
        <w:rPr>
          <w:b/>
          <w:bCs/>
          <w:i w:val="0"/>
          <w:iCs w:val="0"/>
          <w:color w:val="6A7F0F"/>
          <w:sz w:val="22"/>
          <w:szCs w:val="22"/>
        </w:rPr>
        <w:instrText xml:space="preserve"> SEQ Figure \* ARABIC </w:instrText>
      </w:r>
      <w:r w:rsidRPr="004247FE">
        <w:rPr>
          <w:b/>
          <w:bCs/>
          <w:i w:val="0"/>
          <w:iCs w:val="0"/>
          <w:color w:val="6A7F0F"/>
          <w:sz w:val="22"/>
          <w:szCs w:val="22"/>
        </w:rPr>
        <w:fldChar w:fldCharType="separate"/>
      </w:r>
      <w:r w:rsidR="00DA018F">
        <w:rPr>
          <w:b/>
          <w:bCs/>
          <w:i w:val="0"/>
          <w:iCs w:val="0"/>
          <w:noProof/>
          <w:color w:val="6A7F0F"/>
          <w:sz w:val="22"/>
          <w:szCs w:val="22"/>
        </w:rPr>
        <w:t>8</w:t>
      </w:r>
      <w:r w:rsidRPr="004247FE">
        <w:rPr>
          <w:b/>
          <w:bCs/>
          <w:i w:val="0"/>
          <w:iCs w:val="0"/>
          <w:color w:val="6A7F0F"/>
          <w:sz w:val="22"/>
          <w:szCs w:val="22"/>
        </w:rPr>
        <w:fldChar w:fldCharType="end"/>
      </w:r>
      <w:r w:rsidRPr="004247FE">
        <w:rPr>
          <w:b/>
          <w:bCs/>
          <w:i w:val="0"/>
          <w:iCs w:val="0"/>
          <w:color w:val="6A7F0F"/>
          <w:sz w:val="22"/>
          <w:szCs w:val="22"/>
        </w:rPr>
        <w:t xml:space="preserve">: Change in Inpatient, Emergency Department and Residential Treatment </w:t>
      </w:r>
      <w:r w:rsidRPr="004247FE">
        <w:rPr>
          <w:b/>
          <w:bCs/>
          <w:i w:val="0"/>
          <w:iCs w:val="0"/>
          <w:color w:val="6A7F0F"/>
          <w:sz w:val="22"/>
          <w:szCs w:val="22"/>
        </w:rPr>
        <w:br/>
        <w:t>Quarterly Use and Visits/Days per Person for CCBHC OHP Members</w:t>
      </w:r>
      <w:bookmarkEnd w:id="40"/>
    </w:p>
    <w:p w14:paraId="622E3D04" w14:textId="77777777" w:rsidR="00974ABB" w:rsidRPr="00974ABB" w:rsidRDefault="00974ABB" w:rsidP="00974ABB">
      <w:pPr>
        <w:rPr>
          <w:sz w:val="18"/>
          <w:szCs w:val="18"/>
        </w:rPr>
      </w:pPr>
    </w:p>
    <w:p w14:paraId="2ADB5A06" w14:textId="77777777" w:rsidR="008D0F16" w:rsidRPr="008E4372" w:rsidRDefault="008D0F16" w:rsidP="008D0F16">
      <w:pPr>
        <w:jc w:val="center"/>
        <w:rPr>
          <w:rFonts w:cstheme="minorHAnsi"/>
          <w:sz w:val="22"/>
          <w:szCs w:val="22"/>
        </w:rPr>
      </w:pPr>
      <w:r>
        <w:rPr>
          <w:noProof/>
        </w:rPr>
        <w:drawing>
          <wp:inline distT="0" distB="0" distL="0" distR="0" wp14:anchorId="422277D4" wp14:editId="3F5BE997">
            <wp:extent cx="5632301" cy="371094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5209" cy="3712856"/>
                    </a:xfrm>
                    <a:prstGeom prst="rect">
                      <a:avLst/>
                    </a:prstGeom>
                  </pic:spPr>
                </pic:pic>
              </a:graphicData>
            </a:graphic>
          </wp:inline>
        </w:drawing>
      </w:r>
    </w:p>
    <w:p w14:paraId="3C1956BF" w14:textId="77777777" w:rsidR="008D0F16" w:rsidRPr="005D5939" w:rsidRDefault="008D0F16" w:rsidP="008D0F16">
      <w:pPr>
        <w:jc w:val="center"/>
        <w:rPr>
          <w:rFonts w:cstheme="minorHAnsi"/>
          <w:sz w:val="20"/>
          <w:szCs w:val="20"/>
        </w:rPr>
      </w:pPr>
      <w:r w:rsidRPr="005D5939">
        <w:rPr>
          <w:rFonts w:cstheme="minorHAnsi"/>
          <w:sz w:val="20"/>
          <w:szCs w:val="20"/>
        </w:rPr>
        <w:t>* = statistical significance at p&lt;.05</w:t>
      </w:r>
    </w:p>
    <w:p w14:paraId="3321AA90" w14:textId="77777777" w:rsidR="008D0F16" w:rsidRDefault="008D0F16" w:rsidP="008D0F16">
      <w:pPr>
        <w:jc w:val="center"/>
        <w:rPr>
          <w:rFonts w:cstheme="minorHAnsi"/>
          <w:sz w:val="22"/>
          <w:szCs w:val="22"/>
        </w:rPr>
      </w:pPr>
    </w:p>
    <w:p w14:paraId="45F31AC6" w14:textId="77777777" w:rsidR="000D3C14" w:rsidRDefault="000D3C14" w:rsidP="000D3C14">
      <w:pPr>
        <w:rPr>
          <w:rFonts w:cstheme="minorHAnsi"/>
          <w:sz w:val="22"/>
          <w:szCs w:val="22"/>
        </w:rPr>
      </w:pPr>
      <w:r>
        <w:rPr>
          <w:rFonts w:cstheme="minorHAnsi"/>
          <w:sz w:val="22"/>
          <w:szCs w:val="22"/>
        </w:rPr>
        <w:t xml:space="preserve">While substance use-related ED use and visits were consistently positive, and inpatient use consistently negative, none were statistically significant, making conclusions unclear. There were reductions in use of substance use-related RTF services (-19.0% and -26.4%) without clear change in days of treatment. The RTF use changes found were nearly all urban-based (33.7% and 41.5%, respectively), as with mental health RTFs. There are few discernable differences by race/ethnicity; </w:t>
      </w:r>
      <w:r w:rsidRPr="008E4372">
        <w:rPr>
          <w:rFonts w:cstheme="minorHAnsi"/>
          <w:sz w:val="22"/>
          <w:szCs w:val="22"/>
        </w:rPr>
        <w:t>Hispanic/Latin</w:t>
      </w:r>
      <w:r>
        <w:rPr>
          <w:rFonts w:cstheme="minorHAnsi"/>
          <w:sz w:val="22"/>
          <w:szCs w:val="22"/>
        </w:rPr>
        <w:t>o/a/x service users had a large increase in treatment days in the second period (97.8%).</w:t>
      </w:r>
    </w:p>
    <w:p w14:paraId="1A570914" w14:textId="77777777" w:rsidR="000D3C14" w:rsidRDefault="000D3C14" w:rsidP="000D3C14">
      <w:pPr>
        <w:rPr>
          <w:rFonts w:cstheme="minorHAnsi"/>
          <w:sz w:val="22"/>
          <w:szCs w:val="22"/>
        </w:rPr>
      </w:pPr>
    </w:p>
    <w:p w14:paraId="059A4CCF" w14:textId="77777777" w:rsidR="007E3335" w:rsidRDefault="007E3335" w:rsidP="007E3335">
      <w:pPr>
        <w:rPr>
          <w:rFonts w:cstheme="minorHAnsi"/>
          <w:sz w:val="22"/>
          <w:szCs w:val="22"/>
        </w:rPr>
      </w:pPr>
      <w:r>
        <w:rPr>
          <w:rFonts w:cstheme="minorHAnsi"/>
          <w:sz w:val="22"/>
          <w:szCs w:val="22"/>
        </w:rPr>
        <w:t>Physical health-related ED use rates declined in the first period (4.4%). Changes in physical health ED visits were not identified. Use and days of physical health inpatient care were consistently negative but not discernable from a statistical perspective. There were no notable differences in these patterns by urban/rural/remote residence. There were much larger physical health ED use reductions (18.7% and 29.2%) for Black/African American service users. Hispanic/Latino/a/x service users had increased first period use (11.7%) followed by identical reductions in the second period visits (11.7%).</w:t>
      </w:r>
    </w:p>
    <w:p w14:paraId="376C32CF" w14:textId="76110283" w:rsidR="008D0F16" w:rsidRPr="009A2974" w:rsidRDefault="008D0F16" w:rsidP="007E3335">
      <w:pPr>
        <w:rPr>
          <w:rFonts w:cstheme="minorHAnsi"/>
          <w:sz w:val="22"/>
          <w:szCs w:val="22"/>
        </w:rPr>
      </w:pPr>
      <w:r>
        <w:rPr>
          <w:rFonts w:cstheme="minorHAnsi"/>
          <w:sz w:val="22"/>
          <w:szCs w:val="22"/>
        </w:rPr>
        <w:t xml:space="preserve">  </w:t>
      </w:r>
    </w:p>
    <w:p w14:paraId="4CE5F329" w14:textId="77777777" w:rsidR="008D0F16" w:rsidRPr="00A17C4D" w:rsidRDefault="008D0F16" w:rsidP="00A17C4D">
      <w:pPr>
        <w:spacing w:after="120"/>
        <w:rPr>
          <w:b/>
          <w:bCs/>
          <w:i/>
          <w:iCs/>
          <w:color w:val="6A7F0F"/>
          <w:highlight w:val="white"/>
        </w:rPr>
      </w:pPr>
      <w:r w:rsidRPr="00A17C4D">
        <w:rPr>
          <w:b/>
          <w:bCs/>
          <w:i/>
          <w:iCs/>
          <w:color w:val="6A7F0F"/>
          <w:highlight w:val="white"/>
        </w:rPr>
        <w:t>Healthcare Costs</w:t>
      </w:r>
    </w:p>
    <w:p w14:paraId="348F51CC" w14:textId="77777777" w:rsidR="007E3335" w:rsidRPr="00710A26" w:rsidRDefault="007E3335" w:rsidP="007E3335">
      <w:pPr>
        <w:rPr>
          <w:rFonts w:eastAsia="Calibri" w:cstheme="minorHAnsi"/>
          <w:sz w:val="22"/>
          <w:szCs w:val="22"/>
        </w:rPr>
      </w:pPr>
      <w:r>
        <w:rPr>
          <w:rFonts w:eastAsia="Calibri" w:cstheme="minorHAnsi"/>
          <w:sz w:val="22"/>
          <w:szCs w:val="22"/>
        </w:rPr>
        <w:t>Healthcare</w:t>
      </w:r>
      <w:r w:rsidRPr="00710A26">
        <w:rPr>
          <w:rFonts w:eastAsia="Calibri" w:cstheme="minorHAnsi"/>
          <w:sz w:val="22"/>
          <w:szCs w:val="22"/>
        </w:rPr>
        <w:t xml:space="preserve"> transformation initiatives often include efforts to not </w:t>
      </w:r>
      <w:r>
        <w:rPr>
          <w:rFonts w:eastAsia="Calibri" w:cstheme="minorHAnsi"/>
          <w:sz w:val="22"/>
          <w:szCs w:val="22"/>
        </w:rPr>
        <w:t>only</w:t>
      </w:r>
      <w:r w:rsidRPr="00710A26">
        <w:rPr>
          <w:rFonts w:eastAsia="Calibri" w:cstheme="minorHAnsi"/>
          <w:sz w:val="22"/>
          <w:szCs w:val="22"/>
        </w:rPr>
        <w:t xml:space="preserve"> improve quality and access but also to </w:t>
      </w:r>
      <w:r>
        <w:rPr>
          <w:rFonts w:eastAsia="Calibri" w:cstheme="minorHAnsi"/>
          <w:sz w:val="22"/>
          <w:szCs w:val="22"/>
        </w:rPr>
        <w:t>decrease</w:t>
      </w:r>
      <w:r w:rsidRPr="00710A26">
        <w:rPr>
          <w:rFonts w:eastAsia="Calibri" w:cstheme="minorHAnsi"/>
          <w:sz w:val="22"/>
          <w:szCs w:val="22"/>
        </w:rPr>
        <w:t xml:space="preserve"> costs</w:t>
      </w:r>
      <w:r>
        <w:rPr>
          <w:rFonts w:eastAsia="Calibri" w:cstheme="minorHAnsi"/>
          <w:sz w:val="22"/>
          <w:szCs w:val="22"/>
        </w:rPr>
        <w:t>, in line with the Triple Aim (Berwick et al., 2008)</w:t>
      </w:r>
      <w:r w:rsidRPr="00710A26">
        <w:rPr>
          <w:rFonts w:eastAsia="Calibri" w:cstheme="minorHAnsi"/>
          <w:sz w:val="22"/>
          <w:szCs w:val="22"/>
        </w:rPr>
        <w:t xml:space="preserve">. Evaluating whether CCBHCs </w:t>
      </w:r>
      <w:r>
        <w:rPr>
          <w:rFonts w:eastAsia="Calibri" w:cstheme="minorHAnsi"/>
          <w:sz w:val="22"/>
          <w:szCs w:val="22"/>
        </w:rPr>
        <w:t>decrease</w:t>
      </w:r>
      <w:r w:rsidRPr="00710A26">
        <w:rPr>
          <w:rFonts w:eastAsia="Calibri" w:cstheme="minorHAnsi"/>
          <w:sz w:val="22"/>
          <w:szCs w:val="22"/>
        </w:rPr>
        <w:t xml:space="preserve"> </w:t>
      </w:r>
      <w:r>
        <w:rPr>
          <w:rFonts w:eastAsia="Calibri" w:cstheme="minorHAnsi"/>
          <w:sz w:val="22"/>
          <w:szCs w:val="22"/>
        </w:rPr>
        <w:t>healthcare</w:t>
      </w:r>
      <w:r w:rsidRPr="00710A26">
        <w:rPr>
          <w:rFonts w:eastAsia="Calibri" w:cstheme="minorHAnsi"/>
          <w:sz w:val="22"/>
          <w:szCs w:val="22"/>
        </w:rPr>
        <w:t xml:space="preserve"> costs implies that the behavioral health system is adequately funded and that cost savings can be realized in a relatively short time period. Oregon has underinvested in behavioral health for decades prior to </w:t>
      </w:r>
      <w:r>
        <w:rPr>
          <w:rFonts w:eastAsia="Calibri" w:cstheme="minorHAnsi"/>
          <w:sz w:val="22"/>
          <w:szCs w:val="22"/>
        </w:rPr>
        <w:t xml:space="preserve">the </w:t>
      </w:r>
      <w:r w:rsidRPr="00710A26">
        <w:rPr>
          <w:rFonts w:eastAsia="Calibri" w:cstheme="minorHAnsi"/>
          <w:sz w:val="22"/>
          <w:szCs w:val="22"/>
        </w:rPr>
        <w:t>large</w:t>
      </w:r>
      <w:r>
        <w:rPr>
          <w:rFonts w:eastAsia="Calibri" w:cstheme="minorHAnsi"/>
          <w:sz w:val="22"/>
          <w:szCs w:val="22"/>
        </w:rPr>
        <w:t xml:space="preserve"> 2021</w:t>
      </w:r>
      <w:r w:rsidRPr="00710A26">
        <w:rPr>
          <w:rFonts w:eastAsia="Calibri" w:cstheme="minorHAnsi"/>
          <w:sz w:val="22"/>
          <w:szCs w:val="22"/>
        </w:rPr>
        <w:t xml:space="preserve"> investments in behavioral health </w:t>
      </w:r>
      <w:r>
        <w:rPr>
          <w:rFonts w:eastAsia="Calibri" w:cstheme="minorHAnsi"/>
          <w:sz w:val="22"/>
          <w:szCs w:val="22"/>
        </w:rPr>
        <w:t>by the Oregon Legislature</w:t>
      </w:r>
      <w:r w:rsidRPr="00710A26">
        <w:rPr>
          <w:rFonts w:eastAsia="Calibri" w:cstheme="minorHAnsi"/>
          <w:sz w:val="22"/>
          <w:szCs w:val="22"/>
        </w:rPr>
        <w:t>. Given the large number of new service users that CCBHCs engage</w:t>
      </w:r>
      <w:r>
        <w:rPr>
          <w:rFonts w:eastAsia="Calibri" w:cstheme="minorHAnsi"/>
          <w:sz w:val="22"/>
          <w:szCs w:val="22"/>
        </w:rPr>
        <w:t>d</w:t>
      </w:r>
      <w:r w:rsidRPr="00710A26">
        <w:rPr>
          <w:rFonts w:eastAsia="Calibri" w:cstheme="minorHAnsi"/>
          <w:sz w:val="22"/>
          <w:szCs w:val="22"/>
        </w:rPr>
        <w:t xml:space="preserve"> in treatment</w:t>
      </w:r>
      <w:r>
        <w:rPr>
          <w:rFonts w:eastAsia="Calibri" w:cstheme="minorHAnsi"/>
          <w:sz w:val="22"/>
          <w:szCs w:val="22"/>
        </w:rPr>
        <w:t xml:space="preserve"> during the demonstration</w:t>
      </w:r>
      <w:r w:rsidRPr="00710A26">
        <w:rPr>
          <w:rFonts w:eastAsia="Calibri" w:cstheme="minorHAnsi"/>
          <w:sz w:val="22"/>
          <w:szCs w:val="22"/>
        </w:rPr>
        <w:t>, it is unsurprising that costs in some areas have increased</w:t>
      </w:r>
      <w:r>
        <w:rPr>
          <w:rFonts w:eastAsia="Calibri" w:cstheme="minorHAnsi"/>
          <w:sz w:val="22"/>
          <w:szCs w:val="22"/>
        </w:rPr>
        <w:t xml:space="preserve">. This </w:t>
      </w:r>
      <w:r w:rsidRPr="00710A26">
        <w:rPr>
          <w:rFonts w:eastAsia="Calibri" w:cstheme="minorHAnsi"/>
          <w:sz w:val="22"/>
          <w:szCs w:val="22"/>
        </w:rPr>
        <w:t xml:space="preserve">appears to be the result of serving more Oregonians. Understanding the value for dollars spent requires the collection of meaningful outcomes data that </w:t>
      </w:r>
      <w:r>
        <w:rPr>
          <w:rFonts w:eastAsia="Calibri" w:cstheme="minorHAnsi"/>
          <w:sz w:val="22"/>
          <w:szCs w:val="22"/>
        </w:rPr>
        <w:t>are</w:t>
      </w:r>
      <w:r w:rsidRPr="00710A26">
        <w:rPr>
          <w:rFonts w:eastAsia="Calibri" w:cstheme="minorHAnsi"/>
          <w:sz w:val="22"/>
          <w:szCs w:val="22"/>
        </w:rPr>
        <w:t xml:space="preserve"> aligned with </w:t>
      </w:r>
      <w:r>
        <w:rPr>
          <w:rFonts w:eastAsia="Calibri" w:cstheme="minorHAnsi"/>
          <w:sz w:val="22"/>
          <w:szCs w:val="22"/>
        </w:rPr>
        <w:t xml:space="preserve">state </w:t>
      </w:r>
      <w:r w:rsidRPr="00710A26">
        <w:rPr>
          <w:rFonts w:eastAsia="Calibri" w:cstheme="minorHAnsi"/>
          <w:sz w:val="22"/>
          <w:szCs w:val="22"/>
        </w:rPr>
        <w:t xml:space="preserve">equity goals. </w:t>
      </w:r>
      <w:r>
        <w:rPr>
          <w:rFonts w:eastAsia="Calibri" w:cstheme="minorHAnsi"/>
          <w:sz w:val="22"/>
          <w:szCs w:val="22"/>
        </w:rPr>
        <w:t>W</w:t>
      </w:r>
      <w:r w:rsidRPr="00710A26">
        <w:rPr>
          <w:rFonts w:eastAsia="Calibri" w:cstheme="minorHAnsi"/>
          <w:sz w:val="22"/>
          <w:szCs w:val="22"/>
        </w:rPr>
        <w:t>hile cost savings may eventually be realized, it may take more time to see these cost savings as the system engages more people in treatment.</w:t>
      </w:r>
    </w:p>
    <w:p w14:paraId="7941C3D1" w14:textId="77777777" w:rsidR="007E3335" w:rsidRPr="00710A26" w:rsidRDefault="007E3335" w:rsidP="007E3335">
      <w:pPr>
        <w:rPr>
          <w:rFonts w:eastAsia="Calibri" w:cstheme="minorHAnsi"/>
          <w:sz w:val="22"/>
          <w:szCs w:val="22"/>
        </w:rPr>
      </w:pPr>
    </w:p>
    <w:p w14:paraId="6B02186B" w14:textId="77777777" w:rsidR="007E3335" w:rsidRPr="00710A26" w:rsidRDefault="007E3335" w:rsidP="007E3335">
      <w:pPr>
        <w:pBdr>
          <w:top w:val="nil"/>
          <w:left w:val="nil"/>
          <w:bottom w:val="nil"/>
          <w:right w:val="nil"/>
          <w:between w:val="nil"/>
        </w:pBdr>
        <w:rPr>
          <w:rFonts w:eastAsia="Calibri" w:cstheme="minorHAnsi"/>
          <w:sz w:val="22"/>
          <w:szCs w:val="22"/>
        </w:rPr>
      </w:pPr>
      <w:r w:rsidRPr="00710A26">
        <w:rPr>
          <w:rFonts w:eastAsia="Calibri" w:cstheme="minorHAnsi"/>
          <w:color w:val="000000"/>
          <w:sz w:val="22"/>
          <w:szCs w:val="22"/>
        </w:rPr>
        <w:t xml:space="preserve">Interviews with interested parties </w:t>
      </w:r>
      <w:r w:rsidRPr="00710A26">
        <w:rPr>
          <w:rFonts w:eastAsia="Calibri" w:cstheme="minorHAnsi"/>
          <w:sz w:val="22"/>
          <w:szCs w:val="22"/>
        </w:rPr>
        <w:t>suggest that in</w:t>
      </w:r>
      <w:r w:rsidRPr="00710A26">
        <w:rPr>
          <w:rFonts w:eastAsia="Calibri" w:cstheme="minorHAnsi"/>
          <w:color w:val="000000"/>
          <w:sz w:val="22"/>
          <w:szCs w:val="22"/>
        </w:rPr>
        <w:t xml:space="preserve"> a system that has been chronically underfunded, concerns have primarily centered on increasing access to behavioral health service</w:t>
      </w:r>
      <w:r>
        <w:rPr>
          <w:rFonts w:eastAsia="Calibri" w:cstheme="minorHAnsi"/>
          <w:color w:val="000000"/>
          <w:sz w:val="22"/>
          <w:szCs w:val="22"/>
        </w:rPr>
        <w:t>s for historically and currently underserved populations</w:t>
      </w:r>
      <w:r w:rsidRPr="00710A26">
        <w:rPr>
          <w:rFonts w:eastAsia="Calibri" w:cstheme="minorHAnsi"/>
          <w:color w:val="000000"/>
          <w:sz w:val="22"/>
          <w:szCs w:val="22"/>
        </w:rPr>
        <w:t>. According to one interested party</w:t>
      </w:r>
      <w:r>
        <w:rPr>
          <w:rFonts w:eastAsia="Calibri" w:cstheme="minorHAnsi"/>
          <w:color w:val="000000"/>
          <w:sz w:val="22"/>
          <w:szCs w:val="22"/>
        </w:rPr>
        <w:t>:</w:t>
      </w:r>
      <w:r w:rsidRPr="00710A26">
        <w:rPr>
          <w:rFonts w:eastAsia="Calibri" w:cstheme="minorHAnsi"/>
          <w:color w:val="000000"/>
          <w:sz w:val="22"/>
          <w:szCs w:val="22"/>
        </w:rPr>
        <w:t xml:space="preserve"> “</w:t>
      </w:r>
      <w:r w:rsidRPr="00710A26">
        <w:rPr>
          <w:rFonts w:eastAsia="Calibri" w:cstheme="minorHAnsi"/>
          <w:i/>
          <w:color w:val="000000"/>
          <w:sz w:val="22"/>
          <w:szCs w:val="22"/>
        </w:rPr>
        <w:t>Most people outside of the [behavioral health] sector don’t understand how</w:t>
      </w:r>
      <w:r>
        <w:rPr>
          <w:rFonts w:eastAsia="Calibri" w:cstheme="minorHAnsi"/>
          <w:i/>
          <w:color w:val="000000"/>
          <w:sz w:val="22"/>
          <w:szCs w:val="22"/>
        </w:rPr>
        <w:t>,</w:t>
      </w:r>
      <w:r w:rsidRPr="00710A26">
        <w:rPr>
          <w:rFonts w:eastAsia="Calibri" w:cstheme="minorHAnsi"/>
          <w:i/>
          <w:color w:val="000000"/>
          <w:sz w:val="22"/>
          <w:szCs w:val="22"/>
        </w:rPr>
        <w:t xml:space="preserve"> because of our bad historic funding structures these agencies are way too lean on the operation</w:t>
      </w:r>
      <w:r>
        <w:rPr>
          <w:rFonts w:eastAsia="Calibri" w:cstheme="minorHAnsi"/>
          <w:i/>
          <w:color w:val="000000"/>
          <w:sz w:val="22"/>
          <w:szCs w:val="22"/>
        </w:rPr>
        <w:t>s</w:t>
      </w:r>
      <w:r w:rsidRPr="00710A26">
        <w:rPr>
          <w:rFonts w:eastAsia="Calibri" w:cstheme="minorHAnsi"/>
          <w:i/>
          <w:color w:val="000000"/>
          <w:sz w:val="22"/>
          <w:szCs w:val="22"/>
        </w:rPr>
        <w:t xml:space="preserve"> side to deliver fidelity care or do innovation</w:t>
      </w:r>
      <w:r>
        <w:rPr>
          <w:rFonts w:eastAsia="Calibri" w:cstheme="minorHAnsi"/>
          <w:i/>
          <w:color w:val="000000"/>
          <w:sz w:val="22"/>
          <w:szCs w:val="22"/>
        </w:rPr>
        <w:t>”</w:t>
      </w:r>
      <w:r w:rsidRPr="00710A26">
        <w:rPr>
          <w:rFonts w:eastAsia="Calibri" w:cstheme="minorHAnsi"/>
          <w:color w:val="000000"/>
          <w:sz w:val="22"/>
          <w:szCs w:val="22"/>
        </w:rPr>
        <w:t xml:space="preserve"> (</w:t>
      </w:r>
      <w:r>
        <w:rPr>
          <w:rFonts w:eastAsia="Calibri" w:cstheme="minorHAnsi"/>
          <w:color w:val="000000"/>
          <w:sz w:val="22"/>
          <w:szCs w:val="22"/>
        </w:rPr>
        <w:t>Interested Party</w:t>
      </w:r>
      <w:r w:rsidRPr="00710A26">
        <w:rPr>
          <w:rFonts w:eastAsia="Calibri" w:cstheme="minorHAnsi"/>
          <w:color w:val="000000"/>
          <w:sz w:val="22"/>
          <w:szCs w:val="22"/>
        </w:rPr>
        <w:t xml:space="preserve"> 23). Another interested party noted</w:t>
      </w:r>
      <w:r>
        <w:rPr>
          <w:rFonts w:eastAsia="Calibri" w:cstheme="minorHAnsi"/>
          <w:color w:val="000000"/>
          <w:sz w:val="22"/>
          <w:szCs w:val="22"/>
        </w:rPr>
        <w:t>:</w:t>
      </w:r>
      <w:r w:rsidRPr="00710A26">
        <w:rPr>
          <w:rFonts w:eastAsia="Calibri" w:cstheme="minorHAnsi"/>
          <w:color w:val="000000"/>
          <w:sz w:val="22"/>
          <w:szCs w:val="22"/>
        </w:rPr>
        <w:t xml:space="preserve"> </w:t>
      </w:r>
      <w:r w:rsidRPr="00710A26">
        <w:rPr>
          <w:rFonts w:eastAsia="Calibri" w:cstheme="minorHAnsi"/>
          <w:sz w:val="22"/>
          <w:szCs w:val="22"/>
        </w:rPr>
        <w:t>“</w:t>
      </w:r>
      <w:r w:rsidRPr="00710A26">
        <w:rPr>
          <w:rFonts w:eastAsia="Calibri" w:cstheme="minorHAnsi"/>
          <w:i/>
          <w:sz w:val="22"/>
          <w:szCs w:val="22"/>
        </w:rPr>
        <w:t>We're trying to solve societal problems in the behavioral health system, which is the most underfunded system there is</w:t>
      </w:r>
      <w:r>
        <w:rPr>
          <w:rFonts w:eastAsia="Calibri" w:cstheme="minorHAnsi"/>
          <w:i/>
          <w:sz w:val="22"/>
          <w:szCs w:val="22"/>
        </w:rPr>
        <w:t>”</w:t>
      </w:r>
      <w:r w:rsidRPr="00710A26">
        <w:rPr>
          <w:rFonts w:eastAsia="Calibri" w:cstheme="minorHAnsi"/>
          <w:sz w:val="22"/>
          <w:szCs w:val="22"/>
        </w:rPr>
        <w:t xml:space="preserve"> (</w:t>
      </w:r>
      <w:r>
        <w:rPr>
          <w:rFonts w:eastAsia="Calibri" w:cstheme="minorHAnsi"/>
          <w:sz w:val="22"/>
          <w:szCs w:val="22"/>
        </w:rPr>
        <w:t>Interested Party</w:t>
      </w:r>
      <w:r w:rsidRPr="00710A26">
        <w:rPr>
          <w:rFonts w:eastAsia="Calibri" w:cstheme="minorHAnsi"/>
          <w:sz w:val="22"/>
          <w:szCs w:val="22"/>
        </w:rPr>
        <w:t xml:space="preserve"> 24).</w:t>
      </w:r>
    </w:p>
    <w:p w14:paraId="4A6FA580" w14:textId="77777777" w:rsidR="007E3335" w:rsidRPr="00710A26" w:rsidRDefault="007E3335" w:rsidP="007E3335">
      <w:pPr>
        <w:pBdr>
          <w:top w:val="nil"/>
          <w:left w:val="nil"/>
          <w:bottom w:val="nil"/>
          <w:right w:val="nil"/>
          <w:between w:val="nil"/>
        </w:pBdr>
        <w:rPr>
          <w:rFonts w:eastAsia="Calibri" w:cstheme="minorHAnsi"/>
          <w:sz w:val="22"/>
          <w:szCs w:val="22"/>
        </w:rPr>
      </w:pPr>
    </w:p>
    <w:p w14:paraId="382CF73E" w14:textId="77777777" w:rsidR="007E3335" w:rsidRPr="00710A26" w:rsidRDefault="007E3335" w:rsidP="007E3335">
      <w:pPr>
        <w:pBdr>
          <w:top w:val="nil"/>
          <w:left w:val="nil"/>
          <w:bottom w:val="nil"/>
          <w:right w:val="nil"/>
          <w:between w:val="nil"/>
        </w:pBdr>
        <w:rPr>
          <w:rFonts w:eastAsia="Calibri" w:cstheme="minorHAnsi"/>
          <w:sz w:val="22"/>
          <w:szCs w:val="22"/>
        </w:rPr>
      </w:pPr>
      <w:r>
        <w:rPr>
          <w:rFonts w:eastAsia="Calibri" w:cstheme="minorHAnsi"/>
          <w:sz w:val="22"/>
          <w:szCs w:val="22"/>
        </w:rPr>
        <w:t xml:space="preserve">When considering costs in the context of behavioral health in Oregon, it is important to consider the value for investments, including increased access, quality, and equity. </w:t>
      </w:r>
      <w:r w:rsidRPr="00710A26">
        <w:rPr>
          <w:rFonts w:eastAsia="Calibri" w:cstheme="minorHAnsi"/>
          <w:sz w:val="22"/>
          <w:szCs w:val="22"/>
        </w:rPr>
        <w:t xml:space="preserve">Clinic leaders were focused on increasing access to behavioral health services and providing quality care to service users, many of whom have complex physical and </w:t>
      </w:r>
      <w:r>
        <w:rPr>
          <w:rFonts w:eastAsia="Calibri" w:cstheme="minorHAnsi"/>
          <w:sz w:val="22"/>
          <w:szCs w:val="22"/>
        </w:rPr>
        <w:t>behavioral</w:t>
      </w:r>
      <w:r w:rsidRPr="00710A26">
        <w:rPr>
          <w:rFonts w:eastAsia="Calibri" w:cstheme="minorHAnsi"/>
          <w:sz w:val="22"/>
          <w:szCs w:val="22"/>
        </w:rPr>
        <w:t xml:space="preserve"> health</w:t>
      </w:r>
      <w:r>
        <w:rPr>
          <w:rFonts w:eastAsia="Calibri" w:cstheme="minorHAnsi"/>
          <w:sz w:val="22"/>
          <w:szCs w:val="22"/>
        </w:rPr>
        <w:t xml:space="preserve"> needs</w:t>
      </w:r>
      <w:r w:rsidRPr="00710A26">
        <w:rPr>
          <w:rFonts w:eastAsia="Calibri" w:cstheme="minorHAnsi"/>
          <w:sz w:val="22"/>
          <w:szCs w:val="22"/>
        </w:rPr>
        <w:t xml:space="preserve"> </w:t>
      </w:r>
      <w:r>
        <w:rPr>
          <w:rFonts w:eastAsia="Calibri" w:cstheme="minorHAnsi"/>
          <w:sz w:val="22"/>
          <w:szCs w:val="22"/>
        </w:rPr>
        <w:t xml:space="preserve">related to multiple </w:t>
      </w:r>
      <w:r w:rsidRPr="00710A26">
        <w:rPr>
          <w:rFonts w:eastAsia="Calibri" w:cstheme="minorHAnsi"/>
          <w:sz w:val="22"/>
          <w:szCs w:val="22"/>
        </w:rPr>
        <w:t xml:space="preserve">social determinants of health. </w:t>
      </w:r>
      <w:r>
        <w:rPr>
          <w:rFonts w:eastAsia="Calibri" w:cstheme="minorHAnsi"/>
          <w:sz w:val="22"/>
          <w:szCs w:val="22"/>
        </w:rPr>
        <w:t>They</w:t>
      </w:r>
      <w:r w:rsidRPr="00710A26">
        <w:rPr>
          <w:rFonts w:eastAsia="Calibri" w:cstheme="minorHAnsi"/>
          <w:sz w:val="22"/>
          <w:szCs w:val="22"/>
        </w:rPr>
        <w:t xml:space="preserve"> also recognize</w:t>
      </w:r>
      <w:r>
        <w:rPr>
          <w:rFonts w:eastAsia="Calibri" w:cstheme="minorHAnsi"/>
          <w:sz w:val="22"/>
          <w:szCs w:val="22"/>
        </w:rPr>
        <w:t>d</w:t>
      </w:r>
      <w:r w:rsidRPr="00710A26">
        <w:rPr>
          <w:rFonts w:eastAsia="Calibri" w:cstheme="minorHAnsi"/>
          <w:sz w:val="22"/>
          <w:szCs w:val="22"/>
        </w:rPr>
        <w:t xml:space="preserve"> that there are limited resources elsewhere in the community for addressing the needs of these individuals comprehensiv</w:t>
      </w:r>
      <w:r>
        <w:rPr>
          <w:rFonts w:eastAsia="Calibri" w:cstheme="minorHAnsi"/>
          <w:sz w:val="22"/>
          <w:szCs w:val="22"/>
        </w:rPr>
        <w:t>ely</w:t>
      </w:r>
      <w:r w:rsidRPr="00710A26">
        <w:rPr>
          <w:rFonts w:eastAsia="Calibri" w:cstheme="minorHAnsi"/>
          <w:sz w:val="22"/>
          <w:szCs w:val="22"/>
        </w:rPr>
        <w:t xml:space="preserve">. </w:t>
      </w:r>
      <w:r>
        <w:rPr>
          <w:rFonts w:eastAsia="Calibri" w:cstheme="minorHAnsi"/>
          <w:sz w:val="22"/>
          <w:szCs w:val="22"/>
        </w:rPr>
        <w:t>O</w:t>
      </w:r>
      <w:r w:rsidRPr="00710A26">
        <w:rPr>
          <w:rFonts w:eastAsia="Calibri" w:cstheme="minorHAnsi"/>
          <w:sz w:val="22"/>
          <w:szCs w:val="22"/>
        </w:rPr>
        <w:t>ne clinic leader noted:</w:t>
      </w:r>
    </w:p>
    <w:p w14:paraId="7C05F7C1" w14:textId="77777777" w:rsidR="00E03825" w:rsidRDefault="00E03825" w:rsidP="008D0F16">
      <w:pPr>
        <w:pBdr>
          <w:top w:val="nil"/>
          <w:left w:val="nil"/>
          <w:bottom w:val="nil"/>
          <w:right w:val="nil"/>
          <w:between w:val="nil"/>
        </w:pBdr>
        <w:ind w:left="720"/>
        <w:rPr>
          <w:rFonts w:eastAsia="Calibri" w:cstheme="minorHAnsi"/>
          <w:i/>
          <w:sz w:val="22"/>
          <w:szCs w:val="22"/>
        </w:rPr>
      </w:pPr>
    </w:p>
    <w:p w14:paraId="5C28DD45" w14:textId="638B8F51" w:rsidR="008D0F16" w:rsidRPr="00710A26" w:rsidRDefault="008D0F16" w:rsidP="008D0F16">
      <w:pPr>
        <w:pBdr>
          <w:top w:val="nil"/>
          <w:left w:val="nil"/>
          <w:bottom w:val="nil"/>
          <w:right w:val="nil"/>
          <w:between w:val="nil"/>
        </w:pBdr>
        <w:ind w:left="720"/>
        <w:rPr>
          <w:rFonts w:eastAsia="Calibri" w:cstheme="minorHAnsi"/>
          <w:sz w:val="22"/>
          <w:szCs w:val="22"/>
        </w:rPr>
      </w:pPr>
      <w:r w:rsidRPr="00710A26">
        <w:rPr>
          <w:rFonts w:eastAsia="Calibri" w:cstheme="minorHAnsi"/>
          <w:i/>
          <w:sz w:val="22"/>
          <w:szCs w:val="22"/>
        </w:rPr>
        <w:t xml:space="preserve">We really are now seeing the most acute clients, with numerous concerns, mental health, substance use, health conditions, coupled with a lack of resources, so houselessness, lack of family support, challenges with staying or going to school, difficulty maintaining employment. So, it's high acuity, plus a lot of social determinants of health issues. </w:t>
      </w:r>
      <w:r>
        <w:rPr>
          <w:rFonts w:eastAsia="Calibri" w:cstheme="minorHAnsi"/>
          <w:i/>
          <w:sz w:val="22"/>
          <w:szCs w:val="22"/>
        </w:rPr>
        <w:t>…</w:t>
      </w:r>
      <w:r w:rsidRPr="00710A26">
        <w:rPr>
          <w:rFonts w:eastAsia="Calibri" w:cstheme="minorHAnsi"/>
          <w:i/>
          <w:sz w:val="22"/>
          <w:szCs w:val="22"/>
        </w:rPr>
        <w:t xml:space="preserve"> we've kind of honed in on that population because there are actually other providers in the community now that can see lower-level clients. </w:t>
      </w:r>
      <w:r w:rsidRPr="00710A26">
        <w:rPr>
          <w:rFonts w:eastAsia="Calibri" w:cstheme="minorHAnsi"/>
          <w:sz w:val="22"/>
          <w:szCs w:val="22"/>
        </w:rPr>
        <w:t>(Lead Clinical 05)</w:t>
      </w:r>
    </w:p>
    <w:p w14:paraId="26BD836C" w14:textId="77777777" w:rsidR="008D0F16" w:rsidRPr="00710A26" w:rsidRDefault="008D0F16" w:rsidP="008D0F16">
      <w:pPr>
        <w:pBdr>
          <w:top w:val="nil"/>
          <w:left w:val="nil"/>
          <w:bottom w:val="nil"/>
          <w:right w:val="nil"/>
          <w:between w:val="nil"/>
        </w:pBdr>
        <w:rPr>
          <w:rFonts w:eastAsia="Calibri" w:cstheme="minorHAnsi"/>
          <w:sz w:val="22"/>
          <w:szCs w:val="22"/>
        </w:rPr>
      </w:pPr>
    </w:p>
    <w:p w14:paraId="3408ED43" w14:textId="4886974D" w:rsidR="007E3335" w:rsidRDefault="007E3335" w:rsidP="007E3335">
      <w:pPr>
        <w:pBdr>
          <w:top w:val="nil"/>
          <w:left w:val="nil"/>
          <w:bottom w:val="nil"/>
          <w:right w:val="nil"/>
          <w:between w:val="nil"/>
        </w:pBdr>
        <w:rPr>
          <w:rFonts w:eastAsia="Calibri" w:cstheme="minorHAnsi"/>
          <w:sz w:val="22"/>
          <w:szCs w:val="22"/>
        </w:rPr>
      </w:pPr>
      <w:r w:rsidRPr="00710A26">
        <w:rPr>
          <w:rFonts w:eastAsia="Calibri" w:cstheme="minorHAnsi"/>
          <w:sz w:val="22"/>
          <w:szCs w:val="22"/>
        </w:rPr>
        <w:t>The PPS</w:t>
      </w:r>
      <w:r>
        <w:rPr>
          <w:rFonts w:eastAsia="Calibri" w:cstheme="minorHAnsi"/>
          <w:sz w:val="22"/>
          <w:szCs w:val="22"/>
        </w:rPr>
        <w:t xml:space="preserve"> payment model</w:t>
      </w:r>
      <w:r w:rsidRPr="00710A26">
        <w:rPr>
          <w:rFonts w:eastAsia="Calibri" w:cstheme="minorHAnsi"/>
          <w:sz w:val="22"/>
          <w:szCs w:val="22"/>
        </w:rPr>
        <w:t xml:space="preserve"> was critical </w:t>
      </w:r>
      <w:r>
        <w:rPr>
          <w:rFonts w:eastAsia="Calibri" w:cstheme="minorHAnsi"/>
          <w:sz w:val="22"/>
          <w:szCs w:val="22"/>
        </w:rPr>
        <w:t>for</w:t>
      </w:r>
      <w:r w:rsidRPr="00710A26">
        <w:rPr>
          <w:rFonts w:eastAsia="Calibri" w:cstheme="minorHAnsi"/>
          <w:sz w:val="22"/>
          <w:szCs w:val="22"/>
        </w:rPr>
        <w:t xml:space="preserve"> providing CCBHCs with </w:t>
      </w:r>
      <w:r>
        <w:rPr>
          <w:rFonts w:eastAsia="Calibri" w:cstheme="minorHAnsi"/>
          <w:sz w:val="22"/>
          <w:szCs w:val="22"/>
        </w:rPr>
        <w:t>sufficient</w:t>
      </w:r>
      <w:r w:rsidRPr="00710A26">
        <w:rPr>
          <w:rFonts w:eastAsia="Calibri" w:cstheme="minorHAnsi"/>
          <w:sz w:val="22"/>
          <w:szCs w:val="22"/>
        </w:rPr>
        <w:t xml:space="preserve"> resources to begin responding to health inequities and addressing social determinants of health. </w:t>
      </w:r>
      <w:r>
        <w:rPr>
          <w:rFonts w:eastAsia="Calibri" w:cstheme="minorHAnsi"/>
          <w:sz w:val="22"/>
          <w:szCs w:val="22"/>
        </w:rPr>
        <w:t xml:space="preserve">This was due in part to the flexibility of the PPS mechanism, which enabled CCBHCs to engage in nontraditional outreach services without concern over a loss of funding. </w:t>
      </w:r>
      <w:r w:rsidRPr="00710A26">
        <w:rPr>
          <w:rFonts w:eastAsia="Calibri" w:cstheme="minorHAnsi"/>
          <w:sz w:val="22"/>
          <w:szCs w:val="22"/>
        </w:rPr>
        <w:t>When reflecting on the role that CCBHCs can play in achieving health equity in Oregon, one clinic leader stated</w:t>
      </w:r>
      <w:r>
        <w:rPr>
          <w:rFonts w:eastAsia="Calibri" w:cstheme="minorHAnsi"/>
          <w:sz w:val="22"/>
          <w:szCs w:val="22"/>
        </w:rPr>
        <w:t>:</w:t>
      </w:r>
      <w:r w:rsidRPr="00710A26">
        <w:rPr>
          <w:rFonts w:eastAsia="Calibri" w:cstheme="minorHAnsi"/>
          <w:sz w:val="22"/>
          <w:szCs w:val="22"/>
        </w:rPr>
        <w:t xml:space="preserve"> </w:t>
      </w:r>
    </w:p>
    <w:p w14:paraId="6E6738E4" w14:textId="77777777" w:rsidR="0019591E" w:rsidRDefault="0019591E" w:rsidP="007E3335">
      <w:pPr>
        <w:pBdr>
          <w:top w:val="nil"/>
          <w:left w:val="nil"/>
          <w:bottom w:val="nil"/>
          <w:right w:val="nil"/>
          <w:between w:val="nil"/>
        </w:pBdr>
        <w:rPr>
          <w:rFonts w:eastAsia="Calibri" w:cstheme="minorHAnsi"/>
          <w:sz w:val="22"/>
          <w:szCs w:val="22"/>
        </w:rPr>
      </w:pPr>
    </w:p>
    <w:p w14:paraId="54A01425" w14:textId="13643C30" w:rsidR="008D0F16" w:rsidRDefault="008D0F16" w:rsidP="008D0F16">
      <w:pPr>
        <w:pBdr>
          <w:top w:val="nil"/>
          <w:left w:val="nil"/>
          <w:bottom w:val="nil"/>
          <w:right w:val="nil"/>
          <w:between w:val="nil"/>
        </w:pBdr>
        <w:ind w:left="720"/>
        <w:rPr>
          <w:rFonts w:eastAsia="Calibri" w:cstheme="minorHAnsi"/>
          <w:sz w:val="22"/>
          <w:szCs w:val="22"/>
        </w:rPr>
      </w:pPr>
      <w:r w:rsidRPr="00710A26">
        <w:rPr>
          <w:rFonts w:eastAsia="Calibri" w:cstheme="minorHAnsi"/>
          <w:i/>
          <w:sz w:val="22"/>
          <w:szCs w:val="22"/>
        </w:rPr>
        <w:t>There's a strategy of what you have to do as a CCBHC, but then there's also the strategy of what you get to do as a CCBHC, that you have a wide</w:t>
      </w:r>
      <w:r>
        <w:rPr>
          <w:rFonts w:eastAsia="Calibri" w:cstheme="minorHAnsi"/>
          <w:i/>
          <w:sz w:val="22"/>
          <w:szCs w:val="22"/>
        </w:rPr>
        <w:t>-</w:t>
      </w:r>
      <w:r w:rsidRPr="00710A26">
        <w:rPr>
          <w:rFonts w:eastAsia="Calibri" w:cstheme="minorHAnsi"/>
          <w:i/>
          <w:sz w:val="22"/>
          <w:szCs w:val="22"/>
        </w:rPr>
        <w:t xml:space="preserve">open door, and you're trying to meet the needs of the community in a unique way. And you're provided funding that allows you to do that rather than </w:t>
      </w:r>
      <w:r>
        <w:rPr>
          <w:rFonts w:eastAsia="Calibri" w:cstheme="minorHAnsi"/>
          <w:i/>
          <w:sz w:val="22"/>
          <w:szCs w:val="22"/>
        </w:rPr>
        <w:t>i</w:t>
      </w:r>
      <w:r w:rsidRPr="00710A26">
        <w:rPr>
          <w:rFonts w:eastAsia="Calibri" w:cstheme="minorHAnsi"/>
          <w:i/>
          <w:sz w:val="22"/>
          <w:szCs w:val="22"/>
        </w:rPr>
        <w:t>s this service going to pay? Is this reduced rate for this service going to pay the cost of the hour for this clinician here</w:t>
      </w:r>
      <w:r w:rsidRPr="00710A26">
        <w:rPr>
          <w:rFonts w:eastAsia="Calibri" w:cstheme="minorHAnsi"/>
          <w:sz w:val="22"/>
          <w:szCs w:val="22"/>
        </w:rPr>
        <w:t xml:space="preserve">? </w:t>
      </w:r>
      <w:r w:rsidRPr="00710A26">
        <w:rPr>
          <w:rFonts w:eastAsia="Calibri" w:cstheme="minorHAnsi"/>
          <w:i/>
          <w:sz w:val="22"/>
          <w:szCs w:val="22"/>
        </w:rPr>
        <w:t>That pressure is reduced to the point where you can think creatively about how to meet the needs of your community rather than how do you get your billing in order to pay your staff at the end of the day?</w:t>
      </w:r>
      <w:r w:rsidRPr="00710A26">
        <w:rPr>
          <w:rFonts w:eastAsia="Calibri" w:cstheme="minorHAnsi"/>
          <w:sz w:val="22"/>
          <w:szCs w:val="22"/>
        </w:rPr>
        <w:t xml:space="preserve"> (Lead Clinical 10)</w:t>
      </w:r>
    </w:p>
    <w:p w14:paraId="1C31A6E3" w14:textId="77777777" w:rsidR="008D0F16" w:rsidRDefault="008D0F16" w:rsidP="008D0F16">
      <w:pPr>
        <w:pBdr>
          <w:top w:val="nil"/>
          <w:left w:val="nil"/>
          <w:bottom w:val="nil"/>
          <w:right w:val="nil"/>
          <w:between w:val="nil"/>
        </w:pBdr>
        <w:rPr>
          <w:rFonts w:eastAsia="Calibri" w:cstheme="minorHAnsi"/>
          <w:sz w:val="22"/>
          <w:szCs w:val="22"/>
        </w:rPr>
      </w:pPr>
    </w:p>
    <w:p w14:paraId="3FE850B1" w14:textId="77777777" w:rsidR="007E3335" w:rsidRPr="00710A26" w:rsidRDefault="007E3335" w:rsidP="007E3335">
      <w:pPr>
        <w:pBdr>
          <w:top w:val="nil"/>
          <w:left w:val="nil"/>
          <w:bottom w:val="nil"/>
          <w:right w:val="nil"/>
          <w:between w:val="nil"/>
        </w:pBdr>
        <w:rPr>
          <w:rFonts w:eastAsia="Calibri" w:cstheme="minorHAnsi"/>
          <w:sz w:val="22"/>
          <w:szCs w:val="22"/>
        </w:rPr>
      </w:pPr>
      <w:r w:rsidRPr="00710A26">
        <w:rPr>
          <w:rFonts w:eastAsia="Calibri" w:cstheme="minorHAnsi"/>
          <w:sz w:val="22"/>
          <w:szCs w:val="22"/>
        </w:rPr>
        <w:t xml:space="preserve">Another clinic leader </w:t>
      </w:r>
      <w:r>
        <w:rPr>
          <w:rFonts w:eastAsia="Calibri" w:cstheme="minorHAnsi"/>
          <w:sz w:val="22"/>
          <w:szCs w:val="22"/>
        </w:rPr>
        <w:t xml:space="preserve">indicated </w:t>
      </w:r>
      <w:r w:rsidRPr="00710A26">
        <w:rPr>
          <w:rFonts w:eastAsia="Calibri" w:cstheme="minorHAnsi"/>
          <w:sz w:val="22"/>
          <w:szCs w:val="22"/>
        </w:rPr>
        <w:t xml:space="preserve">that the CCBHC </w:t>
      </w:r>
      <w:r>
        <w:rPr>
          <w:rFonts w:eastAsia="Calibri" w:cstheme="minorHAnsi"/>
          <w:sz w:val="22"/>
          <w:szCs w:val="22"/>
        </w:rPr>
        <w:t xml:space="preserve">model </w:t>
      </w:r>
      <w:r w:rsidRPr="00710A26">
        <w:rPr>
          <w:rFonts w:eastAsia="Calibri" w:cstheme="minorHAnsi"/>
          <w:sz w:val="22"/>
          <w:szCs w:val="22"/>
        </w:rPr>
        <w:t xml:space="preserve">has contributed to a cultural </w:t>
      </w:r>
      <w:r>
        <w:rPr>
          <w:rFonts w:eastAsia="Calibri" w:cstheme="minorHAnsi"/>
          <w:sz w:val="22"/>
          <w:szCs w:val="22"/>
        </w:rPr>
        <w:t>change</w:t>
      </w:r>
      <w:r w:rsidRPr="00710A26">
        <w:rPr>
          <w:rFonts w:eastAsia="Calibri" w:cstheme="minorHAnsi"/>
          <w:sz w:val="22"/>
          <w:szCs w:val="22"/>
        </w:rPr>
        <w:t xml:space="preserve"> in their workplace</w:t>
      </w:r>
      <w:r>
        <w:rPr>
          <w:rFonts w:eastAsia="Calibri" w:cstheme="minorHAnsi"/>
          <w:sz w:val="22"/>
          <w:szCs w:val="22"/>
        </w:rPr>
        <w:t>, shifting</w:t>
      </w:r>
      <w:r w:rsidRPr="00710A26">
        <w:rPr>
          <w:rFonts w:eastAsia="Calibri" w:cstheme="minorHAnsi"/>
          <w:sz w:val="22"/>
          <w:szCs w:val="22"/>
        </w:rPr>
        <w:t xml:space="preserve"> from focusing on costs to focusing on care:</w:t>
      </w:r>
    </w:p>
    <w:p w14:paraId="0AFA6208" w14:textId="77777777" w:rsidR="00E03825" w:rsidRDefault="00E03825" w:rsidP="00E03825">
      <w:pPr>
        <w:ind w:left="720"/>
        <w:rPr>
          <w:rFonts w:eastAsia="Calibri" w:cstheme="minorHAnsi"/>
          <w:i/>
          <w:sz w:val="22"/>
          <w:szCs w:val="22"/>
        </w:rPr>
      </w:pPr>
    </w:p>
    <w:p w14:paraId="2C33C385" w14:textId="428F8EB2" w:rsidR="008D0F16" w:rsidRDefault="008D0F16" w:rsidP="00E03825">
      <w:pPr>
        <w:ind w:left="720"/>
        <w:rPr>
          <w:rFonts w:eastAsia="Calibri" w:cstheme="minorHAnsi"/>
          <w:sz w:val="22"/>
          <w:szCs w:val="22"/>
        </w:rPr>
      </w:pPr>
      <w:r w:rsidRPr="00710A26">
        <w:rPr>
          <w:rFonts w:eastAsia="Calibri" w:cstheme="minorHAnsi"/>
          <w:i/>
          <w:sz w:val="22"/>
          <w:szCs w:val="22"/>
        </w:rPr>
        <w:t>In all honesty, there's a broader culture of getting people what they need because they need it, as opposed to, how are we going to pay for this? Or, we don't have the money for that. So, serving more people and getting them the services that they need, and the care coordination, the transition planning, the follow up, the warm handoffs; all that stuff that CCBHC is big on, all of which a lot of times are not funded services</w:t>
      </w:r>
      <w:r>
        <w:rPr>
          <w:rFonts w:eastAsia="Calibri" w:cstheme="minorHAnsi"/>
          <w:i/>
          <w:sz w:val="22"/>
          <w:szCs w:val="22"/>
        </w:rPr>
        <w:t>.</w:t>
      </w:r>
      <w:r w:rsidRPr="00710A26">
        <w:rPr>
          <w:rFonts w:eastAsia="Calibri" w:cstheme="minorHAnsi"/>
          <w:sz w:val="22"/>
          <w:szCs w:val="22"/>
        </w:rPr>
        <w:t xml:space="preserve"> (Lead </w:t>
      </w:r>
      <w:r>
        <w:rPr>
          <w:rFonts w:eastAsia="Calibri" w:cstheme="minorHAnsi"/>
          <w:sz w:val="22"/>
          <w:szCs w:val="22"/>
        </w:rPr>
        <w:t>Administrator</w:t>
      </w:r>
      <w:r w:rsidRPr="00710A26">
        <w:rPr>
          <w:rFonts w:eastAsia="Calibri" w:cstheme="minorHAnsi"/>
          <w:sz w:val="22"/>
          <w:szCs w:val="22"/>
        </w:rPr>
        <w:t xml:space="preserve"> 10)</w:t>
      </w:r>
    </w:p>
    <w:p w14:paraId="63C635ED" w14:textId="77777777" w:rsidR="00E03825" w:rsidRPr="00E03825" w:rsidRDefault="00E03825" w:rsidP="00E03825">
      <w:pPr>
        <w:ind w:left="720"/>
        <w:rPr>
          <w:rFonts w:eastAsia="Calibri" w:cstheme="minorHAnsi"/>
          <w:sz w:val="22"/>
          <w:szCs w:val="22"/>
        </w:rPr>
      </w:pPr>
    </w:p>
    <w:p w14:paraId="58E08EAC" w14:textId="08FE6D74" w:rsidR="008D0F16" w:rsidRPr="00A17C4D" w:rsidRDefault="008D0F16" w:rsidP="00A17C4D">
      <w:pPr>
        <w:spacing w:after="120"/>
        <w:rPr>
          <w:b/>
          <w:bCs/>
          <w:i/>
          <w:iCs/>
          <w:color w:val="6A7F0F"/>
          <w:highlight w:val="white"/>
        </w:rPr>
      </w:pPr>
      <w:r w:rsidRPr="00A17C4D">
        <w:rPr>
          <w:b/>
          <w:bCs/>
          <w:i/>
          <w:iCs/>
          <w:color w:val="6A7F0F"/>
          <w:highlight w:val="white"/>
        </w:rPr>
        <w:t>Community Health</w:t>
      </w:r>
    </w:p>
    <w:p w14:paraId="5BD64D3F" w14:textId="77777777" w:rsidR="007E3335" w:rsidRPr="00710A26" w:rsidRDefault="007E3335" w:rsidP="007E3335">
      <w:pPr>
        <w:rPr>
          <w:rFonts w:eastAsia="Calibri" w:cstheme="minorHAnsi"/>
          <w:sz w:val="22"/>
          <w:szCs w:val="22"/>
        </w:rPr>
      </w:pPr>
      <w:r w:rsidRPr="00710A26">
        <w:rPr>
          <w:rFonts w:eastAsia="Calibri" w:cstheme="minorHAnsi"/>
          <w:sz w:val="22"/>
          <w:szCs w:val="22"/>
        </w:rPr>
        <w:t xml:space="preserve">There are multiple definitions of community health; this evaluation relies on Goodman, Bunnell, and Posner’s </w:t>
      </w:r>
      <w:r>
        <w:rPr>
          <w:rFonts w:eastAsia="Calibri" w:cstheme="minorHAnsi"/>
          <w:sz w:val="22"/>
          <w:szCs w:val="22"/>
        </w:rPr>
        <w:t xml:space="preserve">(2014) </w:t>
      </w:r>
      <w:r w:rsidRPr="00710A26">
        <w:rPr>
          <w:rFonts w:eastAsia="Calibri" w:cstheme="minorHAnsi"/>
          <w:sz w:val="22"/>
          <w:szCs w:val="22"/>
        </w:rPr>
        <w:t xml:space="preserve">definition, which states: </w:t>
      </w:r>
    </w:p>
    <w:p w14:paraId="6CE4E53C" w14:textId="77777777" w:rsidR="00E03825" w:rsidRDefault="00E03825" w:rsidP="008D0F16">
      <w:pPr>
        <w:ind w:left="720"/>
        <w:rPr>
          <w:rFonts w:eastAsia="Calibri" w:cstheme="minorHAnsi"/>
          <w:i/>
          <w:sz w:val="22"/>
          <w:szCs w:val="22"/>
        </w:rPr>
      </w:pPr>
    </w:p>
    <w:p w14:paraId="36070B56" w14:textId="36EAE877" w:rsidR="008D0F16" w:rsidRPr="00710A26" w:rsidRDefault="008D0F16" w:rsidP="008D0F16">
      <w:pPr>
        <w:ind w:left="720"/>
        <w:rPr>
          <w:rFonts w:eastAsia="Calibri" w:cstheme="minorHAnsi"/>
          <w:sz w:val="22"/>
          <w:szCs w:val="22"/>
        </w:rPr>
      </w:pPr>
      <w:r w:rsidRPr="00710A26">
        <w:rPr>
          <w:rFonts w:eastAsia="Calibri" w:cstheme="minorHAnsi"/>
          <w:i/>
          <w:sz w:val="22"/>
          <w:szCs w:val="22"/>
        </w:rPr>
        <w:t>Community health</w:t>
      </w:r>
      <w:r w:rsidRPr="00710A26">
        <w:rPr>
          <w:rFonts w:eastAsia="Calibri" w:cstheme="minorHAnsi"/>
          <w:sz w:val="22"/>
          <w:szCs w:val="22"/>
        </w:rPr>
        <w:t> is a multi-sector and multi-disciplinary collaborative enterprise that uses public health science, evidence-based strategies, and other approaches to engage and work with communities, in a culturally appropriate manner, to optimize the health and quality of life of all persons who live, work, or are otherwise active in a defined community or communities.</w:t>
      </w:r>
    </w:p>
    <w:p w14:paraId="474AAAC6" w14:textId="77777777" w:rsidR="008D0F16" w:rsidRPr="00710A26" w:rsidRDefault="008D0F16" w:rsidP="008D0F16">
      <w:pPr>
        <w:ind w:left="720"/>
        <w:rPr>
          <w:rFonts w:eastAsia="Calibri" w:cstheme="minorHAnsi"/>
          <w:sz w:val="22"/>
          <w:szCs w:val="22"/>
        </w:rPr>
      </w:pPr>
    </w:p>
    <w:p w14:paraId="2A3592FA" w14:textId="5C7C5BCA" w:rsidR="007E3335" w:rsidRPr="00710A26" w:rsidRDefault="007E3335" w:rsidP="007E3335">
      <w:pPr>
        <w:rPr>
          <w:rFonts w:eastAsia="Calibri" w:cstheme="minorHAnsi"/>
          <w:sz w:val="22"/>
          <w:szCs w:val="22"/>
        </w:rPr>
      </w:pPr>
      <w:r w:rsidRPr="00710A26">
        <w:rPr>
          <w:rFonts w:eastAsia="Calibri" w:cstheme="minorHAnsi"/>
          <w:sz w:val="22"/>
          <w:szCs w:val="22"/>
        </w:rPr>
        <w:t xml:space="preserve">An equity-centered approach to community health is attentive to </w:t>
      </w:r>
      <w:r>
        <w:rPr>
          <w:rFonts w:eastAsia="Calibri" w:cstheme="minorHAnsi"/>
          <w:sz w:val="22"/>
          <w:szCs w:val="22"/>
        </w:rPr>
        <w:t xml:space="preserve">both </w:t>
      </w:r>
      <w:r w:rsidRPr="00710A26">
        <w:rPr>
          <w:rFonts w:eastAsia="Calibri" w:cstheme="minorHAnsi"/>
          <w:sz w:val="22"/>
          <w:szCs w:val="22"/>
        </w:rPr>
        <w:t xml:space="preserve">power and trust (Yu </w:t>
      </w:r>
      <w:r w:rsidR="00517AAA">
        <w:rPr>
          <w:rFonts w:eastAsia="Calibri" w:cstheme="minorHAnsi"/>
          <w:sz w:val="22"/>
          <w:szCs w:val="22"/>
        </w:rPr>
        <w:t>and</w:t>
      </w:r>
      <w:r w:rsidRPr="00710A26">
        <w:rPr>
          <w:rFonts w:eastAsia="Calibri" w:cstheme="minorHAnsi"/>
          <w:sz w:val="22"/>
          <w:szCs w:val="22"/>
        </w:rPr>
        <w:t xml:space="preserve"> Haskins, 2022). It also requires a commitment of time and other resources to ensure that all community partners understand how racism and other forms of oppression manifest in organizations, systems, and policies in the community (Yu </w:t>
      </w:r>
      <w:r w:rsidR="00517AAA">
        <w:rPr>
          <w:rFonts w:eastAsia="Calibri" w:cstheme="minorHAnsi"/>
          <w:sz w:val="22"/>
          <w:szCs w:val="22"/>
        </w:rPr>
        <w:t>and</w:t>
      </w:r>
      <w:r w:rsidRPr="00710A26">
        <w:rPr>
          <w:rFonts w:eastAsia="Calibri" w:cstheme="minorHAnsi"/>
          <w:sz w:val="22"/>
          <w:szCs w:val="22"/>
        </w:rPr>
        <w:t xml:space="preserve"> Haskins, 2022). </w:t>
      </w:r>
      <w:r>
        <w:rPr>
          <w:rFonts w:eastAsia="Calibri" w:cstheme="minorHAnsi"/>
          <w:sz w:val="22"/>
          <w:szCs w:val="22"/>
        </w:rPr>
        <w:t>A</w:t>
      </w:r>
      <w:r w:rsidRPr="00EB31B2">
        <w:rPr>
          <w:rFonts w:eastAsia="Calibri" w:cstheme="minorHAnsi"/>
          <w:sz w:val="22"/>
          <w:szCs w:val="22"/>
        </w:rPr>
        <w:t>ssessing cost</w:t>
      </w:r>
      <w:r>
        <w:rPr>
          <w:rFonts w:eastAsia="Calibri" w:cstheme="minorHAnsi"/>
          <w:sz w:val="22"/>
          <w:szCs w:val="22"/>
        </w:rPr>
        <w:t>s</w:t>
      </w:r>
      <w:r w:rsidRPr="00EB31B2">
        <w:rPr>
          <w:rFonts w:eastAsia="Calibri" w:cstheme="minorHAnsi"/>
          <w:sz w:val="22"/>
          <w:szCs w:val="22"/>
        </w:rPr>
        <w:t xml:space="preserve"> must </w:t>
      </w:r>
      <w:r>
        <w:rPr>
          <w:rFonts w:eastAsia="Calibri" w:cstheme="minorHAnsi"/>
          <w:sz w:val="22"/>
          <w:szCs w:val="22"/>
        </w:rPr>
        <w:t>also consider</w:t>
      </w:r>
      <w:r w:rsidRPr="00EB31B2">
        <w:rPr>
          <w:rFonts w:eastAsia="Calibri" w:cstheme="minorHAnsi"/>
          <w:sz w:val="22"/>
          <w:szCs w:val="22"/>
        </w:rPr>
        <w:t xml:space="preserve"> value for investment; the CCBHC model has facilitated cross-sector collaboration and greater engagement with CBO</w:t>
      </w:r>
      <w:r>
        <w:rPr>
          <w:rFonts w:eastAsia="Calibri" w:cstheme="minorHAnsi"/>
          <w:sz w:val="22"/>
          <w:szCs w:val="22"/>
        </w:rPr>
        <w:t>s</w:t>
      </w:r>
      <w:r w:rsidRPr="00EB31B2">
        <w:rPr>
          <w:rFonts w:eastAsia="Calibri" w:cstheme="minorHAnsi"/>
          <w:sz w:val="22"/>
          <w:szCs w:val="22"/>
        </w:rPr>
        <w:t xml:space="preserve">, which supports overall community health. </w:t>
      </w:r>
      <w:r w:rsidRPr="00710A26">
        <w:rPr>
          <w:rFonts w:eastAsia="Calibri" w:cstheme="minorHAnsi"/>
          <w:sz w:val="22"/>
          <w:szCs w:val="22"/>
        </w:rPr>
        <w:t xml:space="preserve">One key interested party noted the importance of </w:t>
      </w:r>
      <w:r w:rsidRPr="00710A26">
        <w:rPr>
          <w:rFonts w:eastAsia="Calibri" w:cstheme="minorHAnsi"/>
          <w:color w:val="000000"/>
          <w:sz w:val="22"/>
          <w:szCs w:val="22"/>
        </w:rPr>
        <w:t>“</w:t>
      </w:r>
      <w:r w:rsidRPr="00710A26">
        <w:rPr>
          <w:rFonts w:eastAsia="Calibri" w:cstheme="minorHAnsi"/>
          <w:i/>
          <w:color w:val="000000"/>
          <w:sz w:val="22"/>
          <w:szCs w:val="22"/>
        </w:rPr>
        <w:t>community involvement and…being led by the wisdom and experience of our communities of color and people with lived experience</w:t>
      </w:r>
      <w:r>
        <w:rPr>
          <w:rFonts w:eastAsia="Calibri" w:cstheme="minorHAnsi"/>
          <w:i/>
          <w:color w:val="000000"/>
          <w:sz w:val="22"/>
          <w:szCs w:val="22"/>
        </w:rPr>
        <w:t>”</w:t>
      </w:r>
      <w:r w:rsidRPr="00710A26">
        <w:rPr>
          <w:rFonts w:eastAsia="Calibri" w:cstheme="minorHAnsi"/>
          <w:color w:val="000000"/>
          <w:sz w:val="22"/>
          <w:szCs w:val="22"/>
        </w:rPr>
        <w:t xml:space="preserve"> (</w:t>
      </w:r>
      <w:r>
        <w:rPr>
          <w:rFonts w:eastAsia="Calibri" w:cstheme="minorHAnsi"/>
          <w:color w:val="000000"/>
          <w:sz w:val="22"/>
          <w:szCs w:val="22"/>
        </w:rPr>
        <w:t>Interested Party</w:t>
      </w:r>
      <w:r w:rsidRPr="00710A26">
        <w:rPr>
          <w:rFonts w:eastAsia="Calibri" w:cstheme="minorHAnsi"/>
          <w:color w:val="000000"/>
          <w:sz w:val="22"/>
          <w:szCs w:val="22"/>
        </w:rPr>
        <w:t xml:space="preserve"> 08).</w:t>
      </w:r>
    </w:p>
    <w:p w14:paraId="64545410" w14:textId="77777777" w:rsidR="007E3335" w:rsidRPr="00710A26" w:rsidRDefault="007E3335" w:rsidP="007E3335">
      <w:pPr>
        <w:rPr>
          <w:rFonts w:eastAsia="Calibri" w:cstheme="minorHAnsi"/>
          <w:sz w:val="22"/>
          <w:szCs w:val="22"/>
        </w:rPr>
      </w:pPr>
    </w:p>
    <w:p w14:paraId="6BE11A2F" w14:textId="371A5C9F" w:rsidR="007E3335" w:rsidRDefault="007E3335" w:rsidP="007E3335">
      <w:pPr>
        <w:rPr>
          <w:rFonts w:eastAsia="Calibri" w:cstheme="minorHAnsi"/>
          <w:sz w:val="22"/>
          <w:szCs w:val="22"/>
        </w:rPr>
      </w:pPr>
      <w:r w:rsidRPr="00710A26">
        <w:rPr>
          <w:rFonts w:eastAsia="Calibri" w:cstheme="minorHAnsi"/>
          <w:sz w:val="22"/>
          <w:szCs w:val="22"/>
        </w:rPr>
        <w:t>While the</w:t>
      </w:r>
      <w:r>
        <w:rPr>
          <w:rFonts w:eastAsia="Calibri" w:cstheme="minorHAnsi"/>
          <w:sz w:val="22"/>
          <w:szCs w:val="22"/>
        </w:rPr>
        <w:t>se</w:t>
      </w:r>
      <w:r w:rsidRPr="00710A26">
        <w:rPr>
          <w:rFonts w:eastAsia="Calibri" w:cstheme="minorHAnsi"/>
          <w:sz w:val="22"/>
          <w:szCs w:val="22"/>
        </w:rPr>
        <w:t xml:space="preserve"> evaluation</w:t>
      </w:r>
      <w:r>
        <w:rPr>
          <w:rFonts w:eastAsia="Calibri" w:cstheme="minorHAnsi"/>
          <w:sz w:val="22"/>
          <w:szCs w:val="22"/>
        </w:rPr>
        <w:t xml:space="preserve"> data</w:t>
      </w:r>
      <w:r w:rsidRPr="00710A26">
        <w:rPr>
          <w:rFonts w:eastAsia="Calibri" w:cstheme="minorHAnsi"/>
          <w:sz w:val="22"/>
          <w:szCs w:val="22"/>
        </w:rPr>
        <w:t xml:space="preserve"> </w:t>
      </w:r>
      <w:r>
        <w:rPr>
          <w:rFonts w:eastAsia="Calibri" w:cstheme="minorHAnsi"/>
          <w:sz w:val="22"/>
          <w:szCs w:val="22"/>
        </w:rPr>
        <w:t>are</w:t>
      </w:r>
      <w:r w:rsidRPr="00710A26">
        <w:rPr>
          <w:rFonts w:eastAsia="Calibri" w:cstheme="minorHAnsi"/>
          <w:sz w:val="22"/>
          <w:szCs w:val="22"/>
        </w:rPr>
        <w:t xml:space="preserve"> limited in </w:t>
      </w:r>
      <w:r>
        <w:rPr>
          <w:rFonts w:eastAsia="Calibri" w:cstheme="minorHAnsi"/>
          <w:sz w:val="22"/>
          <w:szCs w:val="22"/>
        </w:rPr>
        <w:t>responding to the question of the influence of</w:t>
      </w:r>
      <w:r w:rsidRPr="00710A26">
        <w:rPr>
          <w:rFonts w:eastAsia="Calibri" w:cstheme="minorHAnsi"/>
          <w:sz w:val="22"/>
          <w:szCs w:val="22"/>
        </w:rPr>
        <w:t xml:space="preserve"> CCBHCs </w:t>
      </w:r>
      <w:r>
        <w:rPr>
          <w:rFonts w:eastAsia="Calibri" w:cstheme="minorHAnsi"/>
          <w:sz w:val="22"/>
          <w:szCs w:val="22"/>
        </w:rPr>
        <w:t>on</w:t>
      </w:r>
      <w:r w:rsidRPr="00710A26">
        <w:rPr>
          <w:rFonts w:eastAsia="Calibri" w:cstheme="minorHAnsi"/>
          <w:sz w:val="22"/>
          <w:szCs w:val="22"/>
        </w:rPr>
        <w:t xml:space="preserve"> community health outcomes, qualitative data highlight the perceptions of interested parties, CBO representatives, service users, and clinic leaders on the ability of CCBHCs to improve community health and CCBHC strategies that show promise for improving community health. A review of 4</w:t>
      </w:r>
      <w:r>
        <w:rPr>
          <w:rFonts w:eastAsia="Calibri" w:cstheme="minorHAnsi"/>
          <w:sz w:val="22"/>
          <w:szCs w:val="22"/>
        </w:rPr>
        <w:t>4</w:t>
      </w:r>
      <w:r w:rsidRPr="00710A26">
        <w:rPr>
          <w:rFonts w:eastAsia="Calibri" w:cstheme="minorHAnsi"/>
          <w:sz w:val="22"/>
          <w:szCs w:val="22"/>
        </w:rPr>
        <w:t xml:space="preserve"> community health reports</w:t>
      </w:r>
      <w:r>
        <w:rPr>
          <w:rFonts w:eastAsia="Calibri" w:cstheme="minorHAnsi"/>
          <w:sz w:val="22"/>
          <w:szCs w:val="22"/>
        </w:rPr>
        <w:t>,</w:t>
      </w:r>
      <w:r w:rsidRPr="00710A26">
        <w:rPr>
          <w:rFonts w:eastAsia="Calibri" w:cstheme="minorHAnsi"/>
          <w:sz w:val="22"/>
          <w:szCs w:val="22"/>
        </w:rPr>
        <w:t xml:space="preserve"> published from 2016 to 2022</w:t>
      </w:r>
      <w:r>
        <w:rPr>
          <w:rFonts w:eastAsia="Calibri" w:cstheme="minorHAnsi"/>
          <w:sz w:val="22"/>
          <w:szCs w:val="22"/>
        </w:rPr>
        <w:t>,</w:t>
      </w:r>
      <w:r w:rsidRPr="00710A26">
        <w:rPr>
          <w:rFonts w:eastAsia="Calibri" w:cstheme="minorHAnsi"/>
          <w:sz w:val="22"/>
          <w:szCs w:val="22"/>
        </w:rPr>
        <w:t xml:space="preserve"> f</w:t>
      </w:r>
      <w:r>
        <w:rPr>
          <w:rFonts w:eastAsia="Calibri" w:cstheme="minorHAnsi"/>
          <w:sz w:val="22"/>
          <w:szCs w:val="22"/>
        </w:rPr>
        <w:t xml:space="preserve">rom </w:t>
      </w:r>
      <w:r w:rsidRPr="00710A26">
        <w:rPr>
          <w:rFonts w:eastAsia="Calibri" w:cstheme="minorHAnsi"/>
          <w:sz w:val="22"/>
          <w:szCs w:val="22"/>
        </w:rPr>
        <w:t>communities w</w:t>
      </w:r>
      <w:r>
        <w:rPr>
          <w:rFonts w:eastAsia="Calibri" w:cstheme="minorHAnsi"/>
          <w:sz w:val="22"/>
          <w:szCs w:val="22"/>
        </w:rPr>
        <w:t>here</w:t>
      </w:r>
      <w:r w:rsidRPr="00710A26">
        <w:rPr>
          <w:rFonts w:eastAsia="Calibri" w:cstheme="minorHAnsi"/>
          <w:sz w:val="22"/>
          <w:szCs w:val="22"/>
        </w:rPr>
        <w:t xml:space="preserve"> a CCBHC </w:t>
      </w:r>
      <w:r>
        <w:rPr>
          <w:rFonts w:eastAsia="Calibri" w:cstheme="minorHAnsi"/>
          <w:sz w:val="22"/>
          <w:szCs w:val="22"/>
        </w:rPr>
        <w:t xml:space="preserve">was located </w:t>
      </w:r>
      <w:r w:rsidRPr="00710A26">
        <w:rPr>
          <w:rFonts w:eastAsia="Calibri" w:cstheme="minorHAnsi"/>
          <w:sz w:val="22"/>
          <w:szCs w:val="22"/>
        </w:rPr>
        <w:t xml:space="preserve">also provides important contextual information about community health needs and priorities (refer to </w:t>
      </w:r>
      <w:hyperlink w:anchor="_Appendix_1:_Summary" w:history="1">
        <w:r w:rsidRPr="00E9071F">
          <w:rPr>
            <w:rStyle w:val="Hyperlink"/>
            <w:rFonts w:eastAsia="Calibri" w:cstheme="minorHAnsi"/>
            <w:sz w:val="22"/>
            <w:szCs w:val="22"/>
          </w:rPr>
          <w:t>Appendix 1</w:t>
        </w:r>
      </w:hyperlink>
      <w:r>
        <w:rPr>
          <w:rFonts w:eastAsia="Calibri" w:cstheme="minorHAnsi"/>
          <w:sz w:val="22"/>
          <w:szCs w:val="22"/>
        </w:rPr>
        <w:t xml:space="preserve"> </w:t>
      </w:r>
      <w:r w:rsidRPr="00710A26">
        <w:rPr>
          <w:rFonts w:eastAsia="Calibri" w:cstheme="minorHAnsi"/>
          <w:sz w:val="22"/>
          <w:szCs w:val="22"/>
        </w:rPr>
        <w:t xml:space="preserve">for a summary of </w:t>
      </w:r>
      <w:r>
        <w:rPr>
          <w:rFonts w:eastAsia="Calibri" w:cstheme="minorHAnsi"/>
          <w:sz w:val="22"/>
          <w:szCs w:val="22"/>
        </w:rPr>
        <w:t xml:space="preserve">these </w:t>
      </w:r>
      <w:r w:rsidRPr="00710A26">
        <w:rPr>
          <w:rFonts w:eastAsia="Calibri" w:cstheme="minorHAnsi"/>
          <w:sz w:val="22"/>
          <w:szCs w:val="22"/>
        </w:rPr>
        <w:t>community health reports).</w:t>
      </w:r>
    </w:p>
    <w:p w14:paraId="096015B5" w14:textId="77777777" w:rsidR="003E3DE4" w:rsidRDefault="003E3DE4" w:rsidP="007E3335">
      <w:pPr>
        <w:rPr>
          <w:rFonts w:eastAsia="Calibri" w:cstheme="minorHAnsi"/>
          <w:sz w:val="22"/>
          <w:szCs w:val="22"/>
        </w:rPr>
      </w:pPr>
    </w:p>
    <w:p w14:paraId="35B6770F" w14:textId="3FE34F96" w:rsidR="007E3335" w:rsidRDefault="007E3335" w:rsidP="007E3335">
      <w:pPr>
        <w:rPr>
          <w:rFonts w:eastAsia="Calibri" w:cstheme="minorHAnsi"/>
          <w:sz w:val="22"/>
          <w:szCs w:val="22"/>
        </w:rPr>
      </w:pPr>
      <w:r w:rsidRPr="00710A26">
        <w:rPr>
          <w:rFonts w:eastAsia="Calibri" w:cstheme="minorHAnsi"/>
          <w:sz w:val="22"/>
          <w:szCs w:val="22"/>
        </w:rPr>
        <w:t>Of the 4</w:t>
      </w:r>
      <w:r>
        <w:rPr>
          <w:rFonts w:eastAsia="Calibri" w:cstheme="minorHAnsi"/>
          <w:sz w:val="22"/>
          <w:szCs w:val="22"/>
        </w:rPr>
        <w:t>4</w:t>
      </w:r>
      <w:r w:rsidRPr="00710A26">
        <w:rPr>
          <w:rFonts w:eastAsia="Calibri" w:cstheme="minorHAnsi"/>
          <w:sz w:val="22"/>
          <w:szCs w:val="22"/>
        </w:rPr>
        <w:t xml:space="preserve"> reports reviewed, </w:t>
      </w:r>
      <w:r>
        <w:rPr>
          <w:rFonts w:eastAsia="Calibri" w:cstheme="minorHAnsi"/>
          <w:sz w:val="22"/>
          <w:szCs w:val="22"/>
        </w:rPr>
        <w:t>33</w:t>
      </w:r>
      <w:r w:rsidRPr="00710A26">
        <w:rPr>
          <w:rFonts w:eastAsia="Calibri" w:cstheme="minorHAnsi"/>
          <w:sz w:val="22"/>
          <w:szCs w:val="22"/>
        </w:rPr>
        <w:t xml:space="preserve"> list</w:t>
      </w:r>
      <w:r>
        <w:rPr>
          <w:rFonts w:eastAsia="Calibri" w:cstheme="minorHAnsi"/>
          <w:sz w:val="22"/>
          <w:szCs w:val="22"/>
        </w:rPr>
        <w:t>ed</w:t>
      </w:r>
      <w:r w:rsidRPr="00710A26">
        <w:rPr>
          <w:rFonts w:eastAsia="Calibri" w:cstheme="minorHAnsi"/>
          <w:sz w:val="22"/>
          <w:szCs w:val="22"/>
        </w:rPr>
        <w:t xml:space="preserve"> behavioral health (defined as mental health and/or substance use-related health concerns) as a priority. </w:t>
      </w:r>
      <w:r>
        <w:rPr>
          <w:rFonts w:eastAsia="Calibri" w:cstheme="minorHAnsi"/>
          <w:sz w:val="22"/>
          <w:szCs w:val="22"/>
        </w:rPr>
        <w:t>Fifteen</w:t>
      </w:r>
      <w:r w:rsidRPr="00710A26">
        <w:rPr>
          <w:rFonts w:eastAsia="Calibri" w:cstheme="minorHAnsi"/>
          <w:sz w:val="22"/>
          <w:szCs w:val="22"/>
        </w:rPr>
        <w:t xml:space="preserve"> of the reports specified suicide and 12 reports referenced substance and alcohol use as priority concerns. In </w:t>
      </w:r>
      <w:r>
        <w:rPr>
          <w:rFonts w:eastAsia="Calibri" w:cstheme="minorHAnsi"/>
          <w:sz w:val="22"/>
          <w:szCs w:val="22"/>
        </w:rPr>
        <w:t>21</w:t>
      </w:r>
      <w:r w:rsidRPr="00710A26">
        <w:rPr>
          <w:rFonts w:eastAsia="Calibri" w:cstheme="minorHAnsi"/>
          <w:sz w:val="22"/>
          <w:szCs w:val="22"/>
        </w:rPr>
        <w:t xml:space="preserve"> reports, stigma related to behavioral health was reported as an ongoing challenge</w:t>
      </w:r>
      <w:r>
        <w:rPr>
          <w:rFonts w:eastAsia="Calibri" w:cstheme="minorHAnsi"/>
          <w:sz w:val="22"/>
          <w:szCs w:val="22"/>
        </w:rPr>
        <w:t xml:space="preserve"> that served as a barrier to help-seeking</w:t>
      </w:r>
      <w:r w:rsidRPr="00710A26">
        <w:rPr>
          <w:rFonts w:eastAsia="Calibri" w:cstheme="minorHAnsi"/>
          <w:sz w:val="22"/>
          <w:szCs w:val="22"/>
        </w:rPr>
        <w:t>. All communities listed behavioral health as a priority in at least one report; several noted it as a community priority in multiple years.</w:t>
      </w:r>
      <w:r>
        <w:rPr>
          <w:rFonts w:eastAsia="Calibri" w:cstheme="minorHAnsi"/>
          <w:sz w:val="22"/>
          <w:szCs w:val="22"/>
        </w:rPr>
        <w:t xml:space="preserve"> </w:t>
      </w:r>
      <w:r w:rsidRPr="00710A26">
        <w:rPr>
          <w:rFonts w:eastAsia="Calibri" w:cstheme="minorHAnsi"/>
          <w:sz w:val="22"/>
          <w:szCs w:val="22"/>
        </w:rPr>
        <w:t>Notably, only one report mention</w:t>
      </w:r>
      <w:r>
        <w:rPr>
          <w:rFonts w:eastAsia="Calibri" w:cstheme="minorHAnsi"/>
          <w:sz w:val="22"/>
          <w:szCs w:val="22"/>
        </w:rPr>
        <w:t>ed</w:t>
      </w:r>
      <w:r w:rsidRPr="00710A26">
        <w:rPr>
          <w:rFonts w:eastAsia="Calibri" w:cstheme="minorHAnsi"/>
          <w:sz w:val="22"/>
          <w:szCs w:val="22"/>
        </w:rPr>
        <w:t xml:space="preserve"> CCBHCs as a potential strategy to address community behavioral health needs. One 2018 community health assessment report acknowledge</w:t>
      </w:r>
      <w:r>
        <w:rPr>
          <w:rFonts w:eastAsia="Calibri" w:cstheme="minorHAnsi"/>
          <w:sz w:val="22"/>
          <w:szCs w:val="22"/>
        </w:rPr>
        <w:t>d</w:t>
      </w:r>
      <w:r w:rsidRPr="00710A26">
        <w:rPr>
          <w:rFonts w:eastAsia="Calibri" w:cstheme="minorHAnsi"/>
          <w:sz w:val="22"/>
          <w:szCs w:val="22"/>
        </w:rPr>
        <w:t xml:space="preserve"> the local CCBHC but d</w:t>
      </w:r>
      <w:r>
        <w:rPr>
          <w:rFonts w:eastAsia="Calibri" w:cstheme="minorHAnsi"/>
          <w:sz w:val="22"/>
          <w:szCs w:val="22"/>
        </w:rPr>
        <w:t xml:space="preserve">id </w:t>
      </w:r>
      <w:r w:rsidRPr="00710A26">
        <w:rPr>
          <w:rFonts w:eastAsia="Calibri" w:cstheme="minorHAnsi"/>
          <w:sz w:val="22"/>
          <w:szCs w:val="22"/>
        </w:rPr>
        <w:t xml:space="preserve">not mention that </w:t>
      </w:r>
      <w:r>
        <w:rPr>
          <w:rFonts w:eastAsia="Calibri" w:cstheme="minorHAnsi"/>
          <w:sz w:val="22"/>
          <w:szCs w:val="22"/>
        </w:rPr>
        <w:t>the CCBHC</w:t>
      </w:r>
      <w:r w:rsidRPr="00710A26">
        <w:rPr>
          <w:rFonts w:eastAsia="Calibri" w:cstheme="minorHAnsi"/>
          <w:sz w:val="22"/>
          <w:szCs w:val="22"/>
        </w:rPr>
        <w:t xml:space="preserve"> serve</w:t>
      </w:r>
      <w:r>
        <w:rPr>
          <w:rFonts w:eastAsia="Calibri" w:cstheme="minorHAnsi"/>
          <w:sz w:val="22"/>
          <w:szCs w:val="22"/>
        </w:rPr>
        <w:t>d</w:t>
      </w:r>
      <w:r w:rsidRPr="00710A26">
        <w:rPr>
          <w:rFonts w:eastAsia="Calibri" w:cstheme="minorHAnsi"/>
          <w:sz w:val="22"/>
          <w:szCs w:val="22"/>
        </w:rPr>
        <w:t xml:space="preserve"> individuals regardless of insurance status, instead indicating </w:t>
      </w:r>
      <w:r>
        <w:rPr>
          <w:rFonts w:eastAsia="Calibri" w:cstheme="minorHAnsi"/>
          <w:sz w:val="22"/>
          <w:szCs w:val="22"/>
        </w:rPr>
        <w:t xml:space="preserve">that the </w:t>
      </w:r>
      <w:r w:rsidRPr="00710A26">
        <w:rPr>
          <w:rFonts w:eastAsia="Calibri" w:cstheme="minorHAnsi"/>
          <w:sz w:val="22"/>
          <w:szCs w:val="22"/>
        </w:rPr>
        <w:t>clinic serve</w:t>
      </w:r>
      <w:r>
        <w:rPr>
          <w:rFonts w:eastAsia="Calibri" w:cstheme="minorHAnsi"/>
          <w:sz w:val="22"/>
          <w:szCs w:val="22"/>
        </w:rPr>
        <w:t>d</w:t>
      </w:r>
      <w:r w:rsidRPr="00710A26">
        <w:rPr>
          <w:rFonts w:eastAsia="Calibri" w:cstheme="minorHAnsi"/>
          <w:sz w:val="22"/>
          <w:szCs w:val="22"/>
        </w:rPr>
        <w:t xml:space="preserve"> </w:t>
      </w:r>
      <w:r>
        <w:rPr>
          <w:rFonts w:eastAsia="Calibri" w:cstheme="minorHAnsi"/>
          <w:sz w:val="22"/>
          <w:szCs w:val="22"/>
        </w:rPr>
        <w:t>OHP</w:t>
      </w:r>
      <w:r w:rsidRPr="00710A26">
        <w:rPr>
          <w:rFonts w:eastAsia="Calibri" w:cstheme="minorHAnsi"/>
          <w:sz w:val="22"/>
          <w:szCs w:val="22"/>
        </w:rPr>
        <w:t xml:space="preserve"> members. While many of the other reports reference</w:t>
      </w:r>
      <w:r>
        <w:rPr>
          <w:rFonts w:eastAsia="Calibri" w:cstheme="minorHAnsi"/>
          <w:sz w:val="22"/>
          <w:szCs w:val="22"/>
        </w:rPr>
        <w:t>d</w:t>
      </w:r>
      <w:r w:rsidRPr="00710A26">
        <w:rPr>
          <w:rFonts w:eastAsia="Calibri" w:cstheme="minorHAnsi"/>
          <w:sz w:val="22"/>
          <w:szCs w:val="22"/>
        </w:rPr>
        <w:t xml:space="preserve"> their local CCBHC, these reports d</w:t>
      </w:r>
      <w:r>
        <w:rPr>
          <w:rFonts w:eastAsia="Calibri" w:cstheme="minorHAnsi"/>
          <w:sz w:val="22"/>
          <w:szCs w:val="22"/>
        </w:rPr>
        <w:t>id</w:t>
      </w:r>
      <w:r w:rsidRPr="00710A26">
        <w:rPr>
          <w:rFonts w:eastAsia="Calibri" w:cstheme="minorHAnsi"/>
          <w:sz w:val="22"/>
          <w:szCs w:val="22"/>
        </w:rPr>
        <w:t xml:space="preserve"> not indicate that these clinics are </w:t>
      </w:r>
      <w:r>
        <w:rPr>
          <w:rFonts w:eastAsia="Calibri" w:cstheme="minorHAnsi"/>
          <w:sz w:val="22"/>
          <w:szCs w:val="22"/>
        </w:rPr>
        <w:t xml:space="preserve">funded and operated under the </w:t>
      </w:r>
      <w:r w:rsidRPr="00710A26">
        <w:rPr>
          <w:rFonts w:eastAsia="Calibri" w:cstheme="minorHAnsi"/>
          <w:sz w:val="22"/>
          <w:szCs w:val="22"/>
        </w:rPr>
        <w:t>CCBHC</w:t>
      </w:r>
      <w:r>
        <w:rPr>
          <w:rFonts w:eastAsia="Calibri" w:cstheme="minorHAnsi"/>
          <w:sz w:val="22"/>
          <w:szCs w:val="22"/>
        </w:rPr>
        <w:t xml:space="preserve"> standards,</w:t>
      </w:r>
      <w:r w:rsidRPr="00710A26">
        <w:rPr>
          <w:rFonts w:eastAsia="Calibri" w:cstheme="minorHAnsi"/>
          <w:sz w:val="22"/>
          <w:szCs w:val="22"/>
        </w:rPr>
        <w:t xml:space="preserve"> nor what that might mean for community behavioral health needs. This raises questions about the degree to which local community partners and the community at large are aware that CCBHCs provide services to individuals regardless of insurance status. This is </w:t>
      </w:r>
      <w:r>
        <w:rPr>
          <w:rFonts w:eastAsia="Calibri" w:cstheme="minorHAnsi"/>
          <w:sz w:val="22"/>
          <w:szCs w:val="22"/>
        </w:rPr>
        <w:t xml:space="preserve">a </w:t>
      </w:r>
      <w:r w:rsidRPr="00710A26">
        <w:rPr>
          <w:rFonts w:eastAsia="Calibri" w:cstheme="minorHAnsi"/>
          <w:sz w:val="22"/>
          <w:szCs w:val="22"/>
        </w:rPr>
        <w:t xml:space="preserve">concern </w:t>
      </w:r>
      <w:r>
        <w:rPr>
          <w:rFonts w:eastAsia="Calibri" w:cstheme="minorHAnsi"/>
          <w:sz w:val="22"/>
          <w:szCs w:val="22"/>
        </w:rPr>
        <w:t>since</w:t>
      </w:r>
      <w:r w:rsidRPr="00710A26">
        <w:rPr>
          <w:rFonts w:eastAsia="Calibri" w:cstheme="minorHAnsi"/>
          <w:sz w:val="22"/>
          <w:szCs w:val="22"/>
        </w:rPr>
        <w:t xml:space="preserve"> </w:t>
      </w:r>
      <w:r>
        <w:rPr>
          <w:rFonts w:eastAsia="Calibri" w:cstheme="minorHAnsi"/>
          <w:sz w:val="22"/>
          <w:szCs w:val="22"/>
        </w:rPr>
        <w:t>healthcare</w:t>
      </w:r>
      <w:r w:rsidRPr="00710A26">
        <w:rPr>
          <w:rFonts w:eastAsia="Calibri" w:cstheme="minorHAnsi"/>
          <w:sz w:val="22"/>
          <w:szCs w:val="22"/>
        </w:rPr>
        <w:t xml:space="preserve"> costs and lack of insurance </w:t>
      </w:r>
      <w:r>
        <w:rPr>
          <w:rFonts w:eastAsia="Calibri" w:cstheme="minorHAnsi"/>
          <w:sz w:val="22"/>
          <w:szCs w:val="22"/>
        </w:rPr>
        <w:t>were</w:t>
      </w:r>
      <w:r w:rsidRPr="00710A26">
        <w:rPr>
          <w:rFonts w:eastAsia="Calibri" w:cstheme="minorHAnsi"/>
          <w:sz w:val="22"/>
          <w:szCs w:val="22"/>
        </w:rPr>
        <w:t xml:space="preserve"> among the most commonly reported barriers in</w:t>
      </w:r>
      <w:r>
        <w:rPr>
          <w:rFonts w:eastAsia="Calibri" w:cstheme="minorHAnsi"/>
          <w:sz w:val="22"/>
          <w:szCs w:val="22"/>
        </w:rPr>
        <w:t xml:space="preserve"> the</w:t>
      </w:r>
      <w:r w:rsidRPr="00710A26">
        <w:rPr>
          <w:rFonts w:eastAsia="Calibri" w:cstheme="minorHAnsi"/>
          <w:sz w:val="22"/>
          <w:szCs w:val="22"/>
        </w:rPr>
        <w:t xml:space="preserve"> community health reports. Th</w:t>
      </w:r>
      <w:r>
        <w:rPr>
          <w:rFonts w:eastAsia="Calibri" w:cstheme="minorHAnsi"/>
          <w:sz w:val="22"/>
          <w:szCs w:val="22"/>
        </w:rPr>
        <w:t>ese findings have</w:t>
      </w:r>
      <w:r w:rsidRPr="00710A26">
        <w:rPr>
          <w:rFonts w:eastAsia="Calibri" w:cstheme="minorHAnsi"/>
          <w:sz w:val="22"/>
          <w:szCs w:val="22"/>
        </w:rPr>
        <w:t xml:space="preserve"> implications for equity; while </w:t>
      </w:r>
      <w:r>
        <w:rPr>
          <w:rFonts w:eastAsia="Calibri" w:cstheme="minorHAnsi"/>
          <w:sz w:val="22"/>
          <w:szCs w:val="22"/>
        </w:rPr>
        <w:t>approximately</w:t>
      </w:r>
      <w:r w:rsidRPr="00710A26">
        <w:rPr>
          <w:rFonts w:eastAsia="Calibri" w:cstheme="minorHAnsi"/>
          <w:sz w:val="22"/>
          <w:szCs w:val="22"/>
        </w:rPr>
        <w:t xml:space="preserve"> 1% fewer Oregonians had insurance in 2020 as compared to 2019, Latin</w:t>
      </w:r>
      <w:r>
        <w:rPr>
          <w:rFonts w:eastAsia="Calibri" w:cstheme="minorHAnsi"/>
          <w:sz w:val="22"/>
          <w:szCs w:val="22"/>
        </w:rPr>
        <w:t>o/a/x</w:t>
      </w:r>
      <w:r w:rsidRPr="00710A26">
        <w:rPr>
          <w:rFonts w:eastAsia="Calibri" w:cstheme="minorHAnsi"/>
          <w:sz w:val="22"/>
          <w:szCs w:val="22"/>
        </w:rPr>
        <w:t>, Black</w:t>
      </w:r>
      <w:r>
        <w:rPr>
          <w:rFonts w:cstheme="minorHAnsi"/>
          <w:sz w:val="22"/>
          <w:szCs w:val="22"/>
        </w:rPr>
        <w:t>/African American</w:t>
      </w:r>
      <w:r w:rsidRPr="00710A26">
        <w:rPr>
          <w:rFonts w:eastAsia="Calibri" w:cstheme="minorHAnsi"/>
          <w:sz w:val="22"/>
          <w:szCs w:val="22"/>
        </w:rPr>
        <w:t xml:space="preserve">, and Asian Oregonians experienced greater reductions in insurance coverage as compared to </w:t>
      </w:r>
      <w:r>
        <w:rPr>
          <w:rFonts w:eastAsia="Calibri" w:cstheme="minorHAnsi"/>
          <w:sz w:val="22"/>
          <w:szCs w:val="22"/>
        </w:rPr>
        <w:t>W</w:t>
      </w:r>
      <w:r w:rsidRPr="00710A26">
        <w:rPr>
          <w:rFonts w:eastAsia="Calibri" w:cstheme="minorHAnsi"/>
          <w:sz w:val="22"/>
          <w:szCs w:val="22"/>
        </w:rPr>
        <w:t xml:space="preserve">hite Oregonians </w:t>
      </w:r>
      <w:sdt>
        <w:sdtPr>
          <w:rPr>
            <w:rFonts w:cstheme="minorHAnsi"/>
          </w:rPr>
          <w:tag w:val="goog_rdk_3"/>
          <w:id w:val="-1800762371"/>
        </w:sdtPr>
        <w:sdtEndPr/>
        <w:sdtContent/>
      </w:sdt>
      <w:r w:rsidRPr="00710A26">
        <w:rPr>
          <w:rFonts w:eastAsia="Calibri" w:cstheme="minorHAnsi"/>
          <w:sz w:val="22"/>
          <w:szCs w:val="22"/>
        </w:rPr>
        <w:t>(OHA, 2021</w:t>
      </w:r>
      <w:r>
        <w:rPr>
          <w:rFonts w:eastAsia="Calibri" w:cstheme="minorHAnsi"/>
          <w:sz w:val="22"/>
          <w:szCs w:val="22"/>
        </w:rPr>
        <w:t>a</w:t>
      </w:r>
      <w:r w:rsidRPr="00710A26">
        <w:rPr>
          <w:rFonts w:eastAsia="Calibri" w:cstheme="minorHAnsi"/>
          <w:sz w:val="22"/>
          <w:szCs w:val="22"/>
        </w:rPr>
        <w:t xml:space="preserve">). </w:t>
      </w:r>
    </w:p>
    <w:p w14:paraId="3E2012B1" w14:textId="77777777" w:rsidR="008D0F16" w:rsidRDefault="008D0F16" w:rsidP="008D0F16">
      <w:pPr>
        <w:rPr>
          <w:rFonts w:eastAsia="Calibri" w:cstheme="minorHAnsi"/>
          <w:sz w:val="22"/>
          <w:szCs w:val="22"/>
        </w:rPr>
      </w:pPr>
    </w:p>
    <w:p w14:paraId="6DF63B75" w14:textId="0F3F3518" w:rsidR="007E3335" w:rsidRDefault="007E3335" w:rsidP="007E3335">
      <w:pPr>
        <w:rPr>
          <w:rFonts w:eastAsia="Calibri" w:cstheme="minorHAnsi"/>
          <w:sz w:val="22"/>
          <w:szCs w:val="22"/>
        </w:rPr>
      </w:pPr>
      <w:r w:rsidRPr="00710A26">
        <w:rPr>
          <w:rFonts w:eastAsia="Calibri" w:cstheme="minorHAnsi"/>
          <w:sz w:val="22"/>
          <w:szCs w:val="22"/>
        </w:rPr>
        <w:t xml:space="preserve">Addressing community health requires collaboration across different sectors and active engagement of the community. </w:t>
      </w:r>
      <w:r w:rsidRPr="00EB31B2">
        <w:rPr>
          <w:rFonts w:eastAsia="Calibri" w:cstheme="minorHAnsi"/>
          <w:sz w:val="22"/>
          <w:szCs w:val="22"/>
        </w:rPr>
        <w:t>While representatives from CBOs and service users reported positive perceptions of CCBHCs and the potential for CCBHCs to improve community health, they also identified persisting barriers to care in the community</w:t>
      </w:r>
      <w:r>
        <w:rPr>
          <w:rFonts w:eastAsia="Calibri" w:cstheme="minorHAnsi"/>
          <w:sz w:val="22"/>
          <w:szCs w:val="22"/>
        </w:rPr>
        <w:t>. Common themes that emerged among service users included a need for better access to behavioral health services, cost of care, and assistance with transportation</w:t>
      </w:r>
      <w:r w:rsidR="00DF6375">
        <w:rPr>
          <w:rFonts w:eastAsia="Calibri" w:cstheme="minorHAnsi"/>
          <w:sz w:val="22"/>
          <w:szCs w:val="22"/>
        </w:rPr>
        <w:t>.</w:t>
      </w:r>
    </w:p>
    <w:p w14:paraId="60A1B6B3" w14:textId="77777777" w:rsidR="00E03825" w:rsidRDefault="00E03825" w:rsidP="008D0F16">
      <w:pPr>
        <w:ind w:left="720"/>
        <w:rPr>
          <w:rFonts w:ascii="Calibri" w:hAnsi="Calibri" w:cs="Calibri"/>
          <w:i/>
          <w:sz w:val="22"/>
          <w:szCs w:val="22"/>
        </w:rPr>
      </w:pPr>
    </w:p>
    <w:p w14:paraId="337CD43A" w14:textId="460FA109" w:rsidR="008D0F16" w:rsidRPr="00D96B1E" w:rsidRDefault="008D0F16" w:rsidP="008D0F16">
      <w:pPr>
        <w:ind w:left="720"/>
        <w:rPr>
          <w:rFonts w:ascii="Calibri" w:hAnsi="Calibri" w:cs="Calibri"/>
          <w:iCs/>
          <w:sz w:val="22"/>
          <w:szCs w:val="22"/>
        </w:rPr>
      </w:pPr>
      <w:r w:rsidRPr="0065088E">
        <w:rPr>
          <w:rFonts w:ascii="Calibri" w:hAnsi="Calibri" w:cs="Calibri"/>
          <w:i/>
          <w:sz w:val="22"/>
          <w:szCs w:val="22"/>
        </w:rPr>
        <w:t xml:space="preserve">There is a very high need for mental health </w:t>
      </w:r>
      <w:r>
        <w:rPr>
          <w:rFonts w:ascii="Calibri" w:hAnsi="Calibri" w:cs="Calibri"/>
          <w:i/>
          <w:sz w:val="22"/>
          <w:szCs w:val="22"/>
        </w:rPr>
        <w:t>services</w:t>
      </w:r>
      <w:r w:rsidRPr="0065088E">
        <w:rPr>
          <w:rFonts w:ascii="Calibri" w:hAnsi="Calibri" w:cs="Calibri"/>
          <w:i/>
          <w:sz w:val="22"/>
          <w:szCs w:val="22"/>
        </w:rPr>
        <w:t xml:space="preserve"> for those individuals who are homeless. Seeing those patients when they come in is critical as many do not have phones to be called back on when scheduling appointments, nor the transportation to get to the clinic. It would be great to have those individuals seen the same day and to provide wraparound services and peer support to assist them</w:t>
      </w:r>
      <w:r w:rsidRPr="00D96B1E">
        <w:rPr>
          <w:rFonts w:ascii="Calibri" w:hAnsi="Calibri" w:cs="Calibri"/>
          <w:iCs/>
          <w:sz w:val="22"/>
          <w:szCs w:val="22"/>
        </w:rPr>
        <w:t>. (Service User 31)</w:t>
      </w:r>
    </w:p>
    <w:p w14:paraId="56E67163" w14:textId="77777777" w:rsidR="008D0F16" w:rsidRDefault="008D0F16" w:rsidP="008D0F16"/>
    <w:p w14:paraId="6198C545" w14:textId="77777777" w:rsidR="008D0F16" w:rsidRDefault="008D0F16" w:rsidP="008D0F16">
      <w:pPr>
        <w:pStyle w:val="ListParagraph"/>
        <w:rPr>
          <w:rFonts w:ascii="Calibri" w:eastAsia="Times New Roman" w:hAnsi="Calibri" w:cs="Calibri"/>
          <w:i/>
          <w:sz w:val="22"/>
          <w:szCs w:val="22"/>
        </w:rPr>
      </w:pPr>
      <w:r w:rsidRPr="00CA3D7F">
        <w:rPr>
          <w:rFonts w:ascii="Calibri" w:eastAsia="Calibri" w:hAnsi="Calibri" w:cs="Calibri"/>
          <w:i/>
          <w:sz w:val="22"/>
          <w:szCs w:val="22"/>
        </w:rPr>
        <w:t>But the transportation, there is no taxi service in [location]. There's no place to go if you need to get to a doctor appointment today or something. Transportation is a real issue for people here.</w:t>
      </w:r>
      <w:r w:rsidRPr="00CA3D7F">
        <w:rPr>
          <w:rFonts w:ascii="Calibri" w:eastAsia="Times New Roman" w:hAnsi="Calibri" w:cs="Calibri"/>
          <w:i/>
          <w:sz w:val="22"/>
          <w:szCs w:val="22"/>
        </w:rPr>
        <w:t xml:space="preserve">  </w:t>
      </w:r>
      <w:r w:rsidRPr="00D96B1E">
        <w:rPr>
          <w:rFonts w:ascii="Calibri" w:eastAsia="Times New Roman" w:hAnsi="Calibri" w:cs="Calibri"/>
          <w:iCs/>
          <w:sz w:val="22"/>
          <w:szCs w:val="22"/>
        </w:rPr>
        <w:t>(Service User 03)</w:t>
      </w:r>
    </w:p>
    <w:p w14:paraId="3CD4CDE5" w14:textId="77777777" w:rsidR="008D0F16" w:rsidRDefault="008D0F16" w:rsidP="008D0F16">
      <w:pPr>
        <w:pStyle w:val="ListParagraph"/>
        <w:rPr>
          <w:rFonts w:ascii="Calibri" w:eastAsia="Times New Roman" w:hAnsi="Calibri" w:cs="Calibri"/>
          <w:i/>
          <w:sz w:val="22"/>
          <w:szCs w:val="22"/>
        </w:rPr>
      </w:pPr>
    </w:p>
    <w:p w14:paraId="4AEB9E43" w14:textId="77777777" w:rsidR="008D0F16" w:rsidRDefault="008D0F16" w:rsidP="008D0F16">
      <w:pPr>
        <w:pStyle w:val="ListParagraph"/>
      </w:pPr>
      <w:r w:rsidRPr="00D80626">
        <w:rPr>
          <w:rFonts w:eastAsia="Calibri" w:cstheme="minorHAnsi"/>
          <w:i/>
          <w:sz w:val="22"/>
          <w:szCs w:val="22"/>
        </w:rPr>
        <w:t xml:space="preserve">People still cannot afford mental health therapy. Even people who have private insurance, </w:t>
      </w:r>
      <w:r w:rsidRPr="00D80626">
        <w:rPr>
          <w:rFonts w:eastAsia="Times New Roman" w:cstheme="minorHAnsi"/>
          <w:i/>
          <w:sz w:val="22"/>
          <w:szCs w:val="22"/>
        </w:rPr>
        <w:t>others</w:t>
      </w:r>
      <w:r w:rsidRPr="00D80626">
        <w:rPr>
          <w:rFonts w:eastAsia="Calibri" w:cstheme="minorHAnsi"/>
          <w:i/>
          <w:sz w:val="22"/>
          <w:szCs w:val="22"/>
        </w:rPr>
        <w:t xml:space="preserve"> think, "Oh, you have private insurance, it's a hundred percent covered." </w:t>
      </w:r>
      <w:r w:rsidRPr="00D80626">
        <w:rPr>
          <w:rFonts w:eastAsia="Times New Roman" w:cstheme="minorHAnsi"/>
          <w:i/>
          <w:sz w:val="22"/>
          <w:szCs w:val="22"/>
        </w:rPr>
        <w:t>But i</w:t>
      </w:r>
      <w:r w:rsidRPr="00D80626">
        <w:rPr>
          <w:rFonts w:eastAsia="Calibri" w:cstheme="minorHAnsi"/>
          <w:i/>
          <w:sz w:val="22"/>
          <w:szCs w:val="22"/>
        </w:rPr>
        <w:t xml:space="preserve">t's not. Because you still have to pay every month, then you have to pay a deductible and then a percentage. </w:t>
      </w:r>
      <w:r w:rsidRPr="00D80626">
        <w:rPr>
          <w:rFonts w:eastAsia="Times New Roman" w:cstheme="minorHAnsi"/>
          <w:i/>
          <w:sz w:val="22"/>
          <w:szCs w:val="22"/>
        </w:rPr>
        <w:t>I</w:t>
      </w:r>
      <w:r w:rsidRPr="00D80626">
        <w:rPr>
          <w:rFonts w:eastAsia="Calibri" w:cstheme="minorHAnsi"/>
          <w:i/>
          <w:sz w:val="22"/>
          <w:szCs w:val="22"/>
        </w:rPr>
        <w:t>t's crazy because people can't afford the care that they need</w:t>
      </w:r>
      <w:r w:rsidRPr="00D80626">
        <w:rPr>
          <w:rFonts w:eastAsia="Times New Roman" w:cstheme="minorHAnsi"/>
          <w:i/>
          <w:sz w:val="22"/>
          <w:szCs w:val="22"/>
        </w:rPr>
        <w:t>,</w:t>
      </w:r>
      <w:r w:rsidRPr="00D80626">
        <w:rPr>
          <w:rFonts w:eastAsia="Calibri" w:cstheme="minorHAnsi"/>
          <w:i/>
          <w:sz w:val="22"/>
          <w:szCs w:val="22"/>
        </w:rPr>
        <w:t xml:space="preserve"> that's a huge block for people getting </w:t>
      </w:r>
      <w:r w:rsidRPr="00D80626">
        <w:rPr>
          <w:rFonts w:eastAsia="Times New Roman" w:cstheme="minorHAnsi"/>
          <w:i/>
          <w:sz w:val="22"/>
          <w:szCs w:val="22"/>
        </w:rPr>
        <w:t>the help</w:t>
      </w:r>
      <w:r w:rsidRPr="00D80626">
        <w:rPr>
          <w:rFonts w:eastAsia="Calibri" w:cstheme="minorHAnsi"/>
          <w:i/>
          <w:sz w:val="22"/>
          <w:szCs w:val="22"/>
        </w:rPr>
        <w:t xml:space="preserve"> that they need.</w:t>
      </w:r>
      <w:r w:rsidRPr="00D80626">
        <w:rPr>
          <w:rFonts w:eastAsia="Times New Roman" w:cstheme="minorHAnsi"/>
          <w:i/>
          <w:sz w:val="22"/>
          <w:szCs w:val="22"/>
        </w:rPr>
        <w:t xml:space="preserve"> </w:t>
      </w:r>
      <w:r w:rsidRPr="00D96B1E">
        <w:rPr>
          <w:rFonts w:eastAsia="Times New Roman" w:cstheme="minorHAnsi"/>
          <w:iCs/>
          <w:sz w:val="22"/>
          <w:szCs w:val="22"/>
        </w:rPr>
        <w:t>(Service User 22)</w:t>
      </w:r>
    </w:p>
    <w:p w14:paraId="4C234289" w14:textId="77777777" w:rsidR="008D0F16" w:rsidRDefault="008D0F16" w:rsidP="008D0F16">
      <w:pPr>
        <w:rPr>
          <w:rFonts w:eastAsia="Calibri" w:cstheme="minorHAnsi"/>
          <w:sz w:val="22"/>
          <w:szCs w:val="22"/>
        </w:rPr>
      </w:pPr>
    </w:p>
    <w:p w14:paraId="4EA27988" w14:textId="77777777" w:rsidR="007E3335" w:rsidRDefault="007E3335" w:rsidP="007E3335">
      <w:pPr>
        <w:rPr>
          <w:rFonts w:eastAsia="Calibri" w:cstheme="minorHAnsi"/>
          <w:sz w:val="22"/>
          <w:szCs w:val="22"/>
        </w:rPr>
      </w:pPr>
      <w:r>
        <w:rPr>
          <w:rFonts w:eastAsia="Calibri" w:cstheme="minorHAnsi"/>
          <w:sz w:val="22"/>
          <w:szCs w:val="22"/>
        </w:rPr>
        <w:t xml:space="preserve">While these themes should be interpreted with caution due to challenges in recruiting service users to provide input to the CCBHC evaluation, they provide important insights into the potential for CCBHCs to improve community health by addressing critical barriers to care in the community. Some </w:t>
      </w:r>
      <w:r w:rsidRPr="0055384A">
        <w:rPr>
          <w:rFonts w:eastAsia="Calibri" w:cstheme="minorHAnsi"/>
          <w:sz w:val="22"/>
          <w:szCs w:val="22"/>
        </w:rPr>
        <w:t xml:space="preserve">gaps </w:t>
      </w:r>
      <w:r>
        <w:rPr>
          <w:rFonts w:eastAsia="Calibri" w:cstheme="minorHAnsi"/>
          <w:sz w:val="22"/>
          <w:szCs w:val="22"/>
        </w:rPr>
        <w:t xml:space="preserve">identified by service users could </w:t>
      </w:r>
      <w:r w:rsidRPr="0055384A">
        <w:rPr>
          <w:rFonts w:eastAsia="Calibri" w:cstheme="minorHAnsi"/>
          <w:sz w:val="22"/>
          <w:szCs w:val="22"/>
        </w:rPr>
        <w:t xml:space="preserve">be resolved by additional education </w:t>
      </w:r>
      <w:r>
        <w:rPr>
          <w:rFonts w:eastAsia="Calibri" w:cstheme="minorHAnsi"/>
          <w:sz w:val="22"/>
          <w:szCs w:val="22"/>
        </w:rPr>
        <w:t xml:space="preserve">to elevate community awareness of the presence of CCBHCs and </w:t>
      </w:r>
      <w:r w:rsidRPr="0055384A">
        <w:rPr>
          <w:rFonts w:eastAsia="Calibri" w:cstheme="minorHAnsi"/>
          <w:sz w:val="22"/>
          <w:szCs w:val="22"/>
        </w:rPr>
        <w:t>avai</w:t>
      </w:r>
      <w:r>
        <w:rPr>
          <w:rFonts w:eastAsia="Calibri" w:cstheme="minorHAnsi"/>
          <w:sz w:val="22"/>
          <w:szCs w:val="22"/>
        </w:rPr>
        <w:t>lable services and/or resources;</w:t>
      </w:r>
      <w:r w:rsidRPr="0055384A">
        <w:rPr>
          <w:rFonts w:eastAsia="Calibri" w:cstheme="minorHAnsi"/>
          <w:sz w:val="22"/>
          <w:szCs w:val="22"/>
        </w:rPr>
        <w:t xml:space="preserve"> other</w:t>
      </w:r>
      <w:r>
        <w:rPr>
          <w:rFonts w:eastAsia="Calibri" w:cstheme="minorHAnsi"/>
          <w:sz w:val="22"/>
          <w:szCs w:val="22"/>
        </w:rPr>
        <w:t xml:space="preserve"> gaps could be addressed through </w:t>
      </w:r>
      <w:r w:rsidRPr="0055384A">
        <w:rPr>
          <w:rFonts w:eastAsia="Calibri" w:cstheme="minorHAnsi"/>
          <w:sz w:val="22"/>
          <w:szCs w:val="22"/>
        </w:rPr>
        <w:t>additional or strengthened partnerships with community-based organizations</w:t>
      </w:r>
      <w:r>
        <w:rPr>
          <w:rFonts w:eastAsia="Calibri" w:cstheme="minorHAnsi"/>
          <w:sz w:val="22"/>
          <w:szCs w:val="22"/>
        </w:rPr>
        <w:t xml:space="preserve"> and intentional engagement of the community and service users to improve community health. </w:t>
      </w:r>
    </w:p>
    <w:p w14:paraId="4A1D3BA2" w14:textId="77777777" w:rsidR="007E3335" w:rsidRDefault="007E3335" w:rsidP="007E3335">
      <w:pPr>
        <w:rPr>
          <w:rFonts w:eastAsia="Calibri" w:cstheme="minorHAnsi"/>
          <w:sz w:val="22"/>
          <w:szCs w:val="22"/>
        </w:rPr>
      </w:pPr>
    </w:p>
    <w:p w14:paraId="5E859EE6" w14:textId="2BBF9D22" w:rsidR="007E3335" w:rsidRPr="00710A26" w:rsidRDefault="00B06107" w:rsidP="007E3335">
      <w:pPr>
        <w:rPr>
          <w:rFonts w:eastAsia="Calibri" w:cstheme="minorHAnsi"/>
          <w:color w:val="000000"/>
          <w:sz w:val="22"/>
          <w:szCs w:val="22"/>
        </w:rPr>
      </w:pPr>
      <w:r>
        <w:rPr>
          <w:rFonts w:eastAsia="Calibri" w:cstheme="minorHAnsi"/>
          <w:sz w:val="22"/>
          <w:szCs w:val="22"/>
        </w:rPr>
        <w:t>Results</w:t>
      </w:r>
      <w:r w:rsidR="007E3335" w:rsidRPr="00710A26">
        <w:rPr>
          <w:rFonts w:eastAsia="Calibri" w:cstheme="minorHAnsi"/>
          <w:sz w:val="22"/>
          <w:szCs w:val="22"/>
        </w:rPr>
        <w:t xml:space="preserve"> from </w:t>
      </w:r>
      <w:r w:rsidR="007E3335">
        <w:rPr>
          <w:rFonts w:eastAsia="Calibri" w:cstheme="minorHAnsi"/>
          <w:sz w:val="22"/>
          <w:szCs w:val="22"/>
        </w:rPr>
        <w:t xml:space="preserve">a </w:t>
      </w:r>
      <w:r w:rsidR="007E3335" w:rsidRPr="00710A26">
        <w:rPr>
          <w:rFonts w:eastAsia="Calibri" w:cstheme="minorHAnsi"/>
          <w:sz w:val="22"/>
          <w:szCs w:val="22"/>
        </w:rPr>
        <w:t>focus group with CBO representatives</w:t>
      </w:r>
      <w:r w:rsidR="007E3335">
        <w:rPr>
          <w:rFonts w:eastAsia="Calibri" w:cstheme="minorHAnsi"/>
          <w:sz w:val="22"/>
          <w:szCs w:val="22"/>
        </w:rPr>
        <w:t>,</w:t>
      </w:r>
      <w:r w:rsidR="007E3335" w:rsidRPr="00505804">
        <w:rPr>
          <w:rFonts w:eastAsia="Calibri" w:cstheme="minorHAnsi"/>
          <w:sz w:val="22"/>
          <w:szCs w:val="22"/>
        </w:rPr>
        <w:t xml:space="preserve"> </w:t>
      </w:r>
      <w:r w:rsidR="007E3335">
        <w:rPr>
          <w:rFonts w:eastAsia="Calibri" w:cstheme="minorHAnsi"/>
          <w:sz w:val="22"/>
          <w:szCs w:val="22"/>
        </w:rPr>
        <w:t>w</w:t>
      </w:r>
      <w:r w:rsidR="007E3335" w:rsidRPr="00710A26">
        <w:rPr>
          <w:rFonts w:eastAsia="Calibri" w:cstheme="minorHAnsi"/>
          <w:sz w:val="22"/>
          <w:szCs w:val="22"/>
        </w:rPr>
        <w:t>hile limited</w:t>
      </w:r>
      <w:r w:rsidR="007E3335">
        <w:rPr>
          <w:rFonts w:eastAsia="Calibri" w:cstheme="minorHAnsi"/>
          <w:sz w:val="22"/>
          <w:szCs w:val="22"/>
        </w:rPr>
        <w:t xml:space="preserve"> due to a small number of participants</w:t>
      </w:r>
      <w:r w:rsidR="007E3335" w:rsidRPr="00710A26">
        <w:rPr>
          <w:rFonts w:eastAsia="Calibri" w:cstheme="minorHAnsi"/>
          <w:sz w:val="22"/>
          <w:szCs w:val="22"/>
        </w:rPr>
        <w:t xml:space="preserve">, indicate that their local CCBHCs have been active participants in community meetings about community health needs. </w:t>
      </w:r>
      <w:r w:rsidR="007E3335">
        <w:rPr>
          <w:rFonts w:eastAsia="Calibri" w:cstheme="minorHAnsi"/>
          <w:sz w:val="22"/>
          <w:szCs w:val="22"/>
        </w:rPr>
        <w:t>Some CBO representatives also indicated a greater willingness to collaborate: “</w:t>
      </w:r>
      <w:r w:rsidR="007E3335" w:rsidRPr="00FF2864">
        <w:rPr>
          <w:rFonts w:eastAsia="Calibri" w:cstheme="minorHAnsi"/>
          <w:i/>
          <w:sz w:val="22"/>
          <w:szCs w:val="22"/>
        </w:rPr>
        <w:t>They have worked with peers really openly and honestly since around</w:t>
      </w:r>
      <w:r w:rsidR="007E3335">
        <w:rPr>
          <w:rFonts w:eastAsia="Calibri" w:cstheme="minorHAnsi"/>
          <w:i/>
          <w:sz w:val="22"/>
          <w:szCs w:val="22"/>
        </w:rPr>
        <w:t xml:space="preserve"> </w:t>
      </w:r>
      <w:r w:rsidR="007E3335" w:rsidRPr="00FF2864">
        <w:rPr>
          <w:rFonts w:eastAsia="Calibri" w:cstheme="minorHAnsi"/>
          <w:i/>
          <w:sz w:val="22"/>
          <w:szCs w:val="22"/>
        </w:rPr>
        <w:t>…</w:t>
      </w:r>
      <w:r w:rsidR="007E3335">
        <w:rPr>
          <w:rFonts w:eastAsia="Calibri" w:cstheme="minorHAnsi"/>
          <w:i/>
          <w:sz w:val="22"/>
          <w:szCs w:val="22"/>
        </w:rPr>
        <w:t xml:space="preserve"> </w:t>
      </w:r>
      <w:r w:rsidR="007E3335" w:rsidRPr="00FF2864">
        <w:rPr>
          <w:rFonts w:eastAsia="Calibri" w:cstheme="minorHAnsi"/>
          <w:i/>
          <w:sz w:val="22"/>
          <w:szCs w:val="22"/>
        </w:rPr>
        <w:t>2017</w:t>
      </w:r>
      <w:r w:rsidR="007E3335">
        <w:rPr>
          <w:rFonts w:eastAsia="Calibri" w:cstheme="minorHAnsi"/>
          <w:i/>
          <w:sz w:val="22"/>
          <w:szCs w:val="22"/>
        </w:rPr>
        <w:t>;</w:t>
      </w:r>
      <w:r w:rsidR="007E3335" w:rsidRPr="00FF2864">
        <w:rPr>
          <w:rFonts w:eastAsia="Calibri" w:cstheme="minorHAnsi"/>
          <w:i/>
          <w:sz w:val="22"/>
          <w:szCs w:val="22"/>
        </w:rPr>
        <w:t xml:space="preserve"> [they recognize now] that peers can do thing</w:t>
      </w:r>
      <w:r w:rsidR="007E3335">
        <w:rPr>
          <w:rFonts w:eastAsia="Calibri" w:cstheme="minorHAnsi"/>
          <w:i/>
          <w:sz w:val="22"/>
          <w:szCs w:val="22"/>
        </w:rPr>
        <w:t>s</w:t>
      </w:r>
      <w:r w:rsidR="007E3335" w:rsidRPr="00FF2864">
        <w:rPr>
          <w:rFonts w:eastAsia="Calibri" w:cstheme="minorHAnsi"/>
          <w:i/>
          <w:sz w:val="22"/>
          <w:szCs w:val="22"/>
        </w:rPr>
        <w:t xml:space="preserve"> well in partnership and collaboration with them. Peers need </w:t>
      </w:r>
      <w:r w:rsidR="007E3335">
        <w:rPr>
          <w:rFonts w:eastAsia="Calibri" w:cstheme="minorHAnsi"/>
          <w:i/>
          <w:sz w:val="22"/>
          <w:szCs w:val="22"/>
        </w:rPr>
        <w:t>[the CCBHC]</w:t>
      </w:r>
      <w:r w:rsidR="007E3335" w:rsidRPr="00FF2864">
        <w:rPr>
          <w:rFonts w:eastAsia="Calibri" w:cstheme="minorHAnsi"/>
          <w:i/>
          <w:sz w:val="22"/>
          <w:szCs w:val="22"/>
        </w:rPr>
        <w:t xml:space="preserve"> walking that pathway with them, because they’re not clinicians. They are mentors or support people</w:t>
      </w:r>
      <w:r w:rsidR="007E3335">
        <w:rPr>
          <w:rFonts w:eastAsia="Calibri" w:cstheme="minorHAnsi"/>
          <w:sz w:val="22"/>
          <w:szCs w:val="22"/>
        </w:rPr>
        <w:t>” (CBO Representative 03). O</w:t>
      </w:r>
      <w:r w:rsidR="007E3335" w:rsidRPr="00710A26">
        <w:rPr>
          <w:rFonts w:eastAsia="Calibri" w:cstheme="minorHAnsi"/>
          <w:sz w:val="22"/>
          <w:szCs w:val="22"/>
        </w:rPr>
        <w:t>ne CBO representative noted</w:t>
      </w:r>
      <w:r w:rsidR="007E3335">
        <w:rPr>
          <w:rFonts w:eastAsia="Calibri" w:cstheme="minorHAnsi"/>
          <w:sz w:val="22"/>
          <w:szCs w:val="22"/>
        </w:rPr>
        <w:t>:</w:t>
      </w:r>
      <w:r w:rsidR="007E3335" w:rsidRPr="00710A26">
        <w:rPr>
          <w:rFonts w:eastAsia="Calibri" w:cstheme="minorHAnsi"/>
          <w:sz w:val="22"/>
          <w:szCs w:val="22"/>
        </w:rPr>
        <w:t xml:space="preserve"> </w:t>
      </w:r>
      <w:r w:rsidR="007E3335" w:rsidRPr="00710A26">
        <w:rPr>
          <w:rFonts w:eastAsia="Calibri" w:cstheme="minorHAnsi"/>
          <w:color w:val="000000"/>
          <w:sz w:val="22"/>
          <w:szCs w:val="22"/>
        </w:rPr>
        <w:t>“</w:t>
      </w:r>
      <w:r w:rsidR="007E3335" w:rsidRPr="00710A26">
        <w:rPr>
          <w:rFonts w:eastAsia="Calibri" w:cstheme="minorHAnsi"/>
          <w:i/>
          <w:color w:val="000000"/>
          <w:sz w:val="22"/>
          <w:szCs w:val="22"/>
        </w:rPr>
        <w:t>They [local CCBHC] do a decent job being involved and being a good partner, but they could be a little bit more involved with partnering with all the grassroots work that happens</w:t>
      </w:r>
      <w:r w:rsidR="007E3335">
        <w:rPr>
          <w:rFonts w:eastAsia="Calibri" w:cstheme="minorHAnsi"/>
          <w:i/>
          <w:color w:val="000000"/>
          <w:sz w:val="22"/>
          <w:szCs w:val="22"/>
        </w:rPr>
        <w:t>”</w:t>
      </w:r>
      <w:r w:rsidR="007E3335" w:rsidRPr="00710A26">
        <w:rPr>
          <w:rFonts w:eastAsia="Calibri" w:cstheme="minorHAnsi"/>
          <w:color w:val="000000"/>
          <w:sz w:val="22"/>
          <w:szCs w:val="22"/>
        </w:rPr>
        <w:t xml:space="preserve"> (CBO</w:t>
      </w:r>
      <w:r w:rsidR="007E3335">
        <w:rPr>
          <w:rFonts w:eastAsia="Calibri" w:cstheme="minorHAnsi"/>
          <w:color w:val="000000"/>
          <w:sz w:val="22"/>
          <w:szCs w:val="22"/>
        </w:rPr>
        <w:t xml:space="preserve"> Representative</w:t>
      </w:r>
      <w:r w:rsidR="007E3335" w:rsidRPr="00710A26">
        <w:rPr>
          <w:rFonts w:eastAsia="Calibri" w:cstheme="minorHAnsi"/>
          <w:color w:val="000000"/>
          <w:sz w:val="22"/>
          <w:szCs w:val="22"/>
        </w:rPr>
        <w:t xml:space="preserve"> 01).</w:t>
      </w:r>
    </w:p>
    <w:p w14:paraId="472DD0B8" w14:textId="77777777" w:rsidR="007E3335" w:rsidRPr="00710A26" w:rsidRDefault="007E3335" w:rsidP="007E3335">
      <w:pPr>
        <w:rPr>
          <w:rFonts w:eastAsia="Calibri" w:cstheme="minorHAnsi"/>
          <w:color w:val="000000"/>
          <w:sz w:val="22"/>
          <w:szCs w:val="22"/>
        </w:rPr>
      </w:pPr>
    </w:p>
    <w:p w14:paraId="43AD03A7" w14:textId="77777777" w:rsidR="007E3335" w:rsidRPr="00710A26" w:rsidRDefault="007E3335" w:rsidP="007E3335">
      <w:pPr>
        <w:rPr>
          <w:rFonts w:eastAsia="Calibri" w:cstheme="minorHAnsi"/>
          <w:color w:val="000000"/>
          <w:sz w:val="22"/>
          <w:szCs w:val="22"/>
        </w:rPr>
      </w:pPr>
      <w:r w:rsidRPr="00710A26">
        <w:rPr>
          <w:rFonts w:eastAsia="Calibri" w:cstheme="minorHAnsi"/>
          <w:color w:val="000000"/>
          <w:sz w:val="22"/>
          <w:szCs w:val="22"/>
        </w:rPr>
        <w:t>Clinic leaders report</w:t>
      </w:r>
      <w:r>
        <w:rPr>
          <w:rFonts w:eastAsia="Calibri" w:cstheme="minorHAnsi"/>
          <w:color w:val="000000"/>
          <w:sz w:val="22"/>
          <w:szCs w:val="22"/>
        </w:rPr>
        <w:t>ed</w:t>
      </w:r>
      <w:r w:rsidRPr="00710A26">
        <w:rPr>
          <w:rFonts w:eastAsia="Calibri" w:cstheme="minorHAnsi"/>
          <w:color w:val="000000"/>
          <w:sz w:val="22"/>
          <w:szCs w:val="22"/>
        </w:rPr>
        <w:t xml:space="preserve"> having a network of community partners </w:t>
      </w:r>
      <w:r>
        <w:rPr>
          <w:rFonts w:eastAsia="Calibri" w:cstheme="minorHAnsi"/>
          <w:color w:val="000000"/>
          <w:sz w:val="22"/>
          <w:szCs w:val="22"/>
        </w:rPr>
        <w:t xml:space="preserve">in place </w:t>
      </w:r>
      <w:r w:rsidRPr="00710A26">
        <w:rPr>
          <w:rFonts w:eastAsia="Calibri" w:cstheme="minorHAnsi"/>
          <w:color w:val="000000"/>
          <w:sz w:val="22"/>
          <w:szCs w:val="22"/>
        </w:rPr>
        <w:t xml:space="preserve">prior to becoming a CCBHC; however, some reported that their CCBHC status pushed them to create new partnerships and/or </w:t>
      </w:r>
      <w:r>
        <w:rPr>
          <w:rFonts w:eastAsia="Calibri" w:cstheme="minorHAnsi"/>
          <w:color w:val="000000"/>
          <w:sz w:val="22"/>
          <w:szCs w:val="22"/>
        </w:rPr>
        <w:t xml:space="preserve">to </w:t>
      </w:r>
      <w:r w:rsidRPr="00710A26">
        <w:rPr>
          <w:rFonts w:eastAsia="Calibri" w:cstheme="minorHAnsi"/>
          <w:color w:val="000000"/>
          <w:sz w:val="22"/>
          <w:szCs w:val="22"/>
        </w:rPr>
        <w:t>better leverage their existing partnerships in order to meet the needs of service users. Clinic leaders reported a breadth of relationships within the</w:t>
      </w:r>
      <w:r>
        <w:rPr>
          <w:rFonts w:eastAsia="Calibri" w:cstheme="minorHAnsi"/>
          <w:color w:val="000000"/>
          <w:sz w:val="22"/>
          <w:szCs w:val="22"/>
        </w:rPr>
        <w:t>ir</w:t>
      </w:r>
      <w:r w:rsidRPr="00710A26">
        <w:rPr>
          <w:rFonts w:eastAsia="Calibri" w:cstheme="minorHAnsi"/>
          <w:color w:val="000000"/>
          <w:sz w:val="22"/>
          <w:szCs w:val="22"/>
        </w:rPr>
        <w:t xml:space="preserve"> communit</w:t>
      </w:r>
      <w:r>
        <w:rPr>
          <w:rFonts w:eastAsia="Calibri" w:cstheme="minorHAnsi"/>
          <w:color w:val="000000"/>
          <w:sz w:val="22"/>
          <w:szCs w:val="22"/>
        </w:rPr>
        <w:t>ies</w:t>
      </w:r>
      <w:r w:rsidRPr="00710A26">
        <w:rPr>
          <w:rFonts w:eastAsia="Calibri" w:cstheme="minorHAnsi"/>
          <w:color w:val="000000"/>
          <w:sz w:val="22"/>
          <w:szCs w:val="22"/>
        </w:rPr>
        <w:t xml:space="preserve">, including with schools, child welfare, law enforcement, community corrections, jails, hospitals, other primary care or behavioral health clinics, local community centers, county or city government agencies, domestic violence shelters, houseless shelters, </w:t>
      </w:r>
      <w:r>
        <w:rPr>
          <w:rFonts w:eastAsia="Calibri" w:cstheme="minorHAnsi"/>
          <w:color w:val="000000"/>
          <w:sz w:val="22"/>
          <w:szCs w:val="22"/>
        </w:rPr>
        <w:t xml:space="preserve">culturally specific CBOs, and </w:t>
      </w:r>
      <w:r w:rsidRPr="00710A26">
        <w:rPr>
          <w:rFonts w:eastAsia="Calibri" w:cstheme="minorHAnsi"/>
          <w:color w:val="000000"/>
          <w:sz w:val="22"/>
          <w:szCs w:val="22"/>
        </w:rPr>
        <w:t xml:space="preserve">other nonprofit organizations. </w:t>
      </w:r>
    </w:p>
    <w:p w14:paraId="60BED113" w14:textId="77777777" w:rsidR="008D0F16" w:rsidRPr="00710A26" w:rsidRDefault="008D0F16" w:rsidP="008D0F16">
      <w:pPr>
        <w:rPr>
          <w:rFonts w:eastAsia="Calibri" w:cstheme="minorHAnsi"/>
          <w:color w:val="000000"/>
          <w:sz w:val="22"/>
          <w:szCs w:val="22"/>
        </w:rPr>
      </w:pPr>
    </w:p>
    <w:p w14:paraId="7A29666A" w14:textId="77777777" w:rsidR="007E3335" w:rsidRPr="00710A26" w:rsidRDefault="007E3335" w:rsidP="007E3335">
      <w:pPr>
        <w:rPr>
          <w:rFonts w:eastAsia="Calibri" w:cstheme="minorHAnsi"/>
          <w:color w:val="000000"/>
          <w:sz w:val="22"/>
          <w:szCs w:val="22"/>
        </w:rPr>
      </w:pPr>
      <w:r w:rsidRPr="00710A26">
        <w:rPr>
          <w:rFonts w:eastAsia="Calibri" w:cstheme="minorHAnsi"/>
          <w:color w:val="000000"/>
          <w:sz w:val="22"/>
          <w:szCs w:val="22"/>
        </w:rPr>
        <w:t>Clinic leaders sought to build trust by being visible within</w:t>
      </w:r>
      <w:r>
        <w:rPr>
          <w:rFonts w:eastAsia="Calibri" w:cstheme="minorHAnsi"/>
          <w:color w:val="000000"/>
          <w:sz w:val="22"/>
          <w:szCs w:val="22"/>
        </w:rPr>
        <w:t>,</w:t>
      </w:r>
      <w:r w:rsidRPr="00710A26">
        <w:rPr>
          <w:rFonts w:eastAsia="Calibri" w:cstheme="minorHAnsi"/>
          <w:color w:val="000000"/>
          <w:sz w:val="22"/>
          <w:szCs w:val="22"/>
        </w:rPr>
        <w:t xml:space="preserve"> and responsive to</w:t>
      </w:r>
      <w:r>
        <w:rPr>
          <w:rFonts w:eastAsia="Calibri" w:cstheme="minorHAnsi"/>
          <w:color w:val="000000"/>
          <w:sz w:val="22"/>
          <w:szCs w:val="22"/>
        </w:rPr>
        <w:t>,</w:t>
      </w:r>
      <w:r w:rsidRPr="00710A26">
        <w:rPr>
          <w:rFonts w:eastAsia="Calibri" w:cstheme="minorHAnsi"/>
          <w:color w:val="000000"/>
          <w:sz w:val="22"/>
          <w:szCs w:val="22"/>
        </w:rPr>
        <w:t xml:space="preserve"> the</w:t>
      </w:r>
      <w:r>
        <w:rPr>
          <w:rFonts w:eastAsia="Calibri" w:cstheme="minorHAnsi"/>
          <w:color w:val="000000"/>
          <w:sz w:val="22"/>
          <w:szCs w:val="22"/>
        </w:rPr>
        <w:t>ir</w:t>
      </w:r>
      <w:r w:rsidRPr="00710A26">
        <w:rPr>
          <w:rFonts w:eastAsia="Calibri" w:cstheme="minorHAnsi"/>
          <w:color w:val="000000"/>
          <w:sz w:val="22"/>
          <w:szCs w:val="22"/>
        </w:rPr>
        <w:t xml:space="preserve"> communit</w:t>
      </w:r>
      <w:r>
        <w:rPr>
          <w:rFonts w:eastAsia="Calibri" w:cstheme="minorHAnsi"/>
          <w:color w:val="000000"/>
          <w:sz w:val="22"/>
          <w:szCs w:val="22"/>
        </w:rPr>
        <w:t>ies</w:t>
      </w:r>
      <w:r w:rsidRPr="00710A26">
        <w:rPr>
          <w:rFonts w:eastAsia="Calibri" w:cstheme="minorHAnsi"/>
          <w:color w:val="000000"/>
          <w:sz w:val="22"/>
          <w:szCs w:val="22"/>
        </w:rPr>
        <w:t xml:space="preserve">. One </w:t>
      </w:r>
      <w:r>
        <w:rPr>
          <w:rFonts w:eastAsia="Calibri" w:cstheme="minorHAnsi"/>
          <w:color w:val="000000"/>
          <w:sz w:val="22"/>
          <w:szCs w:val="22"/>
        </w:rPr>
        <w:t>said:</w:t>
      </w:r>
      <w:r w:rsidRPr="00710A26">
        <w:rPr>
          <w:rFonts w:eastAsia="Calibri" w:cstheme="minorHAnsi"/>
          <w:color w:val="000000"/>
          <w:sz w:val="22"/>
          <w:szCs w:val="22"/>
        </w:rPr>
        <w:t xml:space="preserve"> “</w:t>
      </w:r>
      <w:r w:rsidRPr="00710A26">
        <w:rPr>
          <w:rFonts w:eastAsia="Calibri" w:cstheme="minorHAnsi"/>
          <w:i/>
          <w:color w:val="000000"/>
          <w:sz w:val="22"/>
          <w:szCs w:val="22"/>
        </w:rPr>
        <w:t>We listen, not enough, but we make efforts to listen, to really listen. We go into the community. I think the pairing that we did with our public health partners during COVID really increased trust and visibility of behavioral health. I mean, we have enormous relationships with community partners</w:t>
      </w:r>
      <w:r w:rsidRPr="00710A26">
        <w:rPr>
          <w:rFonts w:eastAsia="Calibri" w:cstheme="minorHAnsi"/>
          <w:color w:val="000000"/>
          <w:sz w:val="22"/>
          <w:szCs w:val="22"/>
        </w:rPr>
        <w:t xml:space="preserve">” (Lead </w:t>
      </w:r>
      <w:r>
        <w:rPr>
          <w:rFonts w:eastAsia="Calibri" w:cstheme="minorHAnsi"/>
          <w:color w:val="000000"/>
          <w:sz w:val="22"/>
          <w:szCs w:val="22"/>
        </w:rPr>
        <w:t>Administrator</w:t>
      </w:r>
      <w:r w:rsidRPr="00710A26">
        <w:rPr>
          <w:rFonts w:eastAsia="Calibri" w:cstheme="minorHAnsi"/>
          <w:color w:val="000000"/>
          <w:sz w:val="22"/>
          <w:szCs w:val="22"/>
        </w:rPr>
        <w:t xml:space="preserve"> 09). </w:t>
      </w:r>
      <w:r>
        <w:rPr>
          <w:rFonts w:eastAsia="Calibri" w:cstheme="minorHAnsi"/>
          <w:color w:val="000000"/>
          <w:sz w:val="22"/>
          <w:szCs w:val="22"/>
        </w:rPr>
        <w:t>Alt</w:t>
      </w:r>
      <w:r w:rsidRPr="00710A26">
        <w:rPr>
          <w:rFonts w:eastAsia="Calibri" w:cstheme="minorHAnsi"/>
          <w:color w:val="000000"/>
          <w:sz w:val="22"/>
          <w:szCs w:val="22"/>
        </w:rPr>
        <w:t>hough most clinic leaders developed their own outreach program and relied on community partners, the balance between these two strategies varied across clinics. For example, one clinic leader explain</w:t>
      </w:r>
      <w:r>
        <w:rPr>
          <w:rFonts w:eastAsia="Calibri" w:cstheme="minorHAnsi"/>
          <w:color w:val="000000"/>
          <w:sz w:val="22"/>
          <w:szCs w:val="22"/>
        </w:rPr>
        <w:t>ed</w:t>
      </w:r>
      <w:r w:rsidRPr="00710A26">
        <w:rPr>
          <w:rFonts w:eastAsia="Calibri" w:cstheme="minorHAnsi"/>
          <w:color w:val="000000"/>
          <w:sz w:val="22"/>
          <w:szCs w:val="22"/>
        </w:rPr>
        <w:t xml:space="preserve"> that </w:t>
      </w:r>
      <w:r>
        <w:rPr>
          <w:rFonts w:eastAsia="Calibri" w:cstheme="minorHAnsi"/>
          <w:color w:val="000000"/>
          <w:sz w:val="22"/>
          <w:szCs w:val="22"/>
        </w:rPr>
        <w:t>their clinic</w:t>
      </w:r>
      <w:r w:rsidRPr="00710A26">
        <w:rPr>
          <w:rFonts w:eastAsia="Calibri" w:cstheme="minorHAnsi"/>
          <w:color w:val="000000"/>
          <w:sz w:val="22"/>
          <w:szCs w:val="22"/>
        </w:rPr>
        <w:t xml:space="preserve"> prioritize</w:t>
      </w:r>
      <w:r>
        <w:rPr>
          <w:rFonts w:eastAsia="Calibri" w:cstheme="minorHAnsi"/>
          <w:color w:val="000000"/>
          <w:sz w:val="22"/>
          <w:szCs w:val="22"/>
        </w:rPr>
        <w:t>d</w:t>
      </w:r>
      <w:r w:rsidRPr="00710A26">
        <w:rPr>
          <w:rFonts w:eastAsia="Calibri" w:cstheme="minorHAnsi"/>
          <w:color w:val="000000"/>
          <w:sz w:val="22"/>
          <w:szCs w:val="22"/>
        </w:rPr>
        <w:t xml:space="preserve"> creating partnerships: “</w:t>
      </w:r>
      <w:r w:rsidRPr="00710A26">
        <w:rPr>
          <w:rFonts w:eastAsia="Calibri" w:cstheme="minorHAnsi"/>
          <w:i/>
          <w:color w:val="000000"/>
          <w:sz w:val="22"/>
          <w:szCs w:val="22"/>
        </w:rPr>
        <w:t>I think that developing relationships with those organizations seems to be more useful than trying to [go] out into the community. Basically, we create partnerships and that's kind of how we've really tried to work in the community</w:t>
      </w:r>
      <w:r w:rsidRPr="00710A26">
        <w:rPr>
          <w:rFonts w:eastAsia="Calibri" w:cstheme="minorHAnsi"/>
          <w:color w:val="000000"/>
          <w:sz w:val="22"/>
          <w:szCs w:val="22"/>
        </w:rPr>
        <w:t xml:space="preserve">” (Lead </w:t>
      </w:r>
      <w:r>
        <w:rPr>
          <w:rFonts w:eastAsia="Calibri" w:cstheme="minorHAnsi"/>
          <w:color w:val="000000"/>
          <w:sz w:val="22"/>
          <w:szCs w:val="22"/>
        </w:rPr>
        <w:t>Administrator</w:t>
      </w:r>
      <w:r w:rsidRPr="00710A26">
        <w:rPr>
          <w:rFonts w:eastAsia="Calibri" w:cstheme="minorHAnsi"/>
          <w:color w:val="000000"/>
          <w:sz w:val="22"/>
          <w:szCs w:val="22"/>
        </w:rPr>
        <w:t xml:space="preserve"> 06).</w:t>
      </w:r>
    </w:p>
    <w:p w14:paraId="214AE759" w14:textId="77777777" w:rsidR="007E3335" w:rsidRPr="00710A26" w:rsidRDefault="007E3335" w:rsidP="007E3335">
      <w:pPr>
        <w:rPr>
          <w:rFonts w:eastAsia="Calibri" w:cstheme="minorHAnsi"/>
          <w:color w:val="000000"/>
          <w:sz w:val="22"/>
          <w:szCs w:val="22"/>
        </w:rPr>
      </w:pPr>
    </w:p>
    <w:p w14:paraId="519A0F08" w14:textId="77777777" w:rsidR="007E3335" w:rsidRDefault="007E3335" w:rsidP="007E3335">
      <w:pPr>
        <w:rPr>
          <w:rFonts w:eastAsia="Calibri" w:cstheme="minorHAnsi"/>
          <w:color w:val="000000"/>
          <w:sz w:val="22"/>
          <w:szCs w:val="22"/>
        </w:rPr>
      </w:pPr>
      <w:r w:rsidRPr="00710A26">
        <w:rPr>
          <w:rFonts w:eastAsia="Calibri" w:cstheme="minorHAnsi"/>
          <w:color w:val="000000"/>
          <w:sz w:val="22"/>
          <w:szCs w:val="22"/>
        </w:rPr>
        <w:t>One</w:t>
      </w:r>
      <w:r>
        <w:rPr>
          <w:rFonts w:eastAsia="Calibri" w:cstheme="minorHAnsi"/>
          <w:color w:val="000000"/>
          <w:sz w:val="22"/>
          <w:szCs w:val="22"/>
        </w:rPr>
        <w:t xml:space="preserve"> </w:t>
      </w:r>
      <w:r w:rsidRPr="00710A26">
        <w:rPr>
          <w:rFonts w:eastAsia="Calibri" w:cstheme="minorHAnsi"/>
          <w:color w:val="000000"/>
          <w:sz w:val="22"/>
          <w:szCs w:val="22"/>
        </w:rPr>
        <w:t xml:space="preserve">CCBHC hosted listening sessions within their </w:t>
      </w:r>
      <w:r>
        <w:rPr>
          <w:rFonts w:eastAsia="Calibri" w:cstheme="minorHAnsi"/>
          <w:color w:val="000000"/>
          <w:sz w:val="22"/>
          <w:szCs w:val="22"/>
        </w:rPr>
        <w:t xml:space="preserve">community as </w:t>
      </w:r>
      <w:r w:rsidRPr="00710A26">
        <w:rPr>
          <w:rFonts w:eastAsia="Calibri" w:cstheme="minorHAnsi"/>
          <w:color w:val="000000"/>
          <w:sz w:val="22"/>
          <w:szCs w:val="22"/>
        </w:rPr>
        <w:t>an effort to put organizational humility into practice and “</w:t>
      </w:r>
      <w:r>
        <w:rPr>
          <w:rFonts w:eastAsia="Calibri" w:cstheme="minorHAnsi"/>
          <w:color w:val="000000"/>
          <w:sz w:val="22"/>
          <w:szCs w:val="22"/>
        </w:rPr>
        <w:t>…</w:t>
      </w:r>
      <w:r w:rsidRPr="00710A26">
        <w:rPr>
          <w:rFonts w:eastAsia="Calibri" w:cstheme="minorHAnsi"/>
          <w:i/>
          <w:color w:val="000000"/>
          <w:sz w:val="22"/>
          <w:szCs w:val="22"/>
        </w:rPr>
        <w:t>to sit with the possibility that sometimes the way we've organized things, or the top-down working, is not the way it actually works in the community. Being open to that sort of critical and constructive feedback facilitates trust, like, ‘Oh, they listen to me. They actually care</w:t>
      </w:r>
      <w:r w:rsidRPr="00710A26">
        <w:rPr>
          <w:rFonts w:eastAsia="Calibri" w:cstheme="minorHAnsi"/>
          <w:color w:val="000000"/>
          <w:sz w:val="22"/>
          <w:szCs w:val="22"/>
        </w:rPr>
        <w:t xml:space="preserve">’” (Lead Clinical 02). Some clinic leaders in rural areas shared that they must rely on community partnerships by necessity and that building trusting relationships was a natural outgrowth of their geographic </w:t>
      </w:r>
      <w:r>
        <w:rPr>
          <w:rFonts w:eastAsia="Calibri" w:cstheme="minorHAnsi"/>
          <w:color w:val="000000"/>
          <w:sz w:val="22"/>
          <w:szCs w:val="22"/>
        </w:rPr>
        <w:t>remote</w:t>
      </w:r>
      <w:r w:rsidRPr="00710A26">
        <w:rPr>
          <w:rFonts w:eastAsia="Calibri" w:cstheme="minorHAnsi"/>
          <w:color w:val="000000"/>
          <w:sz w:val="22"/>
          <w:szCs w:val="22"/>
        </w:rPr>
        <w:t xml:space="preserve">ness. </w:t>
      </w:r>
      <w:r>
        <w:rPr>
          <w:rFonts w:eastAsia="Calibri" w:cstheme="minorHAnsi"/>
          <w:color w:val="000000"/>
          <w:sz w:val="22"/>
          <w:szCs w:val="22"/>
        </w:rPr>
        <w:t>One clinic leader said:</w:t>
      </w:r>
      <w:r w:rsidRPr="00710A26">
        <w:rPr>
          <w:rFonts w:eastAsia="Calibri" w:cstheme="minorHAnsi"/>
          <w:color w:val="000000"/>
          <w:sz w:val="22"/>
          <w:szCs w:val="22"/>
        </w:rPr>
        <w:t xml:space="preserve"> “</w:t>
      </w:r>
      <w:r w:rsidRPr="00710A26">
        <w:rPr>
          <w:rFonts w:eastAsia="Calibri" w:cstheme="minorHAnsi"/>
          <w:i/>
          <w:color w:val="000000"/>
          <w:sz w:val="22"/>
          <w:szCs w:val="22"/>
        </w:rPr>
        <w:t>I think because we're an isolated community, we feel that we have to have trusting working relationships with each other in order to get things accomplished for our community because other areas in the state are not always going to come to our aid</w:t>
      </w:r>
      <w:r w:rsidRPr="00710A26">
        <w:rPr>
          <w:rFonts w:eastAsia="Calibri" w:cstheme="minorHAnsi"/>
          <w:color w:val="000000"/>
          <w:sz w:val="22"/>
          <w:szCs w:val="22"/>
        </w:rPr>
        <w:t xml:space="preserve">” (Lead </w:t>
      </w:r>
      <w:r>
        <w:rPr>
          <w:rFonts w:eastAsia="Calibri" w:cstheme="minorHAnsi"/>
          <w:color w:val="000000"/>
          <w:sz w:val="22"/>
          <w:szCs w:val="22"/>
        </w:rPr>
        <w:t>Administrator</w:t>
      </w:r>
      <w:r w:rsidRPr="00710A26">
        <w:rPr>
          <w:rFonts w:eastAsia="Calibri" w:cstheme="minorHAnsi"/>
          <w:color w:val="000000"/>
          <w:sz w:val="22"/>
          <w:szCs w:val="22"/>
        </w:rPr>
        <w:t xml:space="preserve"> 04).</w:t>
      </w:r>
    </w:p>
    <w:p w14:paraId="1E3F8D9C" w14:textId="77777777" w:rsidR="007E3335" w:rsidRDefault="007E3335" w:rsidP="007E3335">
      <w:pPr>
        <w:rPr>
          <w:rFonts w:eastAsia="Calibri" w:cstheme="minorHAnsi"/>
          <w:color w:val="000000"/>
          <w:sz w:val="22"/>
          <w:szCs w:val="22"/>
        </w:rPr>
      </w:pPr>
    </w:p>
    <w:p w14:paraId="71883A3F" w14:textId="77777777" w:rsidR="0019591E" w:rsidRDefault="007E3335" w:rsidP="007E3335">
      <w:pPr>
        <w:rPr>
          <w:rFonts w:eastAsia="Calibri" w:cstheme="minorHAnsi"/>
          <w:sz w:val="22"/>
          <w:szCs w:val="22"/>
        </w:rPr>
      </w:pPr>
      <w:r w:rsidRPr="00710A26">
        <w:rPr>
          <w:rFonts w:eastAsia="Calibri" w:cstheme="minorHAnsi"/>
          <w:sz w:val="22"/>
          <w:szCs w:val="22"/>
        </w:rPr>
        <w:t xml:space="preserve">Some clinic leaders </w:t>
      </w:r>
      <w:r>
        <w:rPr>
          <w:rFonts w:eastAsia="Calibri" w:cstheme="minorHAnsi"/>
          <w:sz w:val="22"/>
          <w:szCs w:val="22"/>
        </w:rPr>
        <w:t>commented</w:t>
      </w:r>
      <w:r w:rsidRPr="00710A26">
        <w:rPr>
          <w:rFonts w:eastAsia="Calibri" w:cstheme="minorHAnsi"/>
          <w:sz w:val="22"/>
          <w:szCs w:val="22"/>
        </w:rPr>
        <w:t xml:space="preserve"> that it can also be a challenge to navigate local culture. </w:t>
      </w:r>
      <w:r>
        <w:rPr>
          <w:rFonts w:eastAsia="Calibri" w:cstheme="minorHAnsi"/>
          <w:sz w:val="22"/>
          <w:szCs w:val="22"/>
        </w:rPr>
        <w:t>A</w:t>
      </w:r>
      <w:r w:rsidRPr="00710A26">
        <w:rPr>
          <w:rFonts w:eastAsia="Calibri" w:cstheme="minorHAnsi"/>
          <w:sz w:val="22"/>
          <w:szCs w:val="22"/>
        </w:rPr>
        <w:t xml:space="preserve"> few clinic leaders experienced </w:t>
      </w:r>
      <w:r>
        <w:rPr>
          <w:rFonts w:eastAsia="Calibri" w:cstheme="minorHAnsi"/>
          <w:sz w:val="22"/>
          <w:szCs w:val="22"/>
        </w:rPr>
        <w:t>opposition from</w:t>
      </w:r>
      <w:r w:rsidRPr="00710A26">
        <w:rPr>
          <w:rFonts w:eastAsia="Calibri" w:cstheme="minorHAnsi"/>
          <w:sz w:val="22"/>
          <w:szCs w:val="22"/>
        </w:rPr>
        <w:t xml:space="preserve"> </w:t>
      </w:r>
      <w:r>
        <w:rPr>
          <w:rFonts w:eastAsia="Calibri" w:cstheme="minorHAnsi"/>
          <w:sz w:val="22"/>
          <w:szCs w:val="22"/>
        </w:rPr>
        <w:t xml:space="preserve">staff or community members, such as resistance </w:t>
      </w:r>
      <w:r w:rsidRPr="00710A26">
        <w:rPr>
          <w:rFonts w:eastAsia="Calibri" w:cstheme="minorHAnsi"/>
          <w:sz w:val="22"/>
          <w:szCs w:val="22"/>
        </w:rPr>
        <w:t xml:space="preserve">to harm reduction services, anti-government sentiments, and skepticism </w:t>
      </w:r>
      <w:r>
        <w:rPr>
          <w:rFonts w:eastAsia="Calibri" w:cstheme="minorHAnsi"/>
          <w:sz w:val="22"/>
          <w:szCs w:val="22"/>
        </w:rPr>
        <w:t>about</w:t>
      </w:r>
      <w:r w:rsidRPr="00710A26">
        <w:rPr>
          <w:rFonts w:eastAsia="Calibri" w:cstheme="minorHAnsi"/>
          <w:sz w:val="22"/>
          <w:szCs w:val="22"/>
        </w:rPr>
        <w:t xml:space="preserve"> equity-focused training or client surveys. After explaining how a cultural diversity training for their staff was met with political divisiveness in their community, one clinic leader reflected</w:t>
      </w:r>
      <w:r>
        <w:rPr>
          <w:rFonts w:eastAsia="Calibri" w:cstheme="minorHAnsi"/>
          <w:sz w:val="22"/>
          <w:szCs w:val="22"/>
        </w:rPr>
        <w:t>:</w:t>
      </w:r>
      <w:r w:rsidRPr="00710A26">
        <w:rPr>
          <w:rFonts w:eastAsia="Calibri" w:cstheme="minorHAnsi"/>
          <w:sz w:val="22"/>
          <w:szCs w:val="22"/>
        </w:rPr>
        <w:t xml:space="preserve"> “</w:t>
      </w:r>
      <w:r w:rsidRPr="00710A26">
        <w:rPr>
          <w:rFonts w:eastAsia="Calibri" w:cstheme="minorHAnsi"/>
          <w:i/>
          <w:sz w:val="22"/>
          <w:szCs w:val="22"/>
        </w:rPr>
        <w:t>Even things we might want to do as an organization are questioned or challenged. We're supposed to be apolitical</w:t>
      </w:r>
      <w:r>
        <w:rPr>
          <w:rFonts w:eastAsia="Calibri" w:cstheme="minorHAnsi"/>
          <w:i/>
          <w:sz w:val="22"/>
          <w:szCs w:val="22"/>
        </w:rPr>
        <w:t>,</w:t>
      </w:r>
      <w:r w:rsidRPr="00710A26">
        <w:rPr>
          <w:rFonts w:eastAsia="Calibri" w:cstheme="minorHAnsi"/>
          <w:i/>
          <w:sz w:val="22"/>
          <w:szCs w:val="22"/>
        </w:rPr>
        <w:t xml:space="preserve"> but we also have staff saying, ‘We can't be silent about this.’  Those are challenging things</w:t>
      </w:r>
      <w:r w:rsidRPr="00710A26">
        <w:rPr>
          <w:rFonts w:eastAsia="Calibri" w:cstheme="minorHAnsi"/>
          <w:sz w:val="22"/>
          <w:szCs w:val="22"/>
        </w:rPr>
        <w:t>” (Lead Clinical 02).</w:t>
      </w:r>
      <w:r>
        <w:rPr>
          <w:rFonts w:eastAsia="Calibri" w:cstheme="minorHAnsi"/>
          <w:sz w:val="22"/>
          <w:szCs w:val="22"/>
        </w:rPr>
        <w:t xml:space="preserve"> </w:t>
      </w:r>
      <w:r w:rsidRPr="00710A26">
        <w:rPr>
          <w:rFonts w:eastAsia="Calibri" w:cstheme="minorHAnsi"/>
          <w:sz w:val="22"/>
          <w:szCs w:val="22"/>
        </w:rPr>
        <w:t xml:space="preserve">Another clinic leader </w:t>
      </w:r>
      <w:r>
        <w:rPr>
          <w:rFonts w:eastAsia="Calibri" w:cstheme="minorHAnsi"/>
          <w:sz w:val="22"/>
          <w:szCs w:val="22"/>
        </w:rPr>
        <w:t>indicated:</w:t>
      </w:r>
      <w:r w:rsidRPr="00710A26">
        <w:rPr>
          <w:rFonts w:eastAsia="Calibri" w:cstheme="minorHAnsi"/>
          <w:sz w:val="22"/>
          <w:szCs w:val="22"/>
        </w:rPr>
        <w:t xml:space="preserve"> “</w:t>
      </w:r>
      <w:r w:rsidRPr="00710A26">
        <w:rPr>
          <w:rFonts w:eastAsia="Calibri" w:cstheme="minorHAnsi"/>
          <w:i/>
          <w:sz w:val="22"/>
          <w:szCs w:val="22"/>
        </w:rPr>
        <w:t>In a rural community, we still have challenges. We have people without a lot of exposure to individuals who present differently, and it will be an ongoing challenge for us to always make sure that we're establishing ourselves as a CCBHC that doesn't allow [bias], that the door is open and everyone's welcome. And if you don't welcome everybody, you don't belong there</w:t>
      </w:r>
      <w:r w:rsidRPr="00710A26">
        <w:rPr>
          <w:rFonts w:eastAsia="Calibri" w:cstheme="minorHAnsi"/>
          <w:sz w:val="22"/>
          <w:szCs w:val="22"/>
        </w:rPr>
        <w:t xml:space="preserve">” (Lead Clinical 10). These CCBHCs face the challenge of boldly centering equity in communities with </w:t>
      </w:r>
      <w:r>
        <w:rPr>
          <w:rFonts w:eastAsia="Calibri" w:cstheme="minorHAnsi"/>
          <w:sz w:val="22"/>
          <w:szCs w:val="22"/>
        </w:rPr>
        <w:t>residents who</w:t>
      </w:r>
      <w:r w:rsidRPr="00710A26">
        <w:rPr>
          <w:rFonts w:eastAsia="Calibri" w:cstheme="minorHAnsi"/>
          <w:sz w:val="22"/>
          <w:szCs w:val="22"/>
        </w:rPr>
        <w:t xml:space="preserve"> may not understand or support those efforts, </w:t>
      </w:r>
      <w:r>
        <w:rPr>
          <w:rFonts w:eastAsia="Calibri" w:cstheme="minorHAnsi"/>
          <w:sz w:val="22"/>
          <w:szCs w:val="22"/>
        </w:rPr>
        <w:t>while</w:t>
      </w:r>
      <w:r w:rsidRPr="00710A26">
        <w:rPr>
          <w:rFonts w:eastAsia="Calibri" w:cstheme="minorHAnsi"/>
          <w:sz w:val="22"/>
          <w:szCs w:val="22"/>
        </w:rPr>
        <w:t xml:space="preserve"> simultaneously trying not to alienate their service users.</w:t>
      </w:r>
    </w:p>
    <w:p w14:paraId="76B29B5C" w14:textId="77777777" w:rsidR="0019591E" w:rsidRDefault="0019591E">
      <w:pPr>
        <w:rPr>
          <w:rFonts w:eastAsia="Calibri" w:cstheme="minorHAnsi"/>
          <w:sz w:val="22"/>
          <w:szCs w:val="22"/>
        </w:rPr>
      </w:pPr>
    </w:p>
    <w:p w14:paraId="443AB5BA" w14:textId="21A575E9" w:rsidR="0019591E" w:rsidRDefault="0019591E">
      <w:pPr>
        <w:rPr>
          <w:rFonts w:eastAsia="Calibri" w:cstheme="minorHAnsi"/>
          <w:sz w:val="22"/>
          <w:szCs w:val="22"/>
        </w:rPr>
      </w:pPr>
      <w:r>
        <w:rPr>
          <w:rFonts w:eastAsia="Calibri" w:cstheme="minorHAnsi"/>
          <w:noProof/>
          <w:sz w:val="22"/>
          <w:szCs w:val="22"/>
        </w:rPr>
        <mc:AlternateContent>
          <mc:Choice Requires="wps">
            <w:drawing>
              <wp:anchor distT="0" distB="0" distL="114300" distR="114300" simplePos="0" relativeHeight="251682816" behindDoc="0" locked="0" layoutInCell="1" allowOverlap="1" wp14:anchorId="63A91EBE" wp14:editId="085D3AEA">
                <wp:simplePos x="0" y="0"/>
                <wp:positionH relativeFrom="column">
                  <wp:posOffset>-1700</wp:posOffset>
                </wp:positionH>
                <wp:positionV relativeFrom="paragraph">
                  <wp:posOffset>9931</wp:posOffset>
                </wp:positionV>
                <wp:extent cx="5947200" cy="1283300"/>
                <wp:effectExtent l="12700" t="12700" r="22225" b="25400"/>
                <wp:wrapNone/>
                <wp:docPr id="9" name="Text Box 9"/>
                <wp:cNvGraphicFramePr/>
                <a:graphic xmlns:a="http://schemas.openxmlformats.org/drawingml/2006/main">
                  <a:graphicData uri="http://schemas.microsoft.com/office/word/2010/wordprocessingShape">
                    <wps:wsp>
                      <wps:cNvSpPr txBox="1"/>
                      <wps:spPr>
                        <a:xfrm>
                          <a:off x="0" y="0"/>
                          <a:ext cx="5947200" cy="1283300"/>
                        </a:xfrm>
                        <a:prstGeom prst="rect">
                          <a:avLst/>
                        </a:prstGeom>
                        <a:solidFill>
                          <a:schemeClr val="lt1"/>
                        </a:solidFill>
                        <a:ln w="38100">
                          <a:solidFill>
                            <a:schemeClr val="accent6">
                              <a:lumMod val="75000"/>
                            </a:schemeClr>
                          </a:solidFill>
                        </a:ln>
                      </wps:spPr>
                      <wps:txbx>
                        <w:txbxContent>
                          <w:p w14:paraId="65645C9C" w14:textId="77777777" w:rsidR="0019591E" w:rsidRPr="00E30421" w:rsidRDefault="0019591E" w:rsidP="0019591E">
                            <w:pPr>
                              <w:spacing w:after="120"/>
                              <w:jc w:val="center"/>
                              <w:rPr>
                                <w:rFonts w:cstheme="minorHAnsi"/>
                              </w:rPr>
                            </w:pPr>
                            <w:r>
                              <w:rPr>
                                <w:b/>
                                <w:bCs/>
                                <w:color w:val="6A7F0F"/>
                              </w:rPr>
                              <w:t xml:space="preserve">Summary and Recommendations: </w:t>
                            </w:r>
                            <w:r w:rsidRPr="00E30421">
                              <w:rPr>
                                <w:b/>
                                <w:bCs/>
                                <w:color w:val="6A7F0F"/>
                              </w:rPr>
                              <w:t>Offer Services that Result in Improved Health Outcomes, Lower Overall Healthcare Costs, and Improve Overall Community Health</w:t>
                            </w:r>
                          </w:p>
                          <w:p w14:paraId="5641C634" w14:textId="6F8E144A" w:rsidR="0019591E" w:rsidRPr="00D933CC" w:rsidRDefault="0019591E" w:rsidP="0019591E">
                            <w:pPr>
                              <w:rPr>
                                <w:rFonts w:cstheme="minorHAnsi"/>
                                <w:sz w:val="22"/>
                                <w:szCs w:val="22"/>
                              </w:rPr>
                            </w:pPr>
                            <w:r>
                              <w:rPr>
                                <w:rFonts w:cstheme="minorHAnsi"/>
                                <w:sz w:val="22"/>
                                <w:szCs w:val="22"/>
                              </w:rPr>
                              <w:t xml:space="preserve">According to the MHSIP data, the greatest benefits in overall health outcomes and community health improvements were most clearly realized by two specific populations – children and youth, and those identifying as Black/African American. Increases in MHSIP scores across multiple domains, </w:t>
                            </w:r>
                          </w:p>
                          <w:p w14:paraId="1D58CDC3" w14:textId="00D3D2E5" w:rsidR="0019591E" w:rsidRDefault="000D3C14">
                            <w:r>
                              <w:rPr>
                                <w:rFonts w:cstheme="minorHAnsi"/>
                                <w:sz w:val="22"/>
                                <w:szCs w:val="22"/>
                              </w:rPr>
                              <w:t>including Access, Daily Functioning, Treatment Outcomes, and Participation for child and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91EBE" id="Text Box 9" o:spid="_x0000_s1032" type="#_x0000_t202" style="position:absolute;margin-left:-.15pt;margin-top:.8pt;width:468.3pt;height:10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JdSwIAAK0EAAAOAAAAZHJzL2Uyb0RvYy54bWysVNtu2zAMfR+wfxD0vjjOrakRp8hSZBjQ&#10;tQXSoc+KLMUGZFGTlNjZ14+Sc2s3YMCwF4US6UPy8DCzu7ZWZC+sq0DnNO31KRGaQ1HpbU6/v6w+&#10;TSlxnumCKdAipwfh6N3844dZYzIxgBJUISxBEO2yxuS09N5kSeJ4KWrmemCERqcEWzOPV7tNCssa&#10;RK9VMuj3J0kDtjAWuHAOX+87J51HfCkF909SOuGJyinW5uNp47kJZzKfsWxrmSkrfiyD/UMVNas0&#10;Jj1D3TPPyM5Wv0HVFbfgQPoehzoBKSsuYg/YTdp/1826ZEbEXpAcZ840uf8Hyx/3a/NsiW8/Q4sD&#10;DIQ0xmUOH0M/rbR1+MVKCfqRwsOZNtF6wvFxfDu6wVlQwtGXDqbDIV4QJ7l8bqzzXwTUJBg5tTiX&#10;SBfbPzjfhZ5CQjYHqipWlVLxErQglsqSPcMpKh+LRPA3UUqTJqfDaYq5/wbBOBfaT2Kc2tXfoOig&#10;b8b9c+VRgSFr7OMqFSZWGh8vLAXLt5uWVEVOJycGN1AckFgLneac4asKm39gzj8ziyJDwnBx/BMe&#10;UgEWD0eLkhLszz+9h3icPXopaVC0OXU/dswKStRXjaq4TUejoPJ4GY1xKpTYa8/m2qN39RKQ0RRX&#10;1PBohnivTqa0UL/ifi1CVnQxzTF3Tv3JXPpulXA/uVgsYhDq2jD/oNeGB+gwizDal/aVWXOcv0fp&#10;PMJJ3ix7J4MuNnypYbHzIKuokcBzx+qRftyJOJ3j/oalu77HqMu/zPwXAAAA//8DAFBLAwQUAAYA&#10;CAAAACEAlP3Cwt8AAAAMAQAADwAAAGRycy9kb3ducmV2LnhtbExPy07DMBC8I/EP1iJxax0akbZp&#10;nAoRegW1INGjHS9JILaj2M3j71lO5bLS7OzOI9tPpmUD9r5xVsDDMgKGtnS6sZWAj/fDYgPMB2m1&#10;bJ1FATN62Oe3N5lMtRvtEYdTqBiJWJ9KAXUIXcq5L2s00i9dh5a4L9cbGQj2Fde9HEnctHwVRQk3&#10;srHkUMsOn2ssf04XQyqvb8X38PkyP47nY6FUqw7zZi3E/d1U7Gg87YAFnML1A/46UH7IKZhyF6s9&#10;awUsYjqkdQKM2G2cEFYCVlG8Bp5n/H+J/BcAAP//AwBQSwECLQAUAAYACAAAACEAtoM4kv4AAADh&#10;AQAAEwAAAAAAAAAAAAAAAAAAAAAAW0NvbnRlbnRfVHlwZXNdLnhtbFBLAQItABQABgAIAAAAIQA4&#10;/SH/1gAAAJQBAAALAAAAAAAAAAAAAAAAAC8BAABfcmVscy8ucmVsc1BLAQItABQABgAIAAAAIQD6&#10;B7JdSwIAAK0EAAAOAAAAAAAAAAAAAAAAAC4CAABkcnMvZTJvRG9jLnhtbFBLAQItABQABgAIAAAA&#10;IQCU/cLC3wAAAAwBAAAPAAAAAAAAAAAAAAAAAKUEAABkcnMvZG93bnJldi54bWxQSwUGAAAAAAQA&#10;BADzAAAAsQUAAAAA&#10;" fillcolor="white [3201]" strokecolor="#538135 [2409]" strokeweight="3pt">
                <v:textbox>
                  <w:txbxContent>
                    <w:p w14:paraId="65645C9C" w14:textId="77777777" w:rsidR="0019591E" w:rsidRPr="00E30421" w:rsidRDefault="0019591E" w:rsidP="0019591E">
                      <w:pPr>
                        <w:spacing w:after="120"/>
                        <w:jc w:val="center"/>
                        <w:rPr>
                          <w:rFonts w:cstheme="minorHAnsi"/>
                        </w:rPr>
                      </w:pPr>
                      <w:r>
                        <w:rPr>
                          <w:b/>
                          <w:bCs/>
                          <w:color w:val="6A7F0F"/>
                        </w:rPr>
                        <w:t xml:space="preserve">Summary and Recommendations: </w:t>
                      </w:r>
                      <w:r w:rsidRPr="00E30421">
                        <w:rPr>
                          <w:b/>
                          <w:bCs/>
                          <w:color w:val="6A7F0F"/>
                        </w:rPr>
                        <w:t>Offer Services that Result in Improved Health Outcomes, Lower Overall Healthcare Costs, and Improve Overall Community Health</w:t>
                      </w:r>
                    </w:p>
                    <w:p w14:paraId="5641C634" w14:textId="6F8E144A" w:rsidR="0019591E" w:rsidRPr="00D933CC" w:rsidRDefault="0019591E" w:rsidP="0019591E">
                      <w:pPr>
                        <w:rPr>
                          <w:rFonts w:cstheme="minorHAnsi"/>
                          <w:sz w:val="22"/>
                          <w:szCs w:val="22"/>
                        </w:rPr>
                      </w:pPr>
                      <w:r>
                        <w:rPr>
                          <w:rFonts w:cstheme="minorHAnsi"/>
                          <w:sz w:val="22"/>
                          <w:szCs w:val="22"/>
                        </w:rPr>
                        <w:t xml:space="preserve">According to the MHSIP data, the greatest benefits in overall health outcomes and community health improvements were most clearly realized by two specific populations – children and youth, and those identifying as Black/African American. Increases in MHSIP scores across multiple domains, </w:t>
                      </w:r>
                    </w:p>
                    <w:p w14:paraId="1D58CDC3" w14:textId="00D3D2E5" w:rsidR="0019591E" w:rsidRDefault="000D3C14">
                      <w:r>
                        <w:rPr>
                          <w:rFonts w:cstheme="minorHAnsi"/>
                          <w:sz w:val="22"/>
                          <w:szCs w:val="22"/>
                        </w:rPr>
                        <w:t>including Access, Daily Functioning, Treatment Outcomes, and Participation for child and youth</w:t>
                      </w:r>
                    </w:p>
                  </w:txbxContent>
                </v:textbox>
              </v:shape>
            </w:pict>
          </mc:Fallback>
        </mc:AlternateContent>
      </w:r>
      <w:r>
        <w:rPr>
          <w:rFonts w:eastAsia="Calibri" w:cstheme="minorHAnsi"/>
          <w:sz w:val="22"/>
          <w:szCs w:val="22"/>
        </w:rPr>
        <w:br w:type="page"/>
      </w:r>
    </w:p>
    <w:p w14:paraId="185A4ECF" w14:textId="16A67EC2" w:rsidR="007E3335" w:rsidRDefault="00D34823" w:rsidP="007E3335">
      <w:pPr>
        <w:rPr>
          <w:rFonts w:eastAsia="Calibri" w:cstheme="minorHAnsi"/>
          <w:color w:val="000000"/>
          <w:sz w:val="22"/>
          <w:szCs w:val="22"/>
        </w:rPr>
      </w:pPr>
      <w:r>
        <w:rPr>
          <w:rFonts w:eastAsia="Calibri" w:cstheme="minorHAnsi"/>
          <w:noProof/>
          <w:color w:val="000000"/>
          <w:sz w:val="22"/>
          <w:szCs w:val="22"/>
        </w:rPr>
        <mc:AlternateContent>
          <mc:Choice Requires="wps">
            <w:drawing>
              <wp:anchor distT="0" distB="0" distL="114300" distR="114300" simplePos="0" relativeHeight="251673600" behindDoc="0" locked="0" layoutInCell="1" allowOverlap="1" wp14:anchorId="5919938D" wp14:editId="1856F523">
                <wp:simplePos x="0" y="0"/>
                <wp:positionH relativeFrom="column">
                  <wp:posOffset>12700</wp:posOffset>
                </wp:positionH>
                <wp:positionV relativeFrom="paragraph">
                  <wp:posOffset>-23299</wp:posOffset>
                </wp:positionV>
                <wp:extent cx="5927300" cy="8123300"/>
                <wp:effectExtent l="12700" t="12700" r="29210" b="30480"/>
                <wp:wrapNone/>
                <wp:docPr id="13" name="Text Box 13"/>
                <wp:cNvGraphicFramePr/>
                <a:graphic xmlns:a="http://schemas.openxmlformats.org/drawingml/2006/main">
                  <a:graphicData uri="http://schemas.microsoft.com/office/word/2010/wordprocessingShape">
                    <wps:wsp>
                      <wps:cNvSpPr txBox="1"/>
                      <wps:spPr>
                        <a:xfrm>
                          <a:off x="0" y="0"/>
                          <a:ext cx="5927300" cy="8123300"/>
                        </a:xfrm>
                        <a:prstGeom prst="rect">
                          <a:avLst/>
                        </a:prstGeom>
                        <a:solidFill>
                          <a:schemeClr val="lt1"/>
                        </a:solidFill>
                        <a:ln w="38100">
                          <a:solidFill>
                            <a:schemeClr val="accent6">
                              <a:lumMod val="75000"/>
                            </a:schemeClr>
                          </a:solidFill>
                        </a:ln>
                      </wps:spPr>
                      <wps:txbx>
                        <w:txbxContent>
                          <w:p w14:paraId="38AD594A" w14:textId="3F2B727C" w:rsidR="000D3C14" w:rsidRPr="00D933CC" w:rsidRDefault="000D3C14" w:rsidP="000D3C14">
                            <w:pPr>
                              <w:rPr>
                                <w:rFonts w:cstheme="minorHAnsi"/>
                                <w:sz w:val="22"/>
                                <w:szCs w:val="22"/>
                              </w:rPr>
                            </w:pPr>
                            <w:r>
                              <w:rPr>
                                <w:rFonts w:cstheme="minorHAnsi"/>
                                <w:sz w:val="22"/>
                                <w:szCs w:val="22"/>
                              </w:rPr>
                              <w:t xml:space="preserve">services, and Access, Quality, and Participation for adult services, helped illustrate the types of individual benefits realized by these populations as well has how CCBHC programming may address drivers of differential access and quality of behavioral health services. </w:t>
                            </w:r>
                          </w:p>
                          <w:p w14:paraId="5F0341A4" w14:textId="77777777" w:rsidR="000D3C14" w:rsidRDefault="000D3C14" w:rsidP="00974ABB">
                            <w:pPr>
                              <w:rPr>
                                <w:rFonts w:eastAsia="Calibri" w:cstheme="minorHAnsi"/>
                                <w:sz w:val="22"/>
                                <w:szCs w:val="22"/>
                              </w:rPr>
                            </w:pPr>
                          </w:p>
                          <w:p w14:paraId="42AE274C" w14:textId="6D472FD7" w:rsidR="00974ABB" w:rsidRPr="00710A26" w:rsidRDefault="00974ABB" w:rsidP="00974ABB">
                            <w:pPr>
                              <w:rPr>
                                <w:rFonts w:eastAsia="Calibri" w:cstheme="minorHAnsi"/>
                                <w:sz w:val="22"/>
                                <w:szCs w:val="22"/>
                              </w:rPr>
                            </w:pPr>
                            <w:r>
                              <w:rPr>
                                <w:rFonts w:eastAsia="Calibri" w:cstheme="minorHAnsi"/>
                                <w:sz w:val="22"/>
                                <w:szCs w:val="22"/>
                              </w:rPr>
                              <w:t xml:space="preserve">It </w:t>
                            </w:r>
                            <w:r w:rsidRPr="00710A26">
                              <w:rPr>
                                <w:rFonts w:eastAsia="Calibri" w:cstheme="minorHAnsi"/>
                                <w:sz w:val="22"/>
                                <w:szCs w:val="22"/>
                              </w:rPr>
                              <w:t xml:space="preserve">may be premature </w:t>
                            </w:r>
                            <w:r>
                              <w:rPr>
                                <w:rFonts w:eastAsia="Calibri" w:cstheme="minorHAnsi"/>
                                <w:sz w:val="22"/>
                                <w:szCs w:val="22"/>
                              </w:rPr>
                              <w:t>to e</w:t>
                            </w:r>
                            <w:r w:rsidRPr="00710A26">
                              <w:rPr>
                                <w:rFonts w:eastAsia="Calibri" w:cstheme="minorHAnsi"/>
                                <w:sz w:val="22"/>
                                <w:szCs w:val="22"/>
                              </w:rPr>
                              <w:t>xpect</w:t>
                            </w:r>
                            <w:r>
                              <w:rPr>
                                <w:rFonts w:eastAsia="Calibri" w:cstheme="minorHAnsi"/>
                                <w:sz w:val="22"/>
                                <w:szCs w:val="22"/>
                              </w:rPr>
                              <w:t xml:space="preserve"> to see substantial </w:t>
                            </w:r>
                            <w:r w:rsidRPr="00710A26">
                              <w:rPr>
                                <w:rFonts w:eastAsia="Calibri" w:cstheme="minorHAnsi"/>
                                <w:sz w:val="22"/>
                                <w:szCs w:val="22"/>
                              </w:rPr>
                              <w:t xml:space="preserve">cost savings </w:t>
                            </w:r>
                            <w:r>
                              <w:rPr>
                                <w:rFonts w:eastAsia="Calibri" w:cstheme="minorHAnsi"/>
                                <w:sz w:val="22"/>
                                <w:szCs w:val="22"/>
                              </w:rPr>
                              <w:t>from the CCBHC model at this time</w:t>
                            </w:r>
                            <w:r w:rsidRPr="00710A26">
                              <w:rPr>
                                <w:rFonts w:eastAsia="Calibri" w:cstheme="minorHAnsi"/>
                                <w:sz w:val="22"/>
                                <w:szCs w:val="22"/>
                              </w:rPr>
                              <w:t xml:space="preserve">. </w:t>
                            </w:r>
                            <w:r>
                              <w:rPr>
                                <w:rFonts w:eastAsia="Calibri" w:cstheme="minorHAnsi"/>
                                <w:sz w:val="22"/>
                                <w:szCs w:val="22"/>
                              </w:rPr>
                              <w:t>I</w:t>
                            </w:r>
                            <w:r w:rsidRPr="00710A26">
                              <w:rPr>
                                <w:rFonts w:eastAsia="Calibri" w:cstheme="minorHAnsi"/>
                                <w:sz w:val="22"/>
                                <w:szCs w:val="22"/>
                              </w:rPr>
                              <w:t>ncreases in spending appear to be the result of CCBHCs engaging</w:t>
                            </w:r>
                            <w:r>
                              <w:rPr>
                                <w:rFonts w:eastAsia="Calibri" w:cstheme="minorHAnsi"/>
                                <w:sz w:val="22"/>
                                <w:szCs w:val="22"/>
                              </w:rPr>
                              <w:t xml:space="preserve"> with</w:t>
                            </w:r>
                            <w:r w:rsidRPr="00710A26">
                              <w:rPr>
                                <w:rFonts w:eastAsia="Calibri" w:cstheme="minorHAnsi"/>
                                <w:sz w:val="22"/>
                                <w:szCs w:val="22"/>
                              </w:rPr>
                              <w:t xml:space="preserve"> more service users</w:t>
                            </w:r>
                            <w:r>
                              <w:rPr>
                                <w:rFonts w:eastAsia="Calibri" w:cstheme="minorHAnsi"/>
                                <w:sz w:val="22"/>
                                <w:szCs w:val="22"/>
                              </w:rPr>
                              <w:t>, providing more services, and ultimately expanding their service user populations</w:t>
                            </w:r>
                            <w:r w:rsidRPr="00710A26">
                              <w:rPr>
                                <w:rFonts w:eastAsia="Calibri" w:cstheme="minorHAnsi"/>
                                <w:sz w:val="22"/>
                                <w:szCs w:val="22"/>
                              </w:rPr>
                              <w:t xml:space="preserve">. In a behavioral health system that has been </w:t>
                            </w:r>
                            <w:r>
                              <w:rPr>
                                <w:rFonts w:eastAsia="Calibri" w:cstheme="minorHAnsi"/>
                                <w:sz w:val="22"/>
                                <w:szCs w:val="22"/>
                              </w:rPr>
                              <w:t>historicall</w:t>
                            </w:r>
                            <w:r w:rsidRPr="00710A26">
                              <w:rPr>
                                <w:rFonts w:eastAsia="Calibri" w:cstheme="minorHAnsi"/>
                                <w:sz w:val="22"/>
                                <w:szCs w:val="22"/>
                              </w:rPr>
                              <w:t>y underfunded, these increases may be appropriate</w:t>
                            </w:r>
                            <w:r>
                              <w:rPr>
                                <w:rFonts w:eastAsia="Calibri" w:cstheme="minorHAnsi"/>
                                <w:sz w:val="22"/>
                                <w:szCs w:val="22"/>
                              </w:rPr>
                              <w:t>, particularly in the short term</w:t>
                            </w:r>
                            <w:r w:rsidRPr="00710A26">
                              <w:rPr>
                                <w:rFonts w:eastAsia="Calibri" w:cstheme="minorHAnsi"/>
                                <w:sz w:val="22"/>
                                <w:szCs w:val="22"/>
                              </w:rPr>
                              <w:t xml:space="preserve">. However, </w:t>
                            </w:r>
                            <w:r>
                              <w:rPr>
                                <w:rFonts w:eastAsia="Calibri" w:cstheme="minorHAnsi"/>
                                <w:sz w:val="22"/>
                                <w:szCs w:val="22"/>
                              </w:rPr>
                              <w:t>CCBHCs must engage potential community partners and their service users in providing feedback and advising the CCBHCs on how to ensure the</w:t>
                            </w:r>
                            <w:r w:rsidRPr="00710A26">
                              <w:rPr>
                                <w:rFonts w:eastAsia="Calibri" w:cstheme="minorHAnsi"/>
                                <w:sz w:val="22"/>
                                <w:szCs w:val="22"/>
                              </w:rPr>
                              <w:t xml:space="preserve"> appropriate allocation of resources to address service gaps and engage historically</w:t>
                            </w:r>
                            <w:r>
                              <w:rPr>
                                <w:rFonts w:eastAsia="Calibri" w:cstheme="minorHAnsi"/>
                                <w:sz w:val="22"/>
                                <w:szCs w:val="22"/>
                              </w:rPr>
                              <w:t xml:space="preserve"> and currently</w:t>
                            </w:r>
                            <w:r w:rsidRPr="00710A26">
                              <w:rPr>
                                <w:rFonts w:eastAsia="Calibri" w:cstheme="minorHAnsi"/>
                                <w:sz w:val="22"/>
                                <w:szCs w:val="22"/>
                              </w:rPr>
                              <w:t xml:space="preserve"> underserved populations. </w:t>
                            </w:r>
                          </w:p>
                          <w:p w14:paraId="2E265AD0" w14:textId="77777777" w:rsidR="00974ABB" w:rsidRDefault="00974ABB" w:rsidP="00974ABB">
                            <w:pPr>
                              <w:rPr>
                                <w:rFonts w:eastAsia="Calibri" w:cstheme="minorHAnsi"/>
                                <w:sz w:val="22"/>
                                <w:szCs w:val="22"/>
                              </w:rPr>
                            </w:pPr>
                          </w:p>
                          <w:p w14:paraId="1076ACFD" w14:textId="77777777" w:rsidR="00974ABB" w:rsidRDefault="00974ABB" w:rsidP="00974ABB">
                            <w:pPr>
                              <w:rPr>
                                <w:rFonts w:eastAsia="Calibri" w:cstheme="minorHAnsi"/>
                                <w:sz w:val="22"/>
                                <w:szCs w:val="22"/>
                              </w:rPr>
                            </w:pPr>
                            <w:r>
                              <w:rPr>
                                <w:rFonts w:eastAsia="Calibri" w:cstheme="minorHAnsi"/>
                                <w:sz w:val="22"/>
                                <w:szCs w:val="22"/>
                              </w:rPr>
                              <w:t>A</w:t>
                            </w:r>
                            <w:r w:rsidRPr="008A2AC7">
                              <w:rPr>
                                <w:rFonts w:eastAsia="Calibri" w:cstheme="minorHAnsi"/>
                                <w:sz w:val="22"/>
                                <w:szCs w:val="22"/>
                              </w:rPr>
                              <w:t xml:space="preserve">ssessing cost must account for value for investment; the CCBHC model has facilitated cross-sector collaboration and greater engagement with community-based organizations (CBO), </w:t>
                            </w:r>
                            <w:r>
                              <w:rPr>
                                <w:rFonts w:eastAsia="Calibri" w:cstheme="minorHAnsi"/>
                                <w:sz w:val="22"/>
                                <w:szCs w:val="22"/>
                              </w:rPr>
                              <w:t xml:space="preserve">both of </w:t>
                            </w:r>
                            <w:r w:rsidRPr="008A2AC7">
                              <w:rPr>
                                <w:rFonts w:eastAsia="Calibri" w:cstheme="minorHAnsi"/>
                                <w:sz w:val="22"/>
                                <w:szCs w:val="22"/>
                              </w:rPr>
                              <w:t>which support overall community health.</w:t>
                            </w:r>
                            <w:r>
                              <w:rPr>
                                <w:rFonts w:eastAsia="Calibri" w:cstheme="minorHAnsi"/>
                                <w:sz w:val="22"/>
                                <w:szCs w:val="22"/>
                              </w:rPr>
                              <w:t xml:space="preserve"> Communities where CCBHCs operate indicate that behavioral health is a community priority. H</w:t>
                            </w:r>
                            <w:r w:rsidRPr="00710A26">
                              <w:rPr>
                                <w:rFonts w:eastAsia="Calibri" w:cstheme="minorHAnsi"/>
                                <w:sz w:val="22"/>
                                <w:szCs w:val="22"/>
                              </w:rPr>
                              <w:t xml:space="preserve">owever, </w:t>
                            </w:r>
                            <w:r>
                              <w:rPr>
                                <w:rFonts w:eastAsia="Calibri" w:cstheme="minorHAnsi"/>
                                <w:sz w:val="22"/>
                                <w:szCs w:val="22"/>
                              </w:rPr>
                              <w:t>the c</w:t>
                            </w:r>
                            <w:r w:rsidRPr="00710A26">
                              <w:rPr>
                                <w:rFonts w:eastAsia="Calibri" w:cstheme="minorHAnsi"/>
                                <w:sz w:val="22"/>
                                <w:szCs w:val="22"/>
                              </w:rPr>
                              <w:t>ommunity health reports</w:t>
                            </w:r>
                            <w:r>
                              <w:rPr>
                                <w:rFonts w:eastAsia="Calibri" w:cstheme="minorHAnsi"/>
                                <w:sz w:val="22"/>
                                <w:szCs w:val="22"/>
                              </w:rPr>
                              <w:t xml:space="preserve"> reviewed (see </w:t>
                            </w:r>
                            <w:hyperlink w:anchor="_Appendix_1:_Summary" w:history="1">
                              <w:r w:rsidRPr="00E9071F">
                                <w:rPr>
                                  <w:rStyle w:val="Hyperlink"/>
                                  <w:rFonts w:eastAsia="Calibri" w:cstheme="minorHAnsi"/>
                                  <w:sz w:val="22"/>
                                  <w:szCs w:val="22"/>
                                </w:rPr>
                                <w:t>Appendix 1</w:t>
                              </w:r>
                            </w:hyperlink>
                            <w:r>
                              <w:rPr>
                                <w:rFonts w:eastAsia="Calibri" w:cstheme="minorHAnsi"/>
                                <w:sz w:val="22"/>
                                <w:szCs w:val="22"/>
                              </w:rPr>
                              <w:t xml:space="preserve">) </w:t>
                            </w:r>
                            <w:r w:rsidRPr="00710A26">
                              <w:rPr>
                                <w:rFonts w:eastAsia="Calibri" w:cstheme="minorHAnsi"/>
                                <w:sz w:val="22"/>
                                <w:szCs w:val="22"/>
                              </w:rPr>
                              <w:t>rarely mention</w:t>
                            </w:r>
                            <w:r>
                              <w:rPr>
                                <w:rFonts w:eastAsia="Calibri" w:cstheme="minorHAnsi"/>
                                <w:sz w:val="22"/>
                                <w:szCs w:val="22"/>
                              </w:rPr>
                              <w:t>ed</w:t>
                            </w:r>
                            <w:r w:rsidRPr="00710A26">
                              <w:rPr>
                                <w:rFonts w:eastAsia="Calibri" w:cstheme="minorHAnsi"/>
                                <w:sz w:val="22"/>
                                <w:szCs w:val="22"/>
                              </w:rPr>
                              <w:t xml:space="preserve"> the role that CCBHCs </w:t>
                            </w:r>
                            <w:r>
                              <w:rPr>
                                <w:rFonts w:eastAsia="Calibri" w:cstheme="minorHAnsi"/>
                                <w:sz w:val="22"/>
                                <w:szCs w:val="22"/>
                              </w:rPr>
                              <w:t xml:space="preserve">already or </w:t>
                            </w:r>
                            <w:r w:rsidRPr="00710A26">
                              <w:rPr>
                                <w:rFonts w:eastAsia="Calibri" w:cstheme="minorHAnsi"/>
                                <w:sz w:val="22"/>
                                <w:szCs w:val="22"/>
                              </w:rPr>
                              <w:t>could</w:t>
                            </w:r>
                            <w:r>
                              <w:rPr>
                                <w:rFonts w:eastAsia="Calibri" w:cstheme="minorHAnsi"/>
                                <w:sz w:val="22"/>
                                <w:szCs w:val="22"/>
                              </w:rPr>
                              <w:t xml:space="preserve"> potentially</w:t>
                            </w:r>
                            <w:r w:rsidRPr="00710A26">
                              <w:rPr>
                                <w:rFonts w:eastAsia="Calibri" w:cstheme="minorHAnsi"/>
                                <w:sz w:val="22"/>
                                <w:szCs w:val="22"/>
                              </w:rPr>
                              <w:t xml:space="preserve"> play in meeting community health needs. </w:t>
                            </w:r>
                            <w:r>
                              <w:rPr>
                                <w:rFonts w:eastAsia="Calibri" w:cstheme="minorHAnsi"/>
                                <w:sz w:val="22"/>
                                <w:szCs w:val="22"/>
                              </w:rPr>
                              <w:t xml:space="preserve">While service users reported positive perceptions of CCBHCs, they also provided insights into barriers to care that affect community health. </w:t>
                            </w:r>
                          </w:p>
                          <w:p w14:paraId="2C71C680" w14:textId="610F18F1" w:rsidR="00974ABB" w:rsidRDefault="00974ABB"/>
                          <w:p w14:paraId="04158A80" w14:textId="77777777" w:rsidR="00974ABB" w:rsidRPr="00E62713" w:rsidRDefault="00974ABB" w:rsidP="00974ABB">
                            <w:pPr>
                              <w:rPr>
                                <w:rFonts w:eastAsia="Calibri" w:cstheme="minorHAnsi"/>
                                <w:sz w:val="22"/>
                                <w:szCs w:val="22"/>
                              </w:rPr>
                            </w:pPr>
                            <w:r>
                              <w:rPr>
                                <w:rFonts w:eastAsia="Calibri" w:cstheme="minorHAnsi"/>
                                <w:sz w:val="22"/>
                                <w:szCs w:val="22"/>
                              </w:rPr>
                              <w:t>OHA could support CCBHCs by building collective knowledge of strategies to increase a</w:t>
                            </w:r>
                            <w:r w:rsidRPr="00710A26">
                              <w:rPr>
                                <w:rFonts w:eastAsia="Calibri" w:cstheme="minorHAnsi"/>
                                <w:sz w:val="22"/>
                                <w:szCs w:val="22"/>
                              </w:rPr>
                              <w:t xml:space="preserve">wareness of </w:t>
                            </w:r>
                            <w:r>
                              <w:rPr>
                                <w:rFonts w:eastAsia="Calibri" w:cstheme="minorHAnsi"/>
                                <w:sz w:val="22"/>
                                <w:szCs w:val="22"/>
                              </w:rPr>
                              <w:t>their CCBHC status within their communities</w:t>
                            </w:r>
                            <w:r w:rsidRPr="00710A26">
                              <w:rPr>
                                <w:rFonts w:eastAsia="Calibri" w:cstheme="minorHAnsi"/>
                                <w:sz w:val="22"/>
                                <w:szCs w:val="22"/>
                              </w:rPr>
                              <w:t xml:space="preserve">, including the services </w:t>
                            </w:r>
                            <w:r>
                              <w:rPr>
                                <w:rFonts w:eastAsia="Calibri" w:cstheme="minorHAnsi"/>
                                <w:sz w:val="22"/>
                                <w:szCs w:val="22"/>
                              </w:rPr>
                              <w:t xml:space="preserve">that they offer </w:t>
                            </w:r>
                            <w:r w:rsidRPr="00710A26">
                              <w:rPr>
                                <w:rFonts w:eastAsia="Calibri" w:cstheme="minorHAnsi"/>
                                <w:sz w:val="22"/>
                                <w:szCs w:val="22"/>
                              </w:rPr>
                              <w:t xml:space="preserve">and </w:t>
                            </w:r>
                            <w:r>
                              <w:rPr>
                                <w:rFonts w:eastAsia="Calibri" w:cstheme="minorHAnsi"/>
                                <w:sz w:val="22"/>
                                <w:szCs w:val="22"/>
                              </w:rPr>
                              <w:t>their mandate to</w:t>
                            </w:r>
                            <w:r w:rsidRPr="00710A26">
                              <w:rPr>
                                <w:rFonts w:eastAsia="Calibri" w:cstheme="minorHAnsi"/>
                                <w:sz w:val="22"/>
                                <w:szCs w:val="22"/>
                              </w:rPr>
                              <w:t xml:space="preserve"> serve anyone regardless of insurance status</w:t>
                            </w:r>
                            <w:r>
                              <w:rPr>
                                <w:rFonts w:eastAsia="Calibri" w:cstheme="minorHAnsi"/>
                                <w:sz w:val="22"/>
                                <w:szCs w:val="22"/>
                              </w:rPr>
                              <w:t xml:space="preserve"> or ability to pay. Increasing awareness of CCBHCs and how they are unique compared to other behavioral health clinics </w:t>
                            </w:r>
                            <w:r w:rsidRPr="00710A26">
                              <w:rPr>
                                <w:rFonts w:eastAsia="Calibri" w:cstheme="minorHAnsi"/>
                                <w:sz w:val="22"/>
                                <w:szCs w:val="22"/>
                              </w:rPr>
                              <w:t xml:space="preserve">could enable communities to leverage CCBHCs more effectively </w:t>
                            </w:r>
                            <w:r>
                              <w:rPr>
                                <w:rFonts w:eastAsia="Calibri" w:cstheme="minorHAnsi"/>
                                <w:sz w:val="22"/>
                                <w:szCs w:val="22"/>
                              </w:rPr>
                              <w:t>in their pursuit of</w:t>
                            </w:r>
                            <w:r w:rsidRPr="00710A26">
                              <w:rPr>
                                <w:rFonts w:eastAsia="Calibri" w:cstheme="minorHAnsi"/>
                                <w:sz w:val="22"/>
                                <w:szCs w:val="22"/>
                              </w:rPr>
                              <w:t xml:space="preserve"> improv</w:t>
                            </w:r>
                            <w:r>
                              <w:rPr>
                                <w:rFonts w:eastAsia="Calibri" w:cstheme="minorHAnsi"/>
                                <w:sz w:val="22"/>
                                <w:szCs w:val="22"/>
                              </w:rPr>
                              <w:t>ing</w:t>
                            </w:r>
                            <w:r w:rsidRPr="00710A26">
                              <w:rPr>
                                <w:rFonts w:eastAsia="Calibri" w:cstheme="minorHAnsi"/>
                                <w:sz w:val="22"/>
                                <w:szCs w:val="22"/>
                              </w:rPr>
                              <w:t xml:space="preserve"> community health outcomes. While all </w:t>
                            </w:r>
                            <w:r>
                              <w:rPr>
                                <w:rFonts w:eastAsia="Calibri" w:cstheme="minorHAnsi"/>
                                <w:sz w:val="22"/>
                                <w:szCs w:val="22"/>
                              </w:rPr>
                              <w:t>CCBHC</w:t>
                            </w:r>
                            <w:r w:rsidRPr="00710A26">
                              <w:rPr>
                                <w:rFonts w:eastAsia="Calibri" w:cstheme="minorHAnsi"/>
                                <w:sz w:val="22"/>
                                <w:szCs w:val="22"/>
                              </w:rPr>
                              <w:t xml:space="preserve"> leaders report</w:t>
                            </w:r>
                            <w:r>
                              <w:rPr>
                                <w:rFonts w:eastAsia="Calibri" w:cstheme="minorHAnsi"/>
                                <w:sz w:val="22"/>
                                <w:szCs w:val="22"/>
                              </w:rPr>
                              <w:t>ed</w:t>
                            </w:r>
                            <w:r w:rsidRPr="00710A26">
                              <w:rPr>
                                <w:rFonts w:eastAsia="Calibri" w:cstheme="minorHAnsi"/>
                                <w:sz w:val="22"/>
                                <w:szCs w:val="22"/>
                              </w:rPr>
                              <w:t xml:space="preserve"> collaborating with multiple CBOs</w:t>
                            </w:r>
                            <w:r>
                              <w:rPr>
                                <w:rFonts w:eastAsia="Calibri" w:cstheme="minorHAnsi"/>
                                <w:sz w:val="22"/>
                                <w:szCs w:val="22"/>
                              </w:rPr>
                              <w:t xml:space="preserve">, clinics </w:t>
                            </w:r>
                            <w:r w:rsidRPr="00710A26">
                              <w:rPr>
                                <w:rFonts w:eastAsia="Calibri" w:cstheme="minorHAnsi"/>
                                <w:sz w:val="22"/>
                                <w:szCs w:val="22"/>
                              </w:rPr>
                              <w:t>could benefit from additional guidance</w:t>
                            </w:r>
                            <w:r>
                              <w:rPr>
                                <w:rFonts w:eastAsia="Calibri" w:cstheme="minorHAnsi"/>
                                <w:sz w:val="22"/>
                                <w:szCs w:val="22"/>
                              </w:rPr>
                              <w:t xml:space="preserve"> from OHA on how</w:t>
                            </w:r>
                            <w:r w:rsidRPr="00710A26">
                              <w:rPr>
                                <w:rFonts w:eastAsia="Calibri" w:cstheme="minorHAnsi"/>
                                <w:sz w:val="22"/>
                                <w:szCs w:val="22"/>
                              </w:rPr>
                              <w:t xml:space="preserve"> to</w:t>
                            </w:r>
                            <w:r>
                              <w:rPr>
                                <w:rFonts w:eastAsia="Calibri" w:cstheme="minorHAnsi"/>
                                <w:sz w:val="22"/>
                                <w:szCs w:val="22"/>
                              </w:rPr>
                              <w:t xml:space="preserve"> effectively</w:t>
                            </w:r>
                            <w:r w:rsidRPr="00710A26">
                              <w:rPr>
                                <w:rFonts w:eastAsia="Calibri" w:cstheme="minorHAnsi"/>
                                <w:sz w:val="22"/>
                                <w:szCs w:val="22"/>
                              </w:rPr>
                              <w:t xml:space="preserve"> identify and develop trusting relationships </w:t>
                            </w:r>
                            <w:r w:rsidRPr="00E62713">
                              <w:rPr>
                                <w:rFonts w:eastAsia="Calibri" w:cstheme="minorHAnsi"/>
                                <w:sz w:val="22"/>
                                <w:szCs w:val="22"/>
                              </w:rPr>
                              <w:t>with community partners, particularly BIPOC, Tribal, and LGBTQ+ leaders and culturally specific CBOs; identify community health needs; and develop culturally appropriate outreach and services.</w:t>
                            </w:r>
                          </w:p>
                          <w:p w14:paraId="1B3CBC6E" w14:textId="44AD4BD6" w:rsidR="00974ABB" w:rsidRDefault="00974ABB"/>
                          <w:p w14:paraId="69E22A5F" w14:textId="77777777" w:rsidR="009953A6" w:rsidRDefault="00974ABB" w:rsidP="00974ABB">
                            <w:pPr>
                              <w:rPr>
                                <w:rFonts w:eastAsia="Calibri" w:cstheme="minorHAnsi"/>
                                <w:sz w:val="22"/>
                                <w:szCs w:val="22"/>
                              </w:rPr>
                            </w:pPr>
                            <w:r w:rsidRPr="00E62713">
                              <w:rPr>
                                <w:rFonts w:eastAsia="Calibri" w:cstheme="minorHAnsi"/>
                                <w:b/>
                                <w:color w:val="6A7F0F"/>
                                <w:sz w:val="22"/>
                                <w:szCs w:val="22"/>
                              </w:rPr>
                              <w:t>Recommendation:</w:t>
                            </w:r>
                            <w:r w:rsidRPr="00E62713">
                              <w:rPr>
                                <w:rFonts w:eastAsia="Calibri" w:cstheme="minorHAnsi"/>
                                <w:color w:val="6A7F0F"/>
                                <w:sz w:val="22"/>
                                <w:szCs w:val="22"/>
                              </w:rPr>
                              <w:t xml:space="preserve"> </w:t>
                            </w:r>
                            <w:r w:rsidRPr="00E62713">
                              <w:rPr>
                                <w:rFonts w:eastAsia="Calibri" w:cstheme="minorHAnsi"/>
                                <w:sz w:val="22"/>
                                <w:szCs w:val="22"/>
                              </w:rPr>
                              <w:t>Elevate awareness of the CCBHC program in local communities and provide practical tools for communities to leverage the work of CCBHCs to address priority community health concerns.</w:t>
                            </w:r>
                          </w:p>
                          <w:p w14:paraId="6C2616B7" w14:textId="77777777" w:rsidR="009953A6" w:rsidRDefault="009953A6" w:rsidP="00974ABB">
                            <w:pPr>
                              <w:rPr>
                                <w:rFonts w:eastAsia="Calibri" w:cstheme="minorHAnsi"/>
                                <w:sz w:val="22"/>
                                <w:szCs w:val="22"/>
                              </w:rPr>
                            </w:pPr>
                          </w:p>
                          <w:p w14:paraId="0C426A50" w14:textId="77777777" w:rsidR="009953A6" w:rsidRDefault="009953A6" w:rsidP="009953A6">
                            <w:r w:rsidRPr="00E62713">
                              <w:rPr>
                                <w:rFonts w:cstheme="minorHAnsi"/>
                                <w:color w:val="000000" w:themeColor="text1"/>
                                <w:sz w:val="22"/>
                                <w:szCs w:val="22"/>
                              </w:rPr>
                              <w:t>CCBHCs</w:t>
                            </w:r>
                            <w:r w:rsidRPr="0083517D">
                              <w:rPr>
                                <w:rFonts w:cstheme="minorHAnsi"/>
                                <w:color w:val="000000" w:themeColor="text1"/>
                                <w:sz w:val="22"/>
                                <w:szCs w:val="22"/>
                              </w:rPr>
                              <w:t xml:space="preserve"> need support from OHA to translate statewide CCBHC program aspirations and goals into the realities of their local communities, develop expertise in what centering equity means within</w:t>
                            </w:r>
                          </w:p>
                          <w:p w14:paraId="6AF52E0A" w14:textId="5653FBDF" w:rsidR="009953A6" w:rsidRDefault="009953A6" w:rsidP="009953A6">
                            <w:pPr>
                              <w:rPr>
                                <w:rFonts w:cstheme="minorHAnsi"/>
                                <w:color w:val="000000" w:themeColor="text1"/>
                                <w:sz w:val="22"/>
                                <w:szCs w:val="22"/>
                              </w:rPr>
                            </w:pPr>
                            <w:r w:rsidRPr="0083517D">
                              <w:rPr>
                                <w:rFonts w:cstheme="minorHAnsi"/>
                                <w:color w:val="000000" w:themeColor="text1"/>
                                <w:sz w:val="22"/>
                                <w:szCs w:val="22"/>
                              </w:rPr>
                              <w:t>their unique community and receive guidance on how to select appropriate community health outcomes to monitor CCBHC impact in their local communities.</w:t>
                            </w:r>
                          </w:p>
                          <w:p w14:paraId="5AF43190" w14:textId="77777777" w:rsidR="009953A6" w:rsidRDefault="009953A6" w:rsidP="009953A6">
                            <w:pPr>
                              <w:rPr>
                                <w:rFonts w:eastAsia="Calibri" w:cstheme="minorHAnsi"/>
                                <w:sz w:val="22"/>
                                <w:szCs w:val="22"/>
                              </w:rPr>
                            </w:pPr>
                          </w:p>
                          <w:p w14:paraId="651E4BEF" w14:textId="77777777" w:rsidR="009953A6" w:rsidRPr="00E62713" w:rsidRDefault="009953A6" w:rsidP="009953A6">
                            <w:pPr>
                              <w:rPr>
                                <w:rFonts w:cstheme="minorHAnsi"/>
                                <w:color w:val="000000" w:themeColor="text1"/>
                                <w:sz w:val="22"/>
                                <w:szCs w:val="22"/>
                              </w:rPr>
                            </w:pPr>
                            <w:r w:rsidRPr="00E62713">
                              <w:rPr>
                                <w:rFonts w:cstheme="minorHAnsi"/>
                                <w:b/>
                                <w:bCs/>
                                <w:color w:val="6A7F0F"/>
                                <w:sz w:val="22"/>
                                <w:szCs w:val="22"/>
                              </w:rPr>
                              <w:t>Recommendation:</w:t>
                            </w:r>
                            <w:r w:rsidRPr="00E62713">
                              <w:rPr>
                                <w:rFonts w:cstheme="minorHAnsi"/>
                                <w:color w:val="6A7F0F"/>
                                <w:sz w:val="22"/>
                                <w:szCs w:val="22"/>
                              </w:rPr>
                              <w:t xml:space="preserve"> </w:t>
                            </w:r>
                            <w:r w:rsidRPr="00E62713">
                              <w:rPr>
                                <w:rFonts w:cstheme="minorHAnsi"/>
                                <w:color w:val="000000" w:themeColor="text1"/>
                                <w:sz w:val="22"/>
                                <w:szCs w:val="22"/>
                              </w:rPr>
                              <w:t xml:space="preserve">Continue and expand current technical assistance efforts to support CCBHCs to achieve statewide CCBHC goals and meet local needs identified by CCBHC clinic leaders and service users. </w:t>
                            </w:r>
                          </w:p>
                          <w:p w14:paraId="74D13E4D" w14:textId="2480616B" w:rsidR="00974ABB" w:rsidRPr="00E62713" w:rsidRDefault="00974ABB" w:rsidP="00974ABB">
                            <w:pPr>
                              <w:rPr>
                                <w:rFonts w:eastAsia="Calibri" w:cstheme="minorHAnsi"/>
                                <w:sz w:val="22"/>
                                <w:szCs w:val="22"/>
                              </w:rPr>
                            </w:pPr>
                            <w:r w:rsidRPr="00E62713">
                              <w:rPr>
                                <w:rFonts w:eastAsia="Calibri" w:cstheme="minorHAnsi"/>
                                <w:sz w:val="22"/>
                                <w:szCs w:val="22"/>
                              </w:rPr>
                              <w:t xml:space="preserve"> </w:t>
                            </w:r>
                          </w:p>
                          <w:p w14:paraId="1D41A1A8" w14:textId="77777777" w:rsidR="009953A6" w:rsidRPr="00E62713" w:rsidRDefault="009953A6" w:rsidP="009953A6">
                            <w:pPr>
                              <w:rPr>
                                <w:rFonts w:cstheme="minorHAnsi"/>
                                <w:color w:val="000000" w:themeColor="text1"/>
                                <w:sz w:val="22"/>
                                <w:szCs w:val="22"/>
                              </w:rPr>
                            </w:pPr>
                            <w:r w:rsidRPr="00E62713">
                              <w:rPr>
                                <w:rFonts w:cstheme="minorHAnsi"/>
                                <w:color w:val="000000" w:themeColor="text1"/>
                                <w:sz w:val="22"/>
                                <w:szCs w:val="22"/>
                              </w:rPr>
                              <w:t>Monitoring and studying the impact of the CCBHC program merits ongoing attention so that OHA will regularly have evidence-based, comprehensive reports on the impact of the investments in behavioral health improve individual and community health outcomes.</w:t>
                            </w:r>
                          </w:p>
                          <w:p w14:paraId="79E35F61" w14:textId="77777777" w:rsidR="009953A6" w:rsidRPr="00E62713" w:rsidRDefault="009953A6" w:rsidP="009953A6">
                            <w:pPr>
                              <w:rPr>
                                <w:rFonts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938D" id="Text Box 13" o:spid="_x0000_s1033" type="#_x0000_t202" style="position:absolute;margin-left:1pt;margin-top:-1.85pt;width:466.7pt;height:63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HCSQIAAK0EAAAOAAAAZHJzL2Uyb0RvYy54bWysVFtr2zAUfh/sPwi9L7ZzaVITp2QpGYOu&#10;LaSjz4osJQZZR5OU2Nmv35GcW7vBYOxFOTefy3e+k+ldWyuyF9ZVoAua9VJKhOZQVnpT0O8vy08T&#10;SpxnumQKtCjoQTh6N/v4YdqYXPRhC6oUlmAS7fLGFHTrvcmTxPGtqJnrgREanRJszTyqdpOUljWY&#10;vVZJP01vkgZsaSxw4Rxa7zsnncX8Ugrun6R0whNVUOzNx9fGdx3eZDZl+cYys634sQ32D13UrNJY&#10;9JzqnnlGdrb6LVVdcQsOpO9xqBOQsuIizoDTZOm7aVZbZkScBcFx5gyT+39p+eN+ZZ4t8e1naHGB&#10;AZDGuNyhMczTSluHX+yUoB8hPJxhE60nHI2j2/54kKKLo2+S9QdBwTzJ5XNjnf8ioCZBKKjFvUS4&#10;2P7B+S70FBKqOVBVuayUikrgglgoS/YMt6h8bBKTv4lSmjQFHUwyrP23FIxzof1NjFO7+huUXerx&#10;KD13HhkYqsY5rkphYaXReEEpSL5dt6QqCzo+IbiG8oDAWug45wxfVjj8A3P+mVkkGQKGh+Of8JEK&#10;sHk4SpRswf78kz3E4+7RS0mDpC2o+7FjVlCivmpkxW02HAaWR2U4GvdRsdee9bVH7+oFIKIZnqjh&#10;UQzxXp1EaaF+xfuah6roYppj7YL6k7jw3SnhfXIxn8cg5LVh/kGvDA+pwy7Cal/aV2bNcf8eqfMI&#10;J3qz/B0NutjwpYb5zoOsIkcCzh2qR/jxJuJ2jvcbju5aj1GXf5nZLwAAAP//AwBQSwMEFAAGAAgA&#10;AAAhAKCaUsnkAAAADgEAAA8AAABkcnMvZG93bnJldi54bWxMj0tPwzAQhO9I/Adrkbi1DilpShqn&#10;QoReqVqQ2qMdmyTgRxS7efx7lhNcVlrN7Lcz+W4ymgyq962zDB6WERBlKydbWzP4eN8vNkB84FZy&#10;7axiMCsPu+L2JueZdKM9quEUaoIQ6zPOoAmhyyj1VaMM90vXKYvap+sND7j2NZU9HxFuNI2jaE0N&#10;by1+aHinXhpVfZ+uBilvh/JrOL/OyXg5lkJosZ83KWP3d1O5xfG8BRLUFP4u4LcD5ocCgwl3tdIT&#10;zSDGOoHBYpUCQflplTwCEeiL02QNtMjp/xrFDwAAAP//AwBQSwECLQAUAAYACAAAACEAtoM4kv4A&#10;AADhAQAAEwAAAAAAAAAAAAAAAAAAAAAAW0NvbnRlbnRfVHlwZXNdLnhtbFBLAQItABQABgAIAAAA&#10;IQA4/SH/1gAAAJQBAAALAAAAAAAAAAAAAAAAAC8BAABfcmVscy8ucmVsc1BLAQItABQABgAIAAAA&#10;IQAIfwHCSQIAAK0EAAAOAAAAAAAAAAAAAAAAAC4CAABkcnMvZTJvRG9jLnhtbFBLAQItABQABgAI&#10;AAAAIQCgmlLJ5AAAAA4BAAAPAAAAAAAAAAAAAAAAAKMEAABkcnMvZG93bnJldi54bWxQSwUGAAAA&#10;AAQABADzAAAAtAUAAAAA&#10;" fillcolor="white [3201]" strokecolor="#538135 [2409]" strokeweight="3pt">
                <v:textbox>
                  <w:txbxContent>
                    <w:p w14:paraId="38AD594A" w14:textId="3F2B727C" w:rsidR="000D3C14" w:rsidRPr="00D933CC" w:rsidRDefault="000D3C14" w:rsidP="000D3C14">
                      <w:pPr>
                        <w:rPr>
                          <w:rFonts w:cstheme="minorHAnsi"/>
                          <w:sz w:val="22"/>
                          <w:szCs w:val="22"/>
                        </w:rPr>
                      </w:pPr>
                      <w:r>
                        <w:rPr>
                          <w:rFonts w:cstheme="minorHAnsi"/>
                          <w:sz w:val="22"/>
                          <w:szCs w:val="22"/>
                        </w:rPr>
                        <w:t xml:space="preserve">services, and Access, Quality, and Participation for adult services, helped illustrate the types of individual benefits realized by these populations as well has how CCBHC programming may address drivers of differential access and quality of behavioral health services. </w:t>
                      </w:r>
                    </w:p>
                    <w:p w14:paraId="5F0341A4" w14:textId="77777777" w:rsidR="000D3C14" w:rsidRDefault="000D3C14" w:rsidP="00974ABB">
                      <w:pPr>
                        <w:rPr>
                          <w:rFonts w:eastAsia="Calibri" w:cstheme="minorHAnsi"/>
                          <w:sz w:val="22"/>
                          <w:szCs w:val="22"/>
                        </w:rPr>
                      </w:pPr>
                    </w:p>
                    <w:p w14:paraId="42AE274C" w14:textId="6D472FD7" w:rsidR="00974ABB" w:rsidRPr="00710A26" w:rsidRDefault="00974ABB" w:rsidP="00974ABB">
                      <w:pPr>
                        <w:rPr>
                          <w:rFonts w:eastAsia="Calibri" w:cstheme="minorHAnsi"/>
                          <w:sz w:val="22"/>
                          <w:szCs w:val="22"/>
                        </w:rPr>
                      </w:pPr>
                      <w:r>
                        <w:rPr>
                          <w:rFonts w:eastAsia="Calibri" w:cstheme="minorHAnsi"/>
                          <w:sz w:val="22"/>
                          <w:szCs w:val="22"/>
                        </w:rPr>
                        <w:t xml:space="preserve">It </w:t>
                      </w:r>
                      <w:r w:rsidRPr="00710A26">
                        <w:rPr>
                          <w:rFonts w:eastAsia="Calibri" w:cstheme="minorHAnsi"/>
                          <w:sz w:val="22"/>
                          <w:szCs w:val="22"/>
                        </w:rPr>
                        <w:t xml:space="preserve">may be premature </w:t>
                      </w:r>
                      <w:r>
                        <w:rPr>
                          <w:rFonts w:eastAsia="Calibri" w:cstheme="minorHAnsi"/>
                          <w:sz w:val="22"/>
                          <w:szCs w:val="22"/>
                        </w:rPr>
                        <w:t>to e</w:t>
                      </w:r>
                      <w:r w:rsidRPr="00710A26">
                        <w:rPr>
                          <w:rFonts w:eastAsia="Calibri" w:cstheme="minorHAnsi"/>
                          <w:sz w:val="22"/>
                          <w:szCs w:val="22"/>
                        </w:rPr>
                        <w:t>xpect</w:t>
                      </w:r>
                      <w:r>
                        <w:rPr>
                          <w:rFonts w:eastAsia="Calibri" w:cstheme="minorHAnsi"/>
                          <w:sz w:val="22"/>
                          <w:szCs w:val="22"/>
                        </w:rPr>
                        <w:t xml:space="preserve"> to see substantial </w:t>
                      </w:r>
                      <w:r w:rsidRPr="00710A26">
                        <w:rPr>
                          <w:rFonts w:eastAsia="Calibri" w:cstheme="minorHAnsi"/>
                          <w:sz w:val="22"/>
                          <w:szCs w:val="22"/>
                        </w:rPr>
                        <w:t xml:space="preserve">cost savings </w:t>
                      </w:r>
                      <w:r>
                        <w:rPr>
                          <w:rFonts w:eastAsia="Calibri" w:cstheme="minorHAnsi"/>
                          <w:sz w:val="22"/>
                          <w:szCs w:val="22"/>
                        </w:rPr>
                        <w:t>from the CCBHC model at this time</w:t>
                      </w:r>
                      <w:r w:rsidRPr="00710A26">
                        <w:rPr>
                          <w:rFonts w:eastAsia="Calibri" w:cstheme="minorHAnsi"/>
                          <w:sz w:val="22"/>
                          <w:szCs w:val="22"/>
                        </w:rPr>
                        <w:t xml:space="preserve">. </w:t>
                      </w:r>
                      <w:r>
                        <w:rPr>
                          <w:rFonts w:eastAsia="Calibri" w:cstheme="minorHAnsi"/>
                          <w:sz w:val="22"/>
                          <w:szCs w:val="22"/>
                        </w:rPr>
                        <w:t>I</w:t>
                      </w:r>
                      <w:r w:rsidRPr="00710A26">
                        <w:rPr>
                          <w:rFonts w:eastAsia="Calibri" w:cstheme="minorHAnsi"/>
                          <w:sz w:val="22"/>
                          <w:szCs w:val="22"/>
                        </w:rPr>
                        <w:t>ncreases in spending appear to be the result of CCBHCs engaging</w:t>
                      </w:r>
                      <w:r>
                        <w:rPr>
                          <w:rFonts w:eastAsia="Calibri" w:cstheme="minorHAnsi"/>
                          <w:sz w:val="22"/>
                          <w:szCs w:val="22"/>
                        </w:rPr>
                        <w:t xml:space="preserve"> with</w:t>
                      </w:r>
                      <w:r w:rsidRPr="00710A26">
                        <w:rPr>
                          <w:rFonts w:eastAsia="Calibri" w:cstheme="minorHAnsi"/>
                          <w:sz w:val="22"/>
                          <w:szCs w:val="22"/>
                        </w:rPr>
                        <w:t xml:space="preserve"> more service users</w:t>
                      </w:r>
                      <w:r>
                        <w:rPr>
                          <w:rFonts w:eastAsia="Calibri" w:cstheme="minorHAnsi"/>
                          <w:sz w:val="22"/>
                          <w:szCs w:val="22"/>
                        </w:rPr>
                        <w:t>, providing more services, and ultimately expanding their service user populations</w:t>
                      </w:r>
                      <w:r w:rsidRPr="00710A26">
                        <w:rPr>
                          <w:rFonts w:eastAsia="Calibri" w:cstheme="minorHAnsi"/>
                          <w:sz w:val="22"/>
                          <w:szCs w:val="22"/>
                        </w:rPr>
                        <w:t xml:space="preserve">. In a behavioral health system that has been </w:t>
                      </w:r>
                      <w:r>
                        <w:rPr>
                          <w:rFonts w:eastAsia="Calibri" w:cstheme="minorHAnsi"/>
                          <w:sz w:val="22"/>
                          <w:szCs w:val="22"/>
                        </w:rPr>
                        <w:t>historicall</w:t>
                      </w:r>
                      <w:r w:rsidRPr="00710A26">
                        <w:rPr>
                          <w:rFonts w:eastAsia="Calibri" w:cstheme="minorHAnsi"/>
                          <w:sz w:val="22"/>
                          <w:szCs w:val="22"/>
                        </w:rPr>
                        <w:t>y underfunded, these increases may be appropriate</w:t>
                      </w:r>
                      <w:r>
                        <w:rPr>
                          <w:rFonts w:eastAsia="Calibri" w:cstheme="minorHAnsi"/>
                          <w:sz w:val="22"/>
                          <w:szCs w:val="22"/>
                        </w:rPr>
                        <w:t>, particularly in the short term</w:t>
                      </w:r>
                      <w:r w:rsidRPr="00710A26">
                        <w:rPr>
                          <w:rFonts w:eastAsia="Calibri" w:cstheme="minorHAnsi"/>
                          <w:sz w:val="22"/>
                          <w:szCs w:val="22"/>
                        </w:rPr>
                        <w:t xml:space="preserve">. However, </w:t>
                      </w:r>
                      <w:r>
                        <w:rPr>
                          <w:rFonts w:eastAsia="Calibri" w:cstheme="minorHAnsi"/>
                          <w:sz w:val="22"/>
                          <w:szCs w:val="22"/>
                        </w:rPr>
                        <w:t>CCBHCs must engage potential community partners and their service users in providing feedback and advising the CCBHCs on how to ensure the</w:t>
                      </w:r>
                      <w:r w:rsidRPr="00710A26">
                        <w:rPr>
                          <w:rFonts w:eastAsia="Calibri" w:cstheme="minorHAnsi"/>
                          <w:sz w:val="22"/>
                          <w:szCs w:val="22"/>
                        </w:rPr>
                        <w:t xml:space="preserve"> appropriate allocation of resources to address service gaps and engage historically</w:t>
                      </w:r>
                      <w:r>
                        <w:rPr>
                          <w:rFonts w:eastAsia="Calibri" w:cstheme="minorHAnsi"/>
                          <w:sz w:val="22"/>
                          <w:szCs w:val="22"/>
                        </w:rPr>
                        <w:t xml:space="preserve"> and currently</w:t>
                      </w:r>
                      <w:r w:rsidRPr="00710A26">
                        <w:rPr>
                          <w:rFonts w:eastAsia="Calibri" w:cstheme="minorHAnsi"/>
                          <w:sz w:val="22"/>
                          <w:szCs w:val="22"/>
                        </w:rPr>
                        <w:t xml:space="preserve"> underserved populations. </w:t>
                      </w:r>
                    </w:p>
                    <w:p w14:paraId="2E265AD0" w14:textId="77777777" w:rsidR="00974ABB" w:rsidRDefault="00974ABB" w:rsidP="00974ABB">
                      <w:pPr>
                        <w:rPr>
                          <w:rFonts w:eastAsia="Calibri" w:cstheme="minorHAnsi"/>
                          <w:sz w:val="22"/>
                          <w:szCs w:val="22"/>
                        </w:rPr>
                      </w:pPr>
                    </w:p>
                    <w:p w14:paraId="1076ACFD" w14:textId="77777777" w:rsidR="00974ABB" w:rsidRDefault="00974ABB" w:rsidP="00974ABB">
                      <w:pPr>
                        <w:rPr>
                          <w:rFonts w:eastAsia="Calibri" w:cstheme="minorHAnsi"/>
                          <w:sz w:val="22"/>
                          <w:szCs w:val="22"/>
                        </w:rPr>
                      </w:pPr>
                      <w:r>
                        <w:rPr>
                          <w:rFonts w:eastAsia="Calibri" w:cstheme="minorHAnsi"/>
                          <w:sz w:val="22"/>
                          <w:szCs w:val="22"/>
                        </w:rPr>
                        <w:t>A</w:t>
                      </w:r>
                      <w:r w:rsidRPr="008A2AC7">
                        <w:rPr>
                          <w:rFonts w:eastAsia="Calibri" w:cstheme="minorHAnsi"/>
                          <w:sz w:val="22"/>
                          <w:szCs w:val="22"/>
                        </w:rPr>
                        <w:t xml:space="preserve">ssessing cost must account for value for investment; the CCBHC model has facilitated cross-sector collaboration and greater engagement with community-based organizations (CBO), </w:t>
                      </w:r>
                      <w:r>
                        <w:rPr>
                          <w:rFonts w:eastAsia="Calibri" w:cstheme="minorHAnsi"/>
                          <w:sz w:val="22"/>
                          <w:szCs w:val="22"/>
                        </w:rPr>
                        <w:t xml:space="preserve">both of </w:t>
                      </w:r>
                      <w:r w:rsidRPr="008A2AC7">
                        <w:rPr>
                          <w:rFonts w:eastAsia="Calibri" w:cstheme="minorHAnsi"/>
                          <w:sz w:val="22"/>
                          <w:szCs w:val="22"/>
                        </w:rPr>
                        <w:t>which support overall community health.</w:t>
                      </w:r>
                      <w:r>
                        <w:rPr>
                          <w:rFonts w:eastAsia="Calibri" w:cstheme="minorHAnsi"/>
                          <w:sz w:val="22"/>
                          <w:szCs w:val="22"/>
                        </w:rPr>
                        <w:t xml:space="preserve"> Communities where CCBHCs operate indicate that behavioral health is a community priority. H</w:t>
                      </w:r>
                      <w:r w:rsidRPr="00710A26">
                        <w:rPr>
                          <w:rFonts w:eastAsia="Calibri" w:cstheme="minorHAnsi"/>
                          <w:sz w:val="22"/>
                          <w:szCs w:val="22"/>
                        </w:rPr>
                        <w:t xml:space="preserve">owever, </w:t>
                      </w:r>
                      <w:r>
                        <w:rPr>
                          <w:rFonts w:eastAsia="Calibri" w:cstheme="minorHAnsi"/>
                          <w:sz w:val="22"/>
                          <w:szCs w:val="22"/>
                        </w:rPr>
                        <w:t>the c</w:t>
                      </w:r>
                      <w:r w:rsidRPr="00710A26">
                        <w:rPr>
                          <w:rFonts w:eastAsia="Calibri" w:cstheme="minorHAnsi"/>
                          <w:sz w:val="22"/>
                          <w:szCs w:val="22"/>
                        </w:rPr>
                        <w:t>ommunity health reports</w:t>
                      </w:r>
                      <w:r>
                        <w:rPr>
                          <w:rFonts w:eastAsia="Calibri" w:cstheme="minorHAnsi"/>
                          <w:sz w:val="22"/>
                          <w:szCs w:val="22"/>
                        </w:rPr>
                        <w:t xml:space="preserve"> reviewed (see </w:t>
                      </w:r>
                      <w:hyperlink w:anchor="_Appendix_1:_Summary" w:history="1">
                        <w:r w:rsidRPr="00E9071F">
                          <w:rPr>
                            <w:rStyle w:val="Hyperlink"/>
                            <w:rFonts w:eastAsia="Calibri" w:cstheme="minorHAnsi"/>
                            <w:sz w:val="22"/>
                            <w:szCs w:val="22"/>
                          </w:rPr>
                          <w:t>Appendix 1</w:t>
                        </w:r>
                      </w:hyperlink>
                      <w:r>
                        <w:rPr>
                          <w:rFonts w:eastAsia="Calibri" w:cstheme="minorHAnsi"/>
                          <w:sz w:val="22"/>
                          <w:szCs w:val="22"/>
                        </w:rPr>
                        <w:t xml:space="preserve">) </w:t>
                      </w:r>
                      <w:r w:rsidRPr="00710A26">
                        <w:rPr>
                          <w:rFonts w:eastAsia="Calibri" w:cstheme="minorHAnsi"/>
                          <w:sz w:val="22"/>
                          <w:szCs w:val="22"/>
                        </w:rPr>
                        <w:t>rarely mention</w:t>
                      </w:r>
                      <w:r>
                        <w:rPr>
                          <w:rFonts w:eastAsia="Calibri" w:cstheme="minorHAnsi"/>
                          <w:sz w:val="22"/>
                          <w:szCs w:val="22"/>
                        </w:rPr>
                        <w:t>ed</w:t>
                      </w:r>
                      <w:r w:rsidRPr="00710A26">
                        <w:rPr>
                          <w:rFonts w:eastAsia="Calibri" w:cstheme="minorHAnsi"/>
                          <w:sz w:val="22"/>
                          <w:szCs w:val="22"/>
                        </w:rPr>
                        <w:t xml:space="preserve"> the role that CCBHCs </w:t>
                      </w:r>
                      <w:r>
                        <w:rPr>
                          <w:rFonts w:eastAsia="Calibri" w:cstheme="minorHAnsi"/>
                          <w:sz w:val="22"/>
                          <w:szCs w:val="22"/>
                        </w:rPr>
                        <w:t xml:space="preserve">already or </w:t>
                      </w:r>
                      <w:r w:rsidRPr="00710A26">
                        <w:rPr>
                          <w:rFonts w:eastAsia="Calibri" w:cstheme="minorHAnsi"/>
                          <w:sz w:val="22"/>
                          <w:szCs w:val="22"/>
                        </w:rPr>
                        <w:t>could</w:t>
                      </w:r>
                      <w:r>
                        <w:rPr>
                          <w:rFonts w:eastAsia="Calibri" w:cstheme="minorHAnsi"/>
                          <w:sz w:val="22"/>
                          <w:szCs w:val="22"/>
                        </w:rPr>
                        <w:t xml:space="preserve"> potentially</w:t>
                      </w:r>
                      <w:r w:rsidRPr="00710A26">
                        <w:rPr>
                          <w:rFonts w:eastAsia="Calibri" w:cstheme="minorHAnsi"/>
                          <w:sz w:val="22"/>
                          <w:szCs w:val="22"/>
                        </w:rPr>
                        <w:t xml:space="preserve"> play in meeting community health needs. </w:t>
                      </w:r>
                      <w:r>
                        <w:rPr>
                          <w:rFonts w:eastAsia="Calibri" w:cstheme="minorHAnsi"/>
                          <w:sz w:val="22"/>
                          <w:szCs w:val="22"/>
                        </w:rPr>
                        <w:t xml:space="preserve">While service users reported positive perceptions of CCBHCs, they also provided insights into barriers to care that affect community health. </w:t>
                      </w:r>
                    </w:p>
                    <w:p w14:paraId="2C71C680" w14:textId="610F18F1" w:rsidR="00974ABB" w:rsidRDefault="00974ABB"/>
                    <w:p w14:paraId="04158A80" w14:textId="77777777" w:rsidR="00974ABB" w:rsidRPr="00E62713" w:rsidRDefault="00974ABB" w:rsidP="00974ABB">
                      <w:pPr>
                        <w:rPr>
                          <w:rFonts w:eastAsia="Calibri" w:cstheme="minorHAnsi"/>
                          <w:sz w:val="22"/>
                          <w:szCs w:val="22"/>
                        </w:rPr>
                      </w:pPr>
                      <w:r>
                        <w:rPr>
                          <w:rFonts w:eastAsia="Calibri" w:cstheme="minorHAnsi"/>
                          <w:sz w:val="22"/>
                          <w:szCs w:val="22"/>
                        </w:rPr>
                        <w:t>OHA could support CCBHCs by building collective knowledge of strategies to increase a</w:t>
                      </w:r>
                      <w:r w:rsidRPr="00710A26">
                        <w:rPr>
                          <w:rFonts w:eastAsia="Calibri" w:cstheme="minorHAnsi"/>
                          <w:sz w:val="22"/>
                          <w:szCs w:val="22"/>
                        </w:rPr>
                        <w:t xml:space="preserve">wareness of </w:t>
                      </w:r>
                      <w:r>
                        <w:rPr>
                          <w:rFonts w:eastAsia="Calibri" w:cstheme="minorHAnsi"/>
                          <w:sz w:val="22"/>
                          <w:szCs w:val="22"/>
                        </w:rPr>
                        <w:t>their CCBHC status within their communities</w:t>
                      </w:r>
                      <w:r w:rsidRPr="00710A26">
                        <w:rPr>
                          <w:rFonts w:eastAsia="Calibri" w:cstheme="minorHAnsi"/>
                          <w:sz w:val="22"/>
                          <w:szCs w:val="22"/>
                        </w:rPr>
                        <w:t xml:space="preserve">, including the services </w:t>
                      </w:r>
                      <w:r>
                        <w:rPr>
                          <w:rFonts w:eastAsia="Calibri" w:cstheme="minorHAnsi"/>
                          <w:sz w:val="22"/>
                          <w:szCs w:val="22"/>
                        </w:rPr>
                        <w:t xml:space="preserve">that they offer </w:t>
                      </w:r>
                      <w:r w:rsidRPr="00710A26">
                        <w:rPr>
                          <w:rFonts w:eastAsia="Calibri" w:cstheme="minorHAnsi"/>
                          <w:sz w:val="22"/>
                          <w:szCs w:val="22"/>
                        </w:rPr>
                        <w:t xml:space="preserve">and </w:t>
                      </w:r>
                      <w:r>
                        <w:rPr>
                          <w:rFonts w:eastAsia="Calibri" w:cstheme="minorHAnsi"/>
                          <w:sz w:val="22"/>
                          <w:szCs w:val="22"/>
                        </w:rPr>
                        <w:t>their mandate to</w:t>
                      </w:r>
                      <w:r w:rsidRPr="00710A26">
                        <w:rPr>
                          <w:rFonts w:eastAsia="Calibri" w:cstheme="minorHAnsi"/>
                          <w:sz w:val="22"/>
                          <w:szCs w:val="22"/>
                        </w:rPr>
                        <w:t xml:space="preserve"> serve anyone regardless of insurance status</w:t>
                      </w:r>
                      <w:r>
                        <w:rPr>
                          <w:rFonts w:eastAsia="Calibri" w:cstheme="minorHAnsi"/>
                          <w:sz w:val="22"/>
                          <w:szCs w:val="22"/>
                        </w:rPr>
                        <w:t xml:space="preserve"> or ability to pay. Increasing awareness of CCBHCs and how they are unique compared to other behavioral health clinics </w:t>
                      </w:r>
                      <w:r w:rsidRPr="00710A26">
                        <w:rPr>
                          <w:rFonts w:eastAsia="Calibri" w:cstheme="minorHAnsi"/>
                          <w:sz w:val="22"/>
                          <w:szCs w:val="22"/>
                        </w:rPr>
                        <w:t xml:space="preserve">could enable communities to leverage CCBHCs more effectively </w:t>
                      </w:r>
                      <w:r>
                        <w:rPr>
                          <w:rFonts w:eastAsia="Calibri" w:cstheme="minorHAnsi"/>
                          <w:sz w:val="22"/>
                          <w:szCs w:val="22"/>
                        </w:rPr>
                        <w:t>in their pursuit of</w:t>
                      </w:r>
                      <w:r w:rsidRPr="00710A26">
                        <w:rPr>
                          <w:rFonts w:eastAsia="Calibri" w:cstheme="minorHAnsi"/>
                          <w:sz w:val="22"/>
                          <w:szCs w:val="22"/>
                        </w:rPr>
                        <w:t xml:space="preserve"> improv</w:t>
                      </w:r>
                      <w:r>
                        <w:rPr>
                          <w:rFonts w:eastAsia="Calibri" w:cstheme="minorHAnsi"/>
                          <w:sz w:val="22"/>
                          <w:szCs w:val="22"/>
                        </w:rPr>
                        <w:t>ing</w:t>
                      </w:r>
                      <w:r w:rsidRPr="00710A26">
                        <w:rPr>
                          <w:rFonts w:eastAsia="Calibri" w:cstheme="minorHAnsi"/>
                          <w:sz w:val="22"/>
                          <w:szCs w:val="22"/>
                        </w:rPr>
                        <w:t xml:space="preserve"> community health outcomes. While all </w:t>
                      </w:r>
                      <w:r>
                        <w:rPr>
                          <w:rFonts w:eastAsia="Calibri" w:cstheme="minorHAnsi"/>
                          <w:sz w:val="22"/>
                          <w:szCs w:val="22"/>
                        </w:rPr>
                        <w:t>CCBHC</w:t>
                      </w:r>
                      <w:r w:rsidRPr="00710A26">
                        <w:rPr>
                          <w:rFonts w:eastAsia="Calibri" w:cstheme="minorHAnsi"/>
                          <w:sz w:val="22"/>
                          <w:szCs w:val="22"/>
                        </w:rPr>
                        <w:t xml:space="preserve"> leaders report</w:t>
                      </w:r>
                      <w:r>
                        <w:rPr>
                          <w:rFonts w:eastAsia="Calibri" w:cstheme="minorHAnsi"/>
                          <w:sz w:val="22"/>
                          <w:szCs w:val="22"/>
                        </w:rPr>
                        <w:t>ed</w:t>
                      </w:r>
                      <w:r w:rsidRPr="00710A26">
                        <w:rPr>
                          <w:rFonts w:eastAsia="Calibri" w:cstheme="minorHAnsi"/>
                          <w:sz w:val="22"/>
                          <w:szCs w:val="22"/>
                        </w:rPr>
                        <w:t xml:space="preserve"> collaborating with multiple CBOs</w:t>
                      </w:r>
                      <w:r>
                        <w:rPr>
                          <w:rFonts w:eastAsia="Calibri" w:cstheme="minorHAnsi"/>
                          <w:sz w:val="22"/>
                          <w:szCs w:val="22"/>
                        </w:rPr>
                        <w:t xml:space="preserve">, clinics </w:t>
                      </w:r>
                      <w:r w:rsidRPr="00710A26">
                        <w:rPr>
                          <w:rFonts w:eastAsia="Calibri" w:cstheme="minorHAnsi"/>
                          <w:sz w:val="22"/>
                          <w:szCs w:val="22"/>
                        </w:rPr>
                        <w:t>could benefit from additional guidance</w:t>
                      </w:r>
                      <w:r>
                        <w:rPr>
                          <w:rFonts w:eastAsia="Calibri" w:cstheme="minorHAnsi"/>
                          <w:sz w:val="22"/>
                          <w:szCs w:val="22"/>
                        </w:rPr>
                        <w:t xml:space="preserve"> from OHA on how</w:t>
                      </w:r>
                      <w:r w:rsidRPr="00710A26">
                        <w:rPr>
                          <w:rFonts w:eastAsia="Calibri" w:cstheme="minorHAnsi"/>
                          <w:sz w:val="22"/>
                          <w:szCs w:val="22"/>
                        </w:rPr>
                        <w:t xml:space="preserve"> to</w:t>
                      </w:r>
                      <w:r>
                        <w:rPr>
                          <w:rFonts w:eastAsia="Calibri" w:cstheme="minorHAnsi"/>
                          <w:sz w:val="22"/>
                          <w:szCs w:val="22"/>
                        </w:rPr>
                        <w:t xml:space="preserve"> effectively</w:t>
                      </w:r>
                      <w:r w:rsidRPr="00710A26">
                        <w:rPr>
                          <w:rFonts w:eastAsia="Calibri" w:cstheme="minorHAnsi"/>
                          <w:sz w:val="22"/>
                          <w:szCs w:val="22"/>
                        </w:rPr>
                        <w:t xml:space="preserve"> identify and develop trusting relationships </w:t>
                      </w:r>
                      <w:r w:rsidRPr="00E62713">
                        <w:rPr>
                          <w:rFonts w:eastAsia="Calibri" w:cstheme="minorHAnsi"/>
                          <w:sz w:val="22"/>
                          <w:szCs w:val="22"/>
                        </w:rPr>
                        <w:t>with community partners, particularly BIPOC, Tribal, and LGBTQ+ leaders and culturally specific CBOs; identify community health needs; and develop culturally appropriate outreach and services.</w:t>
                      </w:r>
                    </w:p>
                    <w:p w14:paraId="1B3CBC6E" w14:textId="44AD4BD6" w:rsidR="00974ABB" w:rsidRDefault="00974ABB"/>
                    <w:p w14:paraId="69E22A5F" w14:textId="77777777" w:rsidR="009953A6" w:rsidRDefault="00974ABB" w:rsidP="00974ABB">
                      <w:pPr>
                        <w:rPr>
                          <w:rFonts w:eastAsia="Calibri" w:cstheme="minorHAnsi"/>
                          <w:sz w:val="22"/>
                          <w:szCs w:val="22"/>
                        </w:rPr>
                      </w:pPr>
                      <w:r w:rsidRPr="00E62713">
                        <w:rPr>
                          <w:rFonts w:eastAsia="Calibri" w:cstheme="minorHAnsi"/>
                          <w:b/>
                          <w:color w:val="6A7F0F"/>
                          <w:sz w:val="22"/>
                          <w:szCs w:val="22"/>
                        </w:rPr>
                        <w:t>Recommendation:</w:t>
                      </w:r>
                      <w:r w:rsidRPr="00E62713">
                        <w:rPr>
                          <w:rFonts w:eastAsia="Calibri" w:cstheme="minorHAnsi"/>
                          <w:color w:val="6A7F0F"/>
                          <w:sz w:val="22"/>
                          <w:szCs w:val="22"/>
                        </w:rPr>
                        <w:t xml:space="preserve"> </w:t>
                      </w:r>
                      <w:r w:rsidRPr="00E62713">
                        <w:rPr>
                          <w:rFonts w:eastAsia="Calibri" w:cstheme="minorHAnsi"/>
                          <w:sz w:val="22"/>
                          <w:szCs w:val="22"/>
                        </w:rPr>
                        <w:t>Elevate awareness of the CCBHC program in local communities and provide practical tools for communities to leverage the work of CCBHCs to address priority community health concerns.</w:t>
                      </w:r>
                    </w:p>
                    <w:p w14:paraId="6C2616B7" w14:textId="77777777" w:rsidR="009953A6" w:rsidRDefault="009953A6" w:rsidP="00974ABB">
                      <w:pPr>
                        <w:rPr>
                          <w:rFonts w:eastAsia="Calibri" w:cstheme="minorHAnsi"/>
                          <w:sz w:val="22"/>
                          <w:szCs w:val="22"/>
                        </w:rPr>
                      </w:pPr>
                    </w:p>
                    <w:p w14:paraId="0C426A50" w14:textId="77777777" w:rsidR="009953A6" w:rsidRDefault="009953A6" w:rsidP="009953A6">
                      <w:r w:rsidRPr="00E62713">
                        <w:rPr>
                          <w:rFonts w:cstheme="minorHAnsi"/>
                          <w:color w:val="000000" w:themeColor="text1"/>
                          <w:sz w:val="22"/>
                          <w:szCs w:val="22"/>
                        </w:rPr>
                        <w:t>CCBHCs</w:t>
                      </w:r>
                      <w:r w:rsidRPr="0083517D">
                        <w:rPr>
                          <w:rFonts w:cstheme="minorHAnsi"/>
                          <w:color w:val="000000" w:themeColor="text1"/>
                          <w:sz w:val="22"/>
                          <w:szCs w:val="22"/>
                        </w:rPr>
                        <w:t xml:space="preserve"> need support from OHA to translate statewide CCBHC program aspirations and goals into the realities of their local communities, develop expertise in what centering equity means within</w:t>
                      </w:r>
                    </w:p>
                    <w:p w14:paraId="6AF52E0A" w14:textId="5653FBDF" w:rsidR="009953A6" w:rsidRDefault="009953A6" w:rsidP="009953A6">
                      <w:pPr>
                        <w:rPr>
                          <w:rFonts w:cstheme="minorHAnsi"/>
                          <w:color w:val="000000" w:themeColor="text1"/>
                          <w:sz w:val="22"/>
                          <w:szCs w:val="22"/>
                        </w:rPr>
                      </w:pPr>
                      <w:r w:rsidRPr="0083517D">
                        <w:rPr>
                          <w:rFonts w:cstheme="minorHAnsi"/>
                          <w:color w:val="000000" w:themeColor="text1"/>
                          <w:sz w:val="22"/>
                          <w:szCs w:val="22"/>
                        </w:rPr>
                        <w:t>their unique community and receive guidance on how to select appropriate community health outcomes to monitor CCBHC impact in their local communities.</w:t>
                      </w:r>
                    </w:p>
                    <w:p w14:paraId="5AF43190" w14:textId="77777777" w:rsidR="009953A6" w:rsidRDefault="009953A6" w:rsidP="009953A6">
                      <w:pPr>
                        <w:rPr>
                          <w:rFonts w:eastAsia="Calibri" w:cstheme="minorHAnsi"/>
                          <w:sz w:val="22"/>
                          <w:szCs w:val="22"/>
                        </w:rPr>
                      </w:pPr>
                    </w:p>
                    <w:p w14:paraId="651E4BEF" w14:textId="77777777" w:rsidR="009953A6" w:rsidRPr="00E62713" w:rsidRDefault="009953A6" w:rsidP="009953A6">
                      <w:pPr>
                        <w:rPr>
                          <w:rFonts w:cstheme="minorHAnsi"/>
                          <w:color w:val="000000" w:themeColor="text1"/>
                          <w:sz w:val="22"/>
                          <w:szCs w:val="22"/>
                        </w:rPr>
                      </w:pPr>
                      <w:r w:rsidRPr="00E62713">
                        <w:rPr>
                          <w:rFonts w:cstheme="minorHAnsi"/>
                          <w:b/>
                          <w:bCs/>
                          <w:color w:val="6A7F0F"/>
                          <w:sz w:val="22"/>
                          <w:szCs w:val="22"/>
                        </w:rPr>
                        <w:t>Recommendation:</w:t>
                      </w:r>
                      <w:r w:rsidRPr="00E62713">
                        <w:rPr>
                          <w:rFonts w:cstheme="minorHAnsi"/>
                          <w:color w:val="6A7F0F"/>
                          <w:sz w:val="22"/>
                          <w:szCs w:val="22"/>
                        </w:rPr>
                        <w:t xml:space="preserve"> </w:t>
                      </w:r>
                      <w:r w:rsidRPr="00E62713">
                        <w:rPr>
                          <w:rFonts w:cstheme="minorHAnsi"/>
                          <w:color w:val="000000" w:themeColor="text1"/>
                          <w:sz w:val="22"/>
                          <w:szCs w:val="22"/>
                        </w:rPr>
                        <w:t xml:space="preserve">Continue and expand current technical assistance efforts to support CCBHCs to achieve statewide CCBHC goals and meet local needs identified by CCBHC clinic leaders and service users. </w:t>
                      </w:r>
                    </w:p>
                    <w:p w14:paraId="74D13E4D" w14:textId="2480616B" w:rsidR="00974ABB" w:rsidRPr="00E62713" w:rsidRDefault="00974ABB" w:rsidP="00974ABB">
                      <w:pPr>
                        <w:rPr>
                          <w:rFonts w:eastAsia="Calibri" w:cstheme="minorHAnsi"/>
                          <w:sz w:val="22"/>
                          <w:szCs w:val="22"/>
                        </w:rPr>
                      </w:pPr>
                      <w:r w:rsidRPr="00E62713">
                        <w:rPr>
                          <w:rFonts w:eastAsia="Calibri" w:cstheme="minorHAnsi"/>
                          <w:sz w:val="22"/>
                          <w:szCs w:val="22"/>
                        </w:rPr>
                        <w:t xml:space="preserve"> </w:t>
                      </w:r>
                    </w:p>
                    <w:p w14:paraId="1D41A1A8" w14:textId="77777777" w:rsidR="009953A6" w:rsidRPr="00E62713" w:rsidRDefault="009953A6" w:rsidP="009953A6">
                      <w:pPr>
                        <w:rPr>
                          <w:rFonts w:cstheme="minorHAnsi"/>
                          <w:color w:val="000000" w:themeColor="text1"/>
                          <w:sz w:val="22"/>
                          <w:szCs w:val="22"/>
                        </w:rPr>
                      </w:pPr>
                      <w:r w:rsidRPr="00E62713">
                        <w:rPr>
                          <w:rFonts w:cstheme="minorHAnsi"/>
                          <w:color w:val="000000" w:themeColor="text1"/>
                          <w:sz w:val="22"/>
                          <w:szCs w:val="22"/>
                        </w:rPr>
                        <w:t>Monitoring and studying the impact of the CCBHC program merits ongoing attention so that OHA will regularly have evidence-based, comprehensive reports on the impact of the investments in behavioral health improve individual and community health outcomes.</w:t>
                      </w:r>
                    </w:p>
                    <w:p w14:paraId="79E35F61" w14:textId="77777777" w:rsidR="009953A6" w:rsidRPr="00E62713" w:rsidRDefault="009953A6" w:rsidP="009953A6">
                      <w:pPr>
                        <w:rPr>
                          <w:rFonts w:cstheme="minorHAnsi"/>
                          <w:color w:val="000000" w:themeColor="text1"/>
                          <w:sz w:val="22"/>
                          <w:szCs w:val="22"/>
                        </w:rPr>
                      </w:pPr>
                    </w:p>
                  </w:txbxContent>
                </v:textbox>
              </v:shape>
            </w:pict>
          </mc:Fallback>
        </mc:AlternateContent>
      </w:r>
      <w:r w:rsidR="007E3335">
        <w:rPr>
          <w:rFonts w:eastAsia="Calibri" w:cstheme="minorHAnsi"/>
          <w:color w:val="000000"/>
          <w:sz w:val="22"/>
          <w:szCs w:val="22"/>
        </w:rPr>
        <w:br/>
      </w:r>
    </w:p>
    <w:p w14:paraId="2C43C552" w14:textId="48022DDE" w:rsidR="00974ABB" w:rsidRPr="007E3335" w:rsidRDefault="00974ABB" w:rsidP="007E3335">
      <w:pPr>
        <w:rPr>
          <w:rFonts w:eastAsia="Calibri" w:cstheme="minorHAnsi"/>
          <w:color w:val="000000"/>
          <w:sz w:val="22"/>
          <w:szCs w:val="22"/>
        </w:rPr>
      </w:pPr>
    </w:p>
    <w:p w14:paraId="52FB4940" w14:textId="512314BE" w:rsidR="00974ABB" w:rsidRDefault="00974ABB">
      <w:pPr>
        <w:rPr>
          <w:rFonts w:eastAsiaTheme="majorEastAsia" w:cstheme="minorHAnsi"/>
          <w:b/>
          <w:bCs/>
          <w:color w:val="6A7F0F"/>
          <w:sz w:val="22"/>
          <w:szCs w:val="22"/>
        </w:rPr>
      </w:pPr>
      <w:r>
        <w:rPr>
          <w:rFonts w:cstheme="minorHAnsi"/>
          <w:b/>
          <w:bCs/>
          <w:color w:val="6A7F0F"/>
          <w:sz w:val="22"/>
          <w:szCs w:val="22"/>
        </w:rPr>
        <w:br w:type="page"/>
      </w:r>
    </w:p>
    <w:bookmarkStart w:id="41" w:name="_Toc126068183"/>
    <w:p w14:paraId="3E5D505A" w14:textId="18F989BA" w:rsidR="00997F53" w:rsidRDefault="00997F53" w:rsidP="00CA1C6F">
      <w:pPr>
        <w:pStyle w:val="Heading2"/>
        <w:spacing w:before="120" w:after="120"/>
        <w:rPr>
          <w:rFonts w:asciiTheme="minorHAnsi" w:hAnsiTheme="minorHAnsi" w:cstheme="minorHAnsi"/>
          <w:b/>
          <w:bCs/>
          <w:color w:val="6A7F0F"/>
        </w:rPr>
      </w:pPr>
      <w:r>
        <w:rPr>
          <w:rFonts w:asciiTheme="minorHAnsi" w:hAnsiTheme="minorHAnsi" w:cstheme="minorHAnsi"/>
          <w:b/>
          <w:bCs/>
          <w:noProof/>
          <w:color w:val="6A7F0F"/>
        </w:rPr>
        <mc:AlternateContent>
          <mc:Choice Requires="wps">
            <w:drawing>
              <wp:anchor distT="0" distB="0" distL="114300" distR="114300" simplePos="0" relativeHeight="251689984" behindDoc="0" locked="0" layoutInCell="1" allowOverlap="1" wp14:anchorId="38255CD8" wp14:editId="212D62A2">
                <wp:simplePos x="0" y="0"/>
                <wp:positionH relativeFrom="column">
                  <wp:posOffset>-1700</wp:posOffset>
                </wp:positionH>
                <wp:positionV relativeFrom="paragraph">
                  <wp:posOffset>63100</wp:posOffset>
                </wp:positionV>
                <wp:extent cx="5947200" cy="671300"/>
                <wp:effectExtent l="12700" t="12700" r="22225" b="27305"/>
                <wp:wrapNone/>
                <wp:docPr id="20" name="Text Box 20"/>
                <wp:cNvGraphicFramePr/>
                <a:graphic xmlns:a="http://schemas.openxmlformats.org/drawingml/2006/main">
                  <a:graphicData uri="http://schemas.microsoft.com/office/word/2010/wordprocessingShape">
                    <wps:wsp>
                      <wps:cNvSpPr txBox="1"/>
                      <wps:spPr>
                        <a:xfrm>
                          <a:off x="0" y="0"/>
                          <a:ext cx="5947200" cy="671300"/>
                        </a:xfrm>
                        <a:prstGeom prst="rect">
                          <a:avLst/>
                        </a:prstGeom>
                        <a:solidFill>
                          <a:schemeClr val="lt1"/>
                        </a:solidFill>
                        <a:ln w="38100">
                          <a:solidFill>
                            <a:schemeClr val="accent6">
                              <a:lumMod val="75000"/>
                            </a:schemeClr>
                          </a:solidFill>
                        </a:ln>
                      </wps:spPr>
                      <wps:txbx>
                        <w:txbxContent>
                          <w:p w14:paraId="44A50564" w14:textId="77777777" w:rsidR="00997F53" w:rsidRDefault="00997F53" w:rsidP="00997F53">
                            <w:r w:rsidRPr="00E62713">
                              <w:rPr>
                                <w:rFonts w:eastAsia="Calibri" w:cstheme="minorHAnsi"/>
                                <w:b/>
                                <w:bCs/>
                                <w:color w:val="6A7F0F"/>
                                <w:sz w:val="22"/>
                                <w:szCs w:val="22"/>
                              </w:rPr>
                              <w:t>Recommendation:</w:t>
                            </w:r>
                            <w:r w:rsidRPr="00E62713">
                              <w:rPr>
                                <w:rFonts w:eastAsia="Calibri" w:cstheme="minorHAnsi"/>
                                <w:color w:val="6A7F0F"/>
                                <w:sz w:val="22"/>
                                <w:szCs w:val="22"/>
                              </w:rPr>
                              <w:t xml:space="preserve"> </w:t>
                            </w:r>
                            <w:r w:rsidRPr="00E62713">
                              <w:rPr>
                                <w:rFonts w:cstheme="minorHAnsi"/>
                                <w:color w:val="000000" w:themeColor="text1"/>
                                <w:sz w:val="22"/>
                                <w:szCs w:val="22"/>
                              </w:rPr>
                              <w:t>Commission ongoing research to understand how investments in the CCBHCs and behavioral health more broadly can have an impact on improving health outcomes and</w:t>
                            </w:r>
                            <w:r>
                              <w:rPr>
                                <w:rFonts w:cstheme="minorHAnsi"/>
                                <w:color w:val="000000" w:themeColor="text1"/>
                                <w:sz w:val="22"/>
                                <w:szCs w:val="22"/>
                              </w:rPr>
                              <w:t xml:space="preserve"> community health.</w:t>
                            </w:r>
                          </w:p>
                          <w:p w14:paraId="7BB6034B" w14:textId="77777777" w:rsidR="00997F53" w:rsidRDefault="00997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55CD8" id="Text Box 20" o:spid="_x0000_s1034" type="#_x0000_t202" style="position:absolute;margin-left:-.15pt;margin-top:4.95pt;width:468.3pt;height:52.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3OSQIAAKwEAAAOAAAAZHJzL2Uyb0RvYy54bWysVNtu2zAMfR+wfxD0vjhuc6sRp8hSZBiQ&#10;tQXSoc+KLMcCZFGTlNjZ14+Sc2s3YMCwF4US6UPy8DDT+7ZWZC+sk6Bzmvb6lAjNoZB6m9PvL8tP&#10;E0qcZ7pgCrTI6UE4ej/7+GHamEzcQAWqEJYgiHZZY3JaeW+yJHG8EjVzPTBCo7MEWzOPV7tNCssa&#10;RK9VctPvj5IGbGEscOEcvj50TjqL+GUpuH8qSyc8UTnF2nw8bTw34UxmU5ZtLTOV5Mcy2D9UUTOp&#10;MekZ6oF5RnZW/gZVS27BQel7HOoEylJyEXvAbtL+u27WFTMi9oLkOHOmyf0/WP64X5tnS3z7GVoc&#10;YCCkMS5z+Bj6aUtbh1+slKAfKTycaROtJxwfh3eDMc6CEo6+0Ti9RRthksvXxjr/RUBNgpFTi2OJ&#10;bLH9yvku9BQSkjlQslhKpeIlSEEslCV7hkNUPtaI4G+ilCZNTm8nKeb+GwTjXGg/inFqV3+DooMe&#10;D/vnyqMAQ9bYx1UqTKw0Pl5ICpZvNy2RRU4nJwI3UByQVwud5JzhS4nNr5jzz8yixpAv3Bv/hEep&#10;AIuHo0VJBfbnn95DPI4evZQ0qNmcuh87ZgUl6qtGUdylg0EQebwMhjgUSuy1Z3Pt0bt6Achoihtq&#10;eDRDvFcns7RQv+J6zUNWdDHNMXdO/clc+G6TcD25mM9jEMraML/Sa8MDdJhFGO1L+8qsOc7fo3Ie&#10;4aRulr2TQRcbvtQw33koZdRI4Llj9Ug/rkScznF9w85d32PU5U9m9gsAAP//AwBQSwMEFAAGAAgA&#10;AAAhAPDwVGjfAAAADAEAAA8AAABkcnMvZG93bnJldi54bWxMT8tOwzAQvCPxD9YicWudUjU0aZwK&#10;EXoFtSDRox1vk0BsR7Gbx9+znOCy0mgeO5PtJ9OyAXvfOCtgtYyAoS2dbmwl4OP9sNgC80FaLVtn&#10;UcCMHvb57U0mU+1Ge8ThFCpGIdanUkAdQpdy7ssajfRL16El7uJ6IwPBvuK6lyOFm5Y/RFHMjWws&#10;fahlh881lt+nq6GU17fia/h8mTfj+Vgo1arDvH0U4v5uKnZ0nnbAAk7hzwG/G6g/5FRMuavVnrUC&#10;FmsSCkgSYMQm65iwItlqEwPPM/5/RP4DAAD//wMAUEsBAi0AFAAGAAgAAAAhALaDOJL+AAAA4QEA&#10;ABMAAAAAAAAAAAAAAAAAAAAAAFtDb250ZW50X1R5cGVzXS54bWxQSwECLQAUAAYACAAAACEAOP0h&#10;/9YAAACUAQAACwAAAAAAAAAAAAAAAAAvAQAAX3JlbHMvLnJlbHNQSwECLQAUAAYACAAAACEA7PG9&#10;zkkCAACsBAAADgAAAAAAAAAAAAAAAAAuAgAAZHJzL2Uyb0RvYy54bWxQSwECLQAUAAYACAAAACEA&#10;8PBUaN8AAAAMAQAADwAAAAAAAAAAAAAAAACjBAAAZHJzL2Rvd25yZXYueG1sUEsFBgAAAAAEAAQA&#10;8wAAAK8FAAAAAA==&#10;" fillcolor="white [3201]" strokecolor="#538135 [2409]" strokeweight="3pt">
                <v:textbox>
                  <w:txbxContent>
                    <w:p w14:paraId="44A50564" w14:textId="77777777" w:rsidR="00997F53" w:rsidRDefault="00997F53" w:rsidP="00997F53">
                      <w:r w:rsidRPr="00E62713">
                        <w:rPr>
                          <w:rFonts w:eastAsia="Calibri" w:cstheme="minorHAnsi"/>
                          <w:b/>
                          <w:bCs/>
                          <w:color w:val="6A7F0F"/>
                          <w:sz w:val="22"/>
                          <w:szCs w:val="22"/>
                        </w:rPr>
                        <w:t>Recommendation:</w:t>
                      </w:r>
                      <w:r w:rsidRPr="00E62713">
                        <w:rPr>
                          <w:rFonts w:eastAsia="Calibri" w:cstheme="minorHAnsi"/>
                          <w:color w:val="6A7F0F"/>
                          <w:sz w:val="22"/>
                          <w:szCs w:val="22"/>
                        </w:rPr>
                        <w:t xml:space="preserve"> </w:t>
                      </w:r>
                      <w:r w:rsidRPr="00E62713">
                        <w:rPr>
                          <w:rFonts w:cstheme="minorHAnsi"/>
                          <w:color w:val="000000" w:themeColor="text1"/>
                          <w:sz w:val="22"/>
                          <w:szCs w:val="22"/>
                        </w:rPr>
                        <w:t>Commission ongoing research to understand how investments in the CCBHCs and behavioral health more broadly can have an impact on improving health outcomes and</w:t>
                      </w:r>
                      <w:r>
                        <w:rPr>
                          <w:rFonts w:cstheme="minorHAnsi"/>
                          <w:color w:val="000000" w:themeColor="text1"/>
                          <w:sz w:val="22"/>
                          <w:szCs w:val="22"/>
                        </w:rPr>
                        <w:t xml:space="preserve"> community health.</w:t>
                      </w:r>
                    </w:p>
                    <w:p w14:paraId="7BB6034B" w14:textId="77777777" w:rsidR="00997F53" w:rsidRDefault="00997F53"/>
                  </w:txbxContent>
                </v:textbox>
              </v:shape>
            </w:pict>
          </mc:Fallback>
        </mc:AlternateContent>
      </w:r>
      <w:bookmarkEnd w:id="41"/>
    </w:p>
    <w:p w14:paraId="675D2C5B" w14:textId="77777777" w:rsidR="00997F53" w:rsidRDefault="00997F53" w:rsidP="00CA1C6F">
      <w:pPr>
        <w:pStyle w:val="Heading2"/>
        <w:spacing w:before="120" w:after="120"/>
        <w:rPr>
          <w:rFonts w:asciiTheme="minorHAnsi" w:hAnsiTheme="minorHAnsi" w:cstheme="minorHAnsi"/>
          <w:b/>
          <w:bCs/>
          <w:color w:val="6A7F0F"/>
        </w:rPr>
      </w:pPr>
    </w:p>
    <w:p w14:paraId="28415C93" w14:textId="77777777" w:rsidR="00997F53" w:rsidRDefault="00997F53" w:rsidP="00CA1C6F">
      <w:pPr>
        <w:pStyle w:val="Heading2"/>
        <w:spacing w:before="120" w:after="120"/>
        <w:rPr>
          <w:rFonts w:asciiTheme="minorHAnsi" w:hAnsiTheme="minorHAnsi" w:cstheme="minorHAnsi"/>
          <w:b/>
          <w:bCs/>
          <w:color w:val="6A7F0F"/>
        </w:rPr>
      </w:pPr>
    </w:p>
    <w:p w14:paraId="0FC792B7" w14:textId="77777777" w:rsidR="00997F53" w:rsidRPr="00997F53" w:rsidRDefault="00997F53" w:rsidP="00CA1C6F">
      <w:pPr>
        <w:pStyle w:val="Heading2"/>
        <w:spacing w:before="120" w:after="120"/>
        <w:rPr>
          <w:rFonts w:asciiTheme="minorHAnsi" w:hAnsiTheme="minorHAnsi" w:cstheme="minorHAnsi"/>
          <w:b/>
          <w:bCs/>
          <w:color w:val="6A7F0F"/>
          <w:sz w:val="22"/>
          <w:szCs w:val="22"/>
        </w:rPr>
      </w:pPr>
    </w:p>
    <w:p w14:paraId="1E1D2A4E" w14:textId="59B1A9AF" w:rsidR="00517657" w:rsidRPr="004247FE" w:rsidRDefault="00BE2198" w:rsidP="00CA1C6F">
      <w:pPr>
        <w:pStyle w:val="Heading2"/>
        <w:spacing w:before="120" w:after="120"/>
        <w:rPr>
          <w:rFonts w:asciiTheme="minorHAnsi" w:hAnsiTheme="minorHAnsi" w:cstheme="minorHAnsi"/>
          <w:b/>
          <w:bCs/>
          <w:color w:val="6A7F0F"/>
        </w:rPr>
      </w:pPr>
      <w:bookmarkStart w:id="42" w:name="_Toc126068184"/>
      <w:r w:rsidRPr="004247FE">
        <w:rPr>
          <w:rFonts w:asciiTheme="minorHAnsi" w:hAnsiTheme="minorHAnsi" w:cstheme="minorHAnsi"/>
          <w:b/>
          <w:bCs/>
          <w:color w:val="6A7F0F"/>
        </w:rPr>
        <w:t>Reduce the Cost of Care for Coordinated Care Organization Members</w:t>
      </w:r>
      <w:bookmarkEnd w:id="42"/>
    </w:p>
    <w:p w14:paraId="6460B599" w14:textId="2B092532" w:rsidR="00FF1C55" w:rsidRDefault="00FF1C55" w:rsidP="00FF1C55">
      <w:pPr>
        <w:rPr>
          <w:rFonts w:ascii="Calibri" w:eastAsia="Calibri" w:hAnsi="Calibri" w:cs="Calibri"/>
          <w:sz w:val="22"/>
          <w:szCs w:val="22"/>
        </w:rPr>
      </w:pPr>
      <w:r>
        <w:rPr>
          <w:rFonts w:ascii="Calibri" w:eastAsia="Calibri" w:hAnsi="Calibri" w:cs="Calibri"/>
          <w:sz w:val="22"/>
          <w:szCs w:val="22"/>
        </w:rPr>
        <w:t>While the OHP claims data for this study help assess the relative level of resource change over time attributable to CCBHC activity, the data do not allow for any clear differentiation of CCO versus fee-for-service (FFS) (open card) OHP member costs or exact identification of CCO-related expenditures. The assessment of relative (percentage) resource level change that can be estimated is likely a reasonable estimate of the claims-based expenditure impact per person on all payors. The total impact combines the per person claims-based effect, the change in total persons served, and the additional wraparound PPS-based payments</w:t>
      </w:r>
      <w:r w:rsidRPr="00EC5647">
        <w:rPr>
          <w:rFonts w:ascii="Calibri" w:eastAsia="Calibri" w:hAnsi="Calibri" w:cs="Calibri"/>
          <w:sz w:val="22"/>
          <w:szCs w:val="22"/>
        </w:rPr>
        <w:t xml:space="preserve">. </w:t>
      </w:r>
      <w:r w:rsidRPr="00324B1C">
        <w:rPr>
          <w:rFonts w:ascii="Calibri" w:eastAsia="Calibri" w:hAnsi="Calibri" w:cs="Calibri"/>
          <w:color w:val="6A7F0F"/>
          <w:sz w:val="22"/>
          <w:szCs w:val="22"/>
        </w:rPr>
        <w:t>Figure 9</w:t>
      </w:r>
      <w:r w:rsidRPr="00261B2D">
        <w:rPr>
          <w:rFonts w:ascii="Calibri" w:eastAsia="Calibri" w:hAnsi="Calibri" w:cs="Calibri"/>
          <w:color w:val="6A7F0F"/>
          <w:sz w:val="22"/>
          <w:szCs w:val="22"/>
        </w:rPr>
        <w:t xml:space="preserve"> </w:t>
      </w:r>
      <w:r>
        <w:rPr>
          <w:rFonts w:ascii="Calibri" w:eastAsia="Calibri" w:hAnsi="Calibri" w:cs="Calibri"/>
          <w:sz w:val="22"/>
          <w:szCs w:val="22"/>
        </w:rPr>
        <w:t xml:space="preserve">provides an overview of relative per person expenditure level change for OHP members attributed to CCBHCs in total and by treatment service </w:t>
      </w:r>
      <w:r w:rsidRPr="002977AD">
        <w:rPr>
          <w:rFonts w:ascii="Calibri" w:eastAsia="Calibri" w:hAnsi="Calibri" w:cs="Calibri"/>
          <w:sz w:val="22"/>
          <w:szCs w:val="22"/>
        </w:rPr>
        <w:t xml:space="preserve">category. </w:t>
      </w:r>
      <w:hyperlink w:anchor="Appendix6_Table_A67a" w:history="1">
        <w:r w:rsidRPr="00FF1C55">
          <w:rPr>
            <w:rStyle w:val="Hyperlink"/>
            <w:rFonts w:ascii="Calibri" w:eastAsia="Calibri" w:hAnsi="Calibri" w:cs="Calibri"/>
            <w:sz w:val="22"/>
            <w:szCs w:val="22"/>
          </w:rPr>
          <w:t>Tables A</w:t>
        </w:r>
        <w:r w:rsidR="0067134D">
          <w:rPr>
            <w:rStyle w:val="Hyperlink"/>
            <w:rFonts w:ascii="Calibri" w:eastAsia="Calibri" w:hAnsi="Calibri" w:cs="Calibri"/>
            <w:sz w:val="22"/>
            <w:szCs w:val="22"/>
          </w:rPr>
          <w:t>7</w:t>
        </w:r>
        <w:r w:rsidRPr="00FF1C55">
          <w:rPr>
            <w:rStyle w:val="Hyperlink"/>
            <w:rFonts w:ascii="Calibri" w:eastAsia="Calibri" w:hAnsi="Calibri" w:cs="Calibri"/>
            <w:sz w:val="22"/>
            <w:szCs w:val="22"/>
          </w:rPr>
          <w:t>.7a-h</w:t>
        </w:r>
      </w:hyperlink>
      <w:r w:rsidRPr="002977AD">
        <w:rPr>
          <w:rFonts w:ascii="Calibri" w:eastAsia="Calibri" w:hAnsi="Calibri" w:cs="Calibri"/>
          <w:sz w:val="22"/>
          <w:szCs w:val="22"/>
        </w:rPr>
        <w:t xml:space="preserve"> in </w:t>
      </w:r>
      <w:hyperlink w:anchor="_Appendix_7:_Additional" w:history="1">
        <w:r w:rsidRPr="00FF1C55">
          <w:rPr>
            <w:rStyle w:val="Hyperlink"/>
            <w:rFonts w:ascii="Calibri" w:eastAsia="Calibri" w:hAnsi="Calibri" w:cs="Calibri"/>
            <w:sz w:val="22"/>
            <w:szCs w:val="22"/>
          </w:rPr>
          <w:t>Appendix 7</w:t>
        </w:r>
      </w:hyperlink>
      <w:r w:rsidRPr="002977AD">
        <w:rPr>
          <w:rFonts w:ascii="Calibri" w:eastAsia="Calibri" w:hAnsi="Calibri" w:cs="Calibri"/>
          <w:sz w:val="22"/>
          <w:szCs w:val="22"/>
        </w:rPr>
        <w:t xml:space="preserve"> provide estimates of per person expenditure change in total and</w:t>
      </w:r>
      <w:r>
        <w:rPr>
          <w:rFonts w:ascii="Calibri" w:eastAsia="Calibri" w:hAnsi="Calibri" w:cs="Calibri"/>
          <w:sz w:val="22"/>
          <w:szCs w:val="22"/>
        </w:rPr>
        <w:t xml:space="preserve"> by race/ethnicity and residence for physical health, mental health and substance use-related services separately.   </w:t>
      </w:r>
    </w:p>
    <w:p w14:paraId="0E977985" w14:textId="5F9A8473" w:rsidR="00E30421" w:rsidRDefault="00E30421" w:rsidP="00FF1C55">
      <w:pPr>
        <w:rPr>
          <w:rFonts w:ascii="Calibri" w:eastAsia="Calibri" w:hAnsi="Calibri" w:cs="Calibri"/>
          <w:sz w:val="22"/>
          <w:szCs w:val="22"/>
        </w:rPr>
      </w:pPr>
    </w:p>
    <w:p w14:paraId="221B10C3" w14:textId="02048508" w:rsidR="00E839A9" w:rsidRPr="004247FE" w:rsidRDefault="00E839A9" w:rsidP="00E839A9">
      <w:pPr>
        <w:pStyle w:val="Caption"/>
        <w:keepNext/>
        <w:jc w:val="center"/>
        <w:rPr>
          <w:b/>
          <w:bCs/>
          <w:i w:val="0"/>
          <w:iCs w:val="0"/>
          <w:color w:val="6A7F0F"/>
          <w:sz w:val="22"/>
          <w:szCs w:val="22"/>
        </w:rPr>
      </w:pPr>
      <w:bookmarkStart w:id="43" w:name="_Toc125504954"/>
      <w:r w:rsidRPr="004247FE">
        <w:rPr>
          <w:b/>
          <w:bCs/>
          <w:i w:val="0"/>
          <w:iCs w:val="0"/>
          <w:color w:val="6A7F0F"/>
          <w:sz w:val="22"/>
          <w:szCs w:val="22"/>
        </w:rPr>
        <w:t xml:space="preserve">Figure </w:t>
      </w:r>
      <w:r w:rsidRPr="004247FE">
        <w:rPr>
          <w:b/>
          <w:bCs/>
          <w:i w:val="0"/>
          <w:iCs w:val="0"/>
          <w:color w:val="6A7F0F"/>
          <w:sz w:val="22"/>
          <w:szCs w:val="22"/>
        </w:rPr>
        <w:fldChar w:fldCharType="begin"/>
      </w:r>
      <w:r w:rsidRPr="004247FE">
        <w:rPr>
          <w:b/>
          <w:bCs/>
          <w:i w:val="0"/>
          <w:iCs w:val="0"/>
          <w:color w:val="6A7F0F"/>
          <w:sz w:val="22"/>
          <w:szCs w:val="22"/>
        </w:rPr>
        <w:instrText xml:space="preserve"> SEQ Figure \* ARABIC </w:instrText>
      </w:r>
      <w:r w:rsidRPr="004247FE">
        <w:rPr>
          <w:b/>
          <w:bCs/>
          <w:i w:val="0"/>
          <w:iCs w:val="0"/>
          <w:color w:val="6A7F0F"/>
          <w:sz w:val="22"/>
          <w:szCs w:val="22"/>
        </w:rPr>
        <w:fldChar w:fldCharType="separate"/>
      </w:r>
      <w:r w:rsidR="00DA018F">
        <w:rPr>
          <w:b/>
          <w:bCs/>
          <w:i w:val="0"/>
          <w:iCs w:val="0"/>
          <w:noProof/>
          <w:color w:val="6A7F0F"/>
          <w:sz w:val="22"/>
          <w:szCs w:val="22"/>
        </w:rPr>
        <w:t>9</w:t>
      </w:r>
      <w:r w:rsidRPr="004247FE">
        <w:rPr>
          <w:b/>
          <w:bCs/>
          <w:i w:val="0"/>
          <w:iCs w:val="0"/>
          <w:color w:val="6A7F0F"/>
          <w:sz w:val="22"/>
          <w:szCs w:val="22"/>
        </w:rPr>
        <w:fldChar w:fldCharType="end"/>
      </w:r>
      <w:r w:rsidRPr="004247FE">
        <w:rPr>
          <w:b/>
          <w:bCs/>
          <w:i w:val="0"/>
          <w:iCs w:val="0"/>
          <w:color w:val="6A7F0F"/>
          <w:sz w:val="22"/>
          <w:szCs w:val="22"/>
        </w:rPr>
        <w:t>: Change in Expenditure Levels per Person for CCBHC OHP Members</w:t>
      </w:r>
      <w:r w:rsidRPr="004247FE">
        <w:rPr>
          <w:b/>
          <w:bCs/>
          <w:i w:val="0"/>
          <w:iCs w:val="0"/>
          <w:color w:val="6A7F0F"/>
          <w:sz w:val="22"/>
          <w:szCs w:val="22"/>
        </w:rPr>
        <w:br/>
        <w:t>Overall and by Service Type</w:t>
      </w:r>
      <w:bookmarkEnd w:id="43"/>
    </w:p>
    <w:p w14:paraId="0D4C1732" w14:textId="77777777" w:rsidR="00E03825" w:rsidRDefault="00E03825" w:rsidP="00E03825">
      <w:pPr>
        <w:jc w:val="center"/>
        <w:rPr>
          <w:rFonts w:ascii="Calibri" w:eastAsia="Calibri" w:hAnsi="Calibri" w:cs="Calibri"/>
          <w:sz w:val="22"/>
          <w:szCs w:val="22"/>
        </w:rPr>
      </w:pPr>
      <w:r>
        <w:rPr>
          <w:noProof/>
        </w:rPr>
        <w:drawing>
          <wp:inline distT="0" distB="0" distL="0" distR="0" wp14:anchorId="3B19A9D7" wp14:editId="6295614A">
            <wp:extent cx="5516880" cy="383588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5013" cy="3848490"/>
                    </a:xfrm>
                    <a:prstGeom prst="rect">
                      <a:avLst/>
                    </a:prstGeom>
                  </pic:spPr>
                </pic:pic>
              </a:graphicData>
            </a:graphic>
          </wp:inline>
        </w:drawing>
      </w:r>
    </w:p>
    <w:p w14:paraId="3B22A105" w14:textId="77777777" w:rsidR="00E03825" w:rsidRPr="005D5939" w:rsidRDefault="00E03825" w:rsidP="00E03825">
      <w:pPr>
        <w:jc w:val="center"/>
        <w:rPr>
          <w:rFonts w:cstheme="minorHAnsi"/>
          <w:sz w:val="20"/>
          <w:szCs w:val="20"/>
        </w:rPr>
      </w:pPr>
      <w:r w:rsidRPr="005D5939">
        <w:rPr>
          <w:rFonts w:cstheme="minorHAnsi"/>
          <w:sz w:val="20"/>
          <w:szCs w:val="20"/>
        </w:rPr>
        <w:t>* = statistical significance at p&lt;.05</w:t>
      </w:r>
    </w:p>
    <w:p w14:paraId="3A881E13" w14:textId="77777777" w:rsidR="00E03825" w:rsidRDefault="00E03825" w:rsidP="00E03825">
      <w:pPr>
        <w:rPr>
          <w:rFonts w:ascii="Calibri" w:eastAsia="Calibri" w:hAnsi="Calibri" w:cs="Calibri"/>
          <w:sz w:val="22"/>
          <w:szCs w:val="22"/>
        </w:rPr>
      </w:pPr>
    </w:p>
    <w:p w14:paraId="287614AB" w14:textId="1CF3CB08" w:rsidR="002B7446" w:rsidRDefault="002B7446" w:rsidP="002B7446">
      <w:pPr>
        <w:rPr>
          <w:rFonts w:ascii="Calibri" w:eastAsia="Calibri" w:hAnsi="Calibri" w:cs="Calibri"/>
          <w:sz w:val="22"/>
          <w:szCs w:val="22"/>
        </w:rPr>
      </w:pPr>
      <w:r>
        <w:rPr>
          <w:rFonts w:ascii="Calibri" w:eastAsia="Calibri" w:hAnsi="Calibri" w:cs="Calibri"/>
          <w:sz w:val="22"/>
          <w:szCs w:val="22"/>
        </w:rPr>
        <w:t>Total per person OHP expenditures levels increased by 9.3% in the first post-implementation period and 14.9% in the second post-implementation period. The CCBHCs also receive PPS payments net of any OHP related payments for PPS-related OHP service users. These payments are estimated to represent approximately an 8% increase in addition to the total OHP claims expenditure change. It should be noted, however, that these payments may be used to fund services to uninsured service users and so cannot be clearly attributed entirely to OHP members. At the outer bounds, total expenditures per person likely increased by approximately 17% in the first period to 23% in the second. Total expenditure change, account</w:t>
      </w:r>
      <w:r w:rsidR="007803DA">
        <w:rPr>
          <w:rFonts w:ascii="Calibri" w:eastAsia="Calibri" w:hAnsi="Calibri" w:cs="Calibri"/>
          <w:sz w:val="22"/>
          <w:szCs w:val="22"/>
        </w:rPr>
        <w:t>ing for</w:t>
      </w:r>
      <w:r>
        <w:rPr>
          <w:rFonts w:ascii="Calibri" w:eastAsia="Calibri" w:hAnsi="Calibri" w:cs="Calibri"/>
          <w:sz w:val="22"/>
          <w:szCs w:val="22"/>
        </w:rPr>
        <w:t xml:space="preserve"> the increase in OHP members served (3.6% and 4.9% per period, respectively), is estimated to be in the range of 21% to 28% across the two periods. </w:t>
      </w:r>
    </w:p>
    <w:p w14:paraId="5503BC16" w14:textId="77777777" w:rsidR="002B7446" w:rsidRDefault="002B7446" w:rsidP="002B7446">
      <w:pPr>
        <w:rPr>
          <w:rFonts w:ascii="Calibri" w:eastAsia="Calibri" w:hAnsi="Calibri" w:cs="Calibri"/>
          <w:sz w:val="22"/>
          <w:szCs w:val="22"/>
        </w:rPr>
      </w:pPr>
    </w:p>
    <w:p w14:paraId="0B537B47" w14:textId="77777777" w:rsidR="002B7446" w:rsidRPr="00B058C7" w:rsidRDefault="002B7446" w:rsidP="002B7446">
      <w:pPr>
        <w:rPr>
          <w:rFonts w:cstheme="minorHAnsi"/>
          <w:color w:val="000000"/>
          <w:sz w:val="22"/>
          <w:szCs w:val="22"/>
        </w:rPr>
      </w:pPr>
      <w:r>
        <w:rPr>
          <w:rFonts w:ascii="Calibri" w:eastAsia="Calibri" w:hAnsi="Calibri" w:cs="Calibri"/>
          <w:sz w:val="22"/>
          <w:szCs w:val="22"/>
        </w:rPr>
        <w:t xml:space="preserve">These expenditure level increases are primarily due to increases in </w:t>
      </w:r>
      <w:r>
        <w:rPr>
          <w:rFonts w:eastAsia="Calibri" w:cstheme="minorHAnsi"/>
          <w:sz w:val="22"/>
          <w:szCs w:val="22"/>
        </w:rPr>
        <w:t>behavioral</w:t>
      </w:r>
      <w:r>
        <w:rPr>
          <w:rFonts w:ascii="Calibri" w:eastAsia="Calibri" w:hAnsi="Calibri" w:cs="Calibri"/>
          <w:sz w:val="22"/>
          <w:szCs w:val="22"/>
        </w:rPr>
        <w:t xml:space="preserve"> health and substance use-related outpatient services attributed to the CCBHCs; they occur despite some of the areas of expenditure reduction (such as the inpatient services reduction of 16.1% in the first period) that can also be attributed to CCBHC activity as well as contributing to the improvements in individual and community health outcomes noted in the previous section. Savings from a program such as CCBHC presume that adequate resources exist within the system but are maldistributed. Within public mental health systems this typically manifests as over-reliance on hospital-based or other residential care that could be shifted to less costly outpatient care. Oregon, however, has a well-known history of under-resourced </w:t>
      </w:r>
      <w:r>
        <w:rPr>
          <w:rFonts w:eastAsia="Calibri" w:cstheme="minorHAnsi"/>
          <w:sz w:val="22"/>
          <w:szCs w:val="22"/>
        </w:rPr>
        <w:t xml:space="preserve">behavioral </w:t>
      </w:r>
      <w:r w:rsidRPr="00BF5887">
        <w:rPr>
          <w:rFonts w:eastAsia="Calibri" w:cstheme="minorHAnsi"/>
          <w:sz w:val="22"/>
          <w:szCs w:val="22"/>
        </w:rPr>
        <w:t xml:space="preserve">health and substance use services, both </w:t>
      </w:r>
      <w:r>
        <w:rPr>
          <w:rFonts w:eastAsia="Calibri" w:cstheme="minorHAnsi"/>
          <w:sz w:val="22"/>
          <w:szCs w:val="22"/>
        </w:rPr>
        <w:t>in</w:t>
      </w:r>
      <w:r w:rsidRPr="00BF5887">
        <w:rPr>
          <w:rFonts w:eastAsia="Calibri" w:cstheme="minorHAnsi"/>
          <w:sz w:val="22"/>
          <w:szCs w:val="22"/>
        </w:rPr>
        <w:t xml:space="preserve"> inpatient/residential </w:t>
      </w:r>
      <w:r>
        <w:rPr>
          <w:rFonts w:eastAsia="Calibri" w:cstheme="minorHAnsi"/>
          <w:sz w:val="22"/>
          <w:szCs w:val="22"/>
        </w:rPr>
        <w:t>capacity</w:t>
      </w:r>
      <w:r w:rsidRPr="00BF5887">
        <w:rPr>
          <w:rFonts w:eastAsia="Calibri" w:cstheme="minorHAnsi"/>
          <w:sz w:val="22"/>
          <w:szCs w:val="22"/>
        </w:rPr>
        <w:t xml:space="preserve"> and in outpatient services. </w:t>
      </w:r>
      <w:r>
        <w:rPr>
          <w:rFonts w:eastAsia="Calibri" w:cstheme="minorHAnsi"/>
          <w:sz w:val="22"/>
          <w:szCs w:val="22"/>
        </w:rPr>
        <w:t xml:space="preserve">This under-resourcing extends to private insurance systems. </w:t>
      </w:r>
      <w:r w:rsidRPr="00BF5887">
        <w:rPr>
          <w:rFonts w:cstheme="minorHAnsi"/>
          <w:color w:val="000000"/>
          <w:sz w:val="22"/>
          <w:szCs w:val="22"/>
        </w:rPr>
        <w:t xml:space="preserve">In some communities, </w:t>
      </w:r>
      <w:r>
        <w:rPr>
          <w:rFonts w:ascii="Calibri" w:eastAsia="Calibri" w:hAnsi="Calibri" w:cs="Calibri"/>
          <w:sz w:val="22"/>
          <w:szCs w:val="22"/>
        </w:rPr>
        <w:t>CCBHCs reported that service users with private insurance were accessing CCBHCs due to</w:t>
      </w:r>
      <w:r w:rsidRPr="001023E7">
        <w:rPr>
          <w:rFonts w:ascii="Calibri" w:eastAsia="Calibri" w:hAnsi="Calibri" w:cs="Calibri"/>
          <w:sz w:val="22"/>
          <w:szCs w:val="22"/>
        </w:rPr>
        <w:t xml:space="preserve"> </w:t>
      </w:r>
      <w:r>
        <w:rPr>
          <w:rFonts w:ascii="Calibri" w:eastAsia="Calibri" w:hAnsi="Calibri" w:cs="Calibri"/>
          <w:sz w:val="22"/>
          <w:szCs w:val="22"/>
        </w:rPr>
        <w:t xml:space="preserve">service users’ </w:t>
      </w:r>
      <w:r w:rsidRPr="001023E7">
        <w:rPr>
          <w:rFonts w:ascii="Calibri" w:eastAsia="Calibri" w:hAnsi="Calibri" w:cs="Calibri"/>
          <w:sz w:val="22"/>
          <w:szCs w:val="22"/>
        </w:rPr>
        <w:t xml:space="preserve">inability to </w:t>
      </w:r>
      <w:r>
        <w:rPr>
          <w:rFonts w:ascii="Calibri" w:eastAsia="Calibri" w:hAnsi="Calibri" w:cs="Calibri"/>
          <w:sz w:val="22"/>
          <w:szCs w:val="22"/>
        </w:rPr>
        <w:t xml:space="preserve">adequately </w:t>
      </w:r>
      <w:r w:rsidRPr="001023E7">
        <w:rPr>
          <w:rFonts w:ascii="Calibri" w:eastAsia="Calibri" w:hAnsi="Calibri" w:cs="Calibri"/>
          <w:sz w:val="22"/>
          <w:szCs w:val="22"/>
        </w:rPr>
        <w:t xml:space="preserve">access behavioral health services </w:t>
      </w:r>
      <w:r>
        <w:rPr>
          <w:rFonts w:ascii="Calibri" w:eastAsia="Calibri" w:hAnsi="Calibri" w:cs="Calibri"/>
          <w:sz w:val="22"/>
          <w:szCs w:val="22"/>
        </w:rPr>
        <w:t>through</w:t>
      </w:r>
      <w:r w:rsidRPr="001023E7">
        <w:rPr>
          <w:rFonts w:ascii="Calibri" w:eastAsia="Calibri" w:hAnsi="Calibri" w:cs="Calibri"/>
          <w:sz w:val="22"/>
          <w:szCs w:val="22"/>
        </w:rPr>
        <w:t xml:space="preserve"> </w:t>
      </w:r>
      <w:r>
        <w:rPr>
          <w:rFonts w:ascii="Calibri" w:eastAsia="Calibri" w:hAnsi="Calibri" w:cs="Calibri"/>
          <w:sz w:val="22"/>
          <w:szCs w:val="22"/>
        </w:rPr>
        <w:t xml:space="preserve">their </w:t>
      </w:r>
      <w:r w:rsidRPr="001023E7">
        <w:rPr>
          <w:rFonts w:ascii="Calibri" w:eastAsia="Calibri" w:hAnsi="Calibri" w:cs="Calibri"/>
          <w:sz w:val="22"/>
          <w:szCs w:val="22"/>
        </w:rPr>
        <w:t>private insurance</w:t>
      </w:r>
      <w:r>
        <w:rPr>
          <w:rFonts w:ascii="Calibri" w:eastAsia="Calibri" w:hAnsi="Calibri" w:cs="Calibri"/>
          <w:sz w:val="22"/>
          <w:szCs w:val="22"/>
        </w:rPr>
        <w:t xml:space="preserve"> provider network</w:t>
      </w:r>
      <w:r w:rsidRPr="001023E7">
        <w:rPr>
          <w:rFonts w:ascii="Calibri" w:eastAsia="Calibri" w:hAnsi="Calibri" w:cs="Calibri"/>
          <w:sz w:val="22"/>
          <w:szCs w:val="22"/>
        </w:rPr>
        <w:t>.</w:t>
      </w:r>
    </w:p>
    <w:p w14:paraId="1CACF9C2" w14:textId="77777777" w:rsidR="002B7446" w:rsidRDefault="002B7446" w:rsidP="002B7446">
      <w:pPr>
        <w:rPr>
          <w:rFonts w:ascii="Calibri" w:eastAsia="Calibri" w:hAnsi="Calibri" w:cs="Calibri"/>
          <w:sz w:val="22"/>
          <w:szCs w:val="22"/>
        </w:rPr>
      </w:pPr>
    </w:p>
    <w:p w14:paraId="32F64C56" w14:textId="77777777" w:rsidR="002B7446" w:rsidRDefault="002B7446" w:rsidP="002B7446">
      <w:pPr>
        <w:rPr>
          <w:rFonts w:ascii="Calibri" w:eastAsia="Calibri" w:hAnsi="Calibri" w:cs="Calibri"/>
          <w:sz w:val="22"/>
          <w:szCs w:val="22"/>
        </w:rPr>
      </w:pPr>
      <w:r w:rsidRPr="00BF5887">
        <w:rPr>
          <w:rFonts w:eastAsia="Calibri" w:cstheme="minorHAnsi"/>
          <w:sz w:val="22"/>
          <w:szCs w:val="22"/>
        </w:rPr>
        <w:t xml:space="preserve">The impact of the CCBHC service on hospital-based services (inpatient </w:t>
      </w:r>
      <w:r>
        <w:rPr>
          <w:rFonts w:eastAsia="Calibri" w:cstheme="minorHAnsi"/>
          <w:sz w:val="22"/>
          <w:szCs w:val="22"/>
        </w:rPr>
        <w:t>and emergency department</w:t>
      </w:r>
      <w:r w:rsidRPr="00BF5887">
        <w:rPr>
          <w:rFonts w:eastAsia="Calibri" w:cstheme="minorHAnsi"/>
          <w:sz w:val="22"/>
          <w:szCs w:val="22"/>
        </w:rPr>
        <w:t>) was measurable and considerable; in states where these services are</w:t>
      </w:r>
      <w:r>
        <w:rPr>
          <w:rFonts w:ascii="Calibri" w:eastAsia="Calibri" w:hAnsi="Calibri" w:cs="Calibri"/>
          <w:sz w:val="22"/>
          <w:szCs w:val="22"/>
        </w:rPr>
        <w:t xml:space="preserve"> “over-resourced”, these costs may significantly offset the increases in outpatient services that CCBHCs provided. Within Oregon’s context, cost-effectiveness (i.e., what was received in additional outcomes as a result of the increased expenditures) is likely a better point of assessment than cost efficiency. This also aligns with the direction and understanding of CCBHC providers as discussed in detail below.</w:t>
      </w:r>
    </w:p>
    <w:p w14:paraId="2DDB564F" w14:textId="77777777" w:rsidR="002B7446" w:rsidRDefault="002B7446" w:rsidP="002B7446">
      <w:pPr>
        <w:rPr>
          <w:rFonts w:ascii="Calibri" w:eastAsia="Calibri" w:hAnsi="Calibri" w:cs="Calibri"/>
          <w:sz w:val="22"/>
          <w:szCs w:val="22"/>
        </w:rPr>
      </w:pPr>
    </w:p>
    <w:p w14:paraId="00DAE251" w14:textId="40EFDFC7" w:rsidR="00FF1C55" w:rsidRDefault="00FF1C55" w:rsidP="00FF1C55">
      <w:pPr>
        <w:rPr>
          <w:rFonts w:ascii="Calibri" w:eastAsia="Calibri" w:hAnsi="Calibri" w:cs="Calibri"/>
          <w:sz w:val="22"/>
          <w:szCs w:val="22"/>
        </w:rPr>
      </w:pPr>
      <w:r>
        <w:rPr>
          <w:rFonts w:ascii="Calibri" w:eastAsia="Calibri" w:hAnsi="Calibri" w:cs="Calibri"/>
          <w:sz w:val="22"/>
          <w:szCs w:val="22"/>
        </w:rPr>
        <w:t xml:space="preserve">There were also some notable differences in expenditures by race/ethnicity groups and geographic location. </w:t>
      </w:r>
      <w:bookmarkStart w:id="44" w:name="_Hlk125108440"/>
      <w:r>
        <w:rPr>
          <w:rFonts w:ascii="Calibri" w:eastAsia="Calibri" w:hAnsi="Calibri" w:cs="Calibri"/>
          <w:sz w:val="22"/>
          <w:szCs w:val="22"/>
        </w:rPr>
        <w:t>American Indian/Alaskan Native</w:t>
      </w:r>
      <w:bookmarkEnd w:id="44"/>
      <w:r>
        <w:rPr>
          <w:rFonts w:ascii="Calibri" w:eastAsia="Calibri" w:hAnsi="Calibri" w:cs="Calibri"/>
          <w:sz w:val="22"/>
          <w:szCs w:val="22"/>
        </w:rPr>
        <w:t xml:space="preserve"> and Black/African American service users did not have discernible increases in expenditures, while experiencing some of the larger reductions in inpatient and emergency department services (Black/African American: 48.0% overall inpatient first post-implementation period, 30.1% overall emergency department second post-implementation period; American Indian/Alaskan Native: 48.3% and 50.1% physical inpatient across the first and second post-implementation periods). These differences may reflect historic and current patterns of higher hospital service rates for these groups, allowing for more offsetting savings under the CCBHC program.</w:t>
      </w:r>
    </w:p>
    <w:p w14:paraId="42345A66" w14:textId="77777777" w:rsidR="00926004" w:rsidRDefault="00926004" w:rsidP="00FF1C55">
      <w:pPr>
        <w:rPr>
          <w:rFonts w:ascii="Calibri" w:eastAsia="Calibri" w:hAnsi="Calibri" w:cs="Calibri"/>
          <w:sz w:val="22"/>
          <w:szCs w:val="22"/>
        </w:rPr>
      </w:pPr>
    </w:p>
    <w:p w14:paraId="041951D4" w14:textId="77777777" w:rsidR="00FF1C55" w:rsidRDefault="00FF1C55" w:rsidP="00FF1C55">
      <w:pPr>
        <w:rPr>
          <w:rFonts w:ascii="Calibri" w:eastAsia="Calibri" w:hAnsi="Calibri" w:cs="Calibri"/>
          <w:sz w:val="22"/>
          <w:szCs w:val="22"/>
        </w:rPr>
      </w:pPr>
      <w:r>
        <w:rPr>
          <w:rFonts w:ascii="Calibri" w:eastAsia="Calibri" w:hAnsi="Calibri" w:cs="Calibri"/>
          <w:sz w:val="22"/>
          <w:szCs w:val="22"/>
        </w:rPr>
        <w:t>While urban and rural or remote areas had fairly similar increases in total expenditures, the underlying patterns of change were quite different. In particular, there were large increases in overall substance use related expenditures (77.7% and 136.8%, respectively) among rural or remote service users, with increases across all service types other than substance use RTFs. This difference may reflect historic under-resourcing or under-provision of these services relative to need in rural and remote areas.</w:t>
      </w:r>
    </w:p>
    <w:p w14:paraId="5A64F620" w14:textId="77777777" w:rsidR="00FF1C55" w:rsidRDefault="00FF1C55" w:rsidP="00FF1C55">
      <w:pPr>
        <w:rPr>
          <w:rFonts w:ascii="Calibri" w:eastAsia="Calibri" w:hAnsi="Calibri" w:cs="Calibri"/>
          <w:sz w:val="22"/>
          <w:szCs w:val="22"/>
        </w:rPr>
      </w:pPr>
    </w:p>
    <w:p w14:paraId="1C402C5D" w14:textId="5C5AA214" w:rsidR="00C0146C" w:rsidRDefault="00FF1C55" w:rsidP="00FF1C55">
      <w:pPr>
        <w:rPr>
          <w:rFonts w:ascii="Calibri" w:eastAsia="Calibri" w:hAnsi="Calibri" w:cs="Calibri"/>
          <w:color w:val="000000"/>
          <w:sz w:val="22"/>
          <w:szCs w:val="22"/>
        </w:rPr>
      </w:pPr>
      <w:r>
        <w:rPr>
          <w:rFonts w:ascii="Calibri" w:eastAsia="Calibri" w:hAnsi="Calibri" w:cs="Calibri"/>
          <w:sz w:val="22"/>
          <w:szCs w:val="22"/>
        </w:rPr>
        <w:t>The relevant qualitative data applicable to this point are limited in addressing whether the CCBHCs resulted in cost reductions for CCO members. Most interested parties and clinic leaders did not speak specifically about CCO members. This is likely because CCBHCs serve anyone regardless of insurance status, not only CCO members.  As one interested party noted: “</w:t>
      </w:r>
      <w:r w:rsidRPr="00B678B2">
        <w:rPr>
          <w:rFonts w:ascii="Calibri" w:eastAsia="Calibri" w:hAnsi="Calibri" w:cs="Calibri"/>
          <w:i/>
          <w:color w:val="000000"/>
          <w:sz w:val="22"/>
          <w:szCs w:val="22"/>
        </w:rPr>
        <w:t>The CCOs are OHP, and OHP doesn't represent the majority of Oregonians, whereas your CCBHCs do serve that broader population</w:t>
      </w:r>
      <w:r>
        <w:rPr>
          <w:rFonts w:ascii="Calibri" w:eastAsia="Calibri" w:hAnsi="Calibri" w:cs="Calibri"/>
          <w:color w:val="000000"/>
          <w:sz w:val="22"/>
          <w:szCs w:val="22"/>
        </w:rPr>
        <w:t>” (Interested Party 14). No service users explicitly spoke to cost savings as a result of obtaining services at a CCBHC. One service user described how their CCBHC had worked with them to establish low-cost appointment copayments through their private insurance; however</w:t>
      </w:r>
      <w:r w:rsidR="00324B1C">
        <w:rPr>
          <w:rFonts w:ascii="Calibri" w:eastAsia="Calibri" w:hAnsi="Calibri" w:cs="Calibri"/>
          <w:color w:val="000000"/>
          <w:sz w:val="22"/>
          <w:szCs w:val="22"/>
        </w:rPr>
        <w:t>,</w:t>
      </w:r>
      <w:r>
        <w:rPr>
          <w:rFonts w:ascii="Calibri" w:eastAsia="Calibri" w:hAnsi="Calibri" w:cs="Calibri"/>
          <w:color w:val="000000"/>
          <w:sz w:val="22"/>
          <w:szCs w:val="22"/>
        </w:rPr>
        <w:t xml:space="preserve"> these were still considered unaffordable when all monthly CCBHC services were accounted for.</w:t>
      </w:r>
    </w:p>
    <w:p w14:paraId="1C08AEB0" w14:textId="77777777" w:rsidR="0088481A" w:rsidRDefault="0088481A" w:rsidP="00FF1C55">
      <w:pPr>
        <w:rPr>
          <w:rFonts w:ascii="Calibri" w:eastAsia="Calibri" w:hAnsi="Calibri" w:cs="Calibri"/>
          <w:color w:val="000000"/>
          <w:sz w:val="22"/>
          <w:szCs w:val="22"/>
        </w:rPr>
      </w:pPr>
    </w:p>
    <w:p w14:paraId="3AE42560" w14:textId="331A8A80" w:rsidR="00E03825" w:rsidRPr="001023E7" w:rsidRDefault="00E03825" w:rsidP="00E03825">
      <w:pPr>
        <w:ind w:left="720"/>
        <w:rPr>
          <w:rFonts w:ascii="Calibri" w:eastAsia="Calibri" w:hAnsi="Calibri" w:cs="Calibri"/>
          <w:i/>
          <w:sz w:val="22"/>
          <w:szCs w:val="22"/>
        </w:rPr>
      </w:pPr>
      <w:r w:rsidRPr="001023E7">
        <w:rPr>
          <w:rFonts w:ascii="Calibri" w:eastAsia="Calibri" w:hAnsi="Calibri" w:cs="Calibri"/>
          <w:i/>
          <w:sz w:val="22"/>
          <w:szCs w:val="22"/>
        </w:rPr>
        <w:t>My husband has a union job and we pay for our insurance, but our insurance doesn't cover mental health all that well. It was getting expensive to the point where I almost stopped going altogether, but I can't stop my mental health treatment. Thankfully we were able to get to where I can pay $10 per appointment, but even with that I have to cut back on the full amount of services that I want to get</w:t>
      </w:r>
      <w:r>
        <w:rPr>
          <w:rFonts w:ascii="Calibri" w:eastAsia="Calibri" w:hAnsi="Calibri" w:cs="Calibri"/>
          <w:i/>
          <w:sz w:val="22"/>
          <w:szCs w:val="22"/>
        </w:rPr>
        <w:t>;</w:t>
      </w:r>
      <w:r w:rsidRPr="001023E7">
        <w:rPr>
          <w:rFonts w:ascii="Calibri" w:eastAsia="Calibri" w:hAnsi="Calibri" w:cs="Calibri"/>
          <w:i/>
          <w:sz w:val="22"/>
          <w:szCs w:val="22"/>
        </w:rPr>
        <w:t xml:space="preserve"> that's still expensive. I have weekly group therapy, and I had to cut back on my one-on-one sessions with my therapist to only once a month. And then my anxiety therapist, my skills therapist, my grief counselor, I have to do those once a month. That's still $80 a month and I still have other medical bills to pay</w:t>
      </w:r>
      <w:r>
        <w:rPr>
          <w:rFonts w:ascii="Calibri" w:eastAsia="Calibri" w:hAnsi="Calibri" w:cs="Calibri"/>
          <w:i/>
          <w:sz w:val="22"/>
          <w:szCs w:val="22"/>
        </w:rPr>
        <w:t xml:space="preserve"> [including]</w:t>
      </w:r>
      <w:r w:rsidRPr="001023E7">
        <w:rPr>
          <w:rFonts w:ascii="Calibri" w:eastAsia="Calibri" w:hAnsi="Calibri" w:cs="Calibri"/>
          <w:i/>
          <w:sz w:val="22"/>
          <w:szCs w:val="22"/>
        </w:rPr>
        <w:t xml:space="preserve"> my medications and the medication nurse here that I still have to see.</w:t>
      </w:r>
      <w:r>
        <w:rPr>
          <w:rFonts w:ascii="Calibri" w:eastAsia="Calibri" w:hAnsi="Calibri" w:cs="Calibri"/>
          <w:i/>
          <w:sz w:val="22"/>
          <w:szCs w:val="22"/>
        </w:rPr>
        <w:t>”</w:t>
      </w:r>
      <w:r w:rsidRPr="001023E7">
        <w:rPr>
          <w:rFonts w:ascii="Calibri" w:eastAsia="Calibri" w:hAnsi="Calibri" w:cs="Calibri"/>
          <w:i/>
          <w:sz w:val="22"/>
          <w:szCs w:val="22"/>
        </w:rPr>
        <w:t xml:space="preserve"> </w:t>
      </w:r>
      <w:r>
        <w:rPr>
          <w:rFonts w:ascii="Calibri" w:eastAsia="Calibri" w:hAnsi="Calibri" w:cs="Calibri"/>
          <w:sz w:val="22"/>
          <w:szCs w:val="22"/>
        </w:rPr>
        <w:t>(</w:t>
      </w:r>
      <w:r w:rsidRPr="009B138D">
        <w:rPr>
          <w:rFonts w:ascii="Calibri" w:eastAsia="Calibri" w:hAnsi="Calibri" w:cs="Calibri"/>
          <w:sz w:val="22"/>
          <w:szCs w:val="22"/>
        </w:rPr>
        <w:t>Service User 22</w:t>
      </w:r>
      <w:r>
        <w:rPr>
          <w:rFonts w:ascii="Calibri" w:eastAsia="Calibri" w:hAnsi="Calibri" w:cs="Calibri"/>
          <w:sz w:val="22"/>
          <w:szCs w:val="22"/>
        </w:rPr>
        <w:t>)</w:t>
      </w:r>
    </w:p>
    <w:p w14:paraId="5D7AA35F" w14:textId="77777777" w:rsidR="00E03825" w:rsidRDefault="00E03825" w:rsidP="00E03825">
      <w:pPr>
        <w:rPr>
          <w:rFonts w:ascii="Calibri" w:eastAsia="Calibri" w:hAnsi="Calibri" w:cs="Calibri"/>
          <w:sz w:val="22"/>
          <w:szCs w:val="22"/>
        </w:rPr>
      </w:pPr>
    </w:p>
    <w:p w14:paraId="08109498" w14:textId="77777777" w:rsidR="00FF1C55" w:rsidRDefault="00FF1C55" w:rsidP="00FF1C55">
      <w:pPr>
        <w:rPr>
          <w:rFonts w:ascii="Calibri" w:eastAsia="Calibri" w:hAnsi="Calibri" w:cs="Calibri"/>
          <w:color w:val="000000"/>
          <w:sz w:val="22"/>
          <w:szCs w:val="22"/>
        </w:rPr>
      </w:pPr>
      <w:r>
        <w:rPr>
          <w:rFonts w:ascii="Calibri" w:eastAsia="Calibri" w:hAnsi="Calibri" w:cs="Calibri"/>
          <w:sz w:val="22"/>
          <w:szCs w:val="22"/>
        </w:rPr>
        <w:t>Interviews with interested parties and clinic leaders suggest that their primary focus has been on expanding access to behavioral health services, rather than reducing costs. According to one interested party: “</w:t>
      </w:r>
      <w:r>
        <w:rPr>
          <w:rFonts w:ascii="Calibri" w:eastAsia="Calibri" w:hAnsi="Calibri" w:cs="Calibri"/>
          <w:i/>
          <w:color w:val="000000"/>
          <w:sz w:val="22"/>
          <w:szCs w:val="22"/>
        </w:rPr>
        <w:t>T</w:t>
      </w:r>
      <w:r w:rsidRPr="00B678B2">
        <w:rPr>
          <w:rFonts w:ascii="Calibri" w:eastAsia="Calibri" w:hAnsi="Calibri" w:cs="Calibri"/>
          <w:i/>
          <w:color w:val="000000"/>
          <w:sz w:val="22"/>
          <w:szCs w:val="22"/>
        </w:rPr>
        <w:t>he biggest ba</w:t>
      </w:r>
      <w:r>
        <w:rPr>
          <w:rFonts w:ascii="Calibri" w:eastAsia="Calibri" w:hAnsi="Calibri" w:cs="Calibri"/>
          <w:i/>
          <w:color w:val="000000"/>
          <w:sz w:val="22"/>
          <w:szCs w:val="22"/>
        </w:rPr>
        <w:t>rrier t</w:t>
      </w:r>
      <w:r w:rsidRPr="00B678B2">
        <w:rPr>
          <w:rFonts w:ascii="Calibri" w:eastAsia="Calibri" w:hAnsi="Calibri" w:cs="Calibri"/>
          <w:i/>
          <w:color w:val="000000"/>
          <w:sz w:val="22"/>
          <w:szCs w:val="22"/>
        </w:rPr>
        <w:t>o behavioral health is we don't fund the system proportionate to the deliverables that we want. We've erred in talking about the system being broken when it is actually functioning at the level that it's funded</w:t>
      </w:r>
      <w:r>
        <w:rPr>
          <w:rFonts w:ascii="Calibri" w:eastAsia="Calibri" w:hAnsi="Calibri" w:cs="Calibri"/>
          <w:color w:val="000000"/>
          <w:sz w:val="22"/>
          <w:szCs w:val="22"/>
        </w:rPr>
        <w:t>” (Interested Party 16).</w:t>
      </w:r>
    </w:p>
    <w:p w14:paraId="7F21534C" w14:textId="77777777" w:rsidR="00FF1C55" w:rsidRDefault="00FF1C55" w:rsidP="00FF1C55">
      <w:pPr>
        <w:rPr>
          <w:rFonts w:ascii="Calibri" w:eastAsia="Calibri" w:hAnsi="Calibri" w:cs="Calibri"/>
          <w:color w:val="000000"/>
          <w:sz w:val="22"/>
          <w:szCs w:val="22"/>
        </w:rPr>
      </w:pPr>
    </w:p>
    <w:p w14:paraId="3C8580C6" w14:textId="77777777" w:rsidR="00FF1C55" w:rsidRPr="00B678B2" w:rsidRDefault="00FF1C55" w:rsidP="00FF1C55">
      <w:pPr>
        <w:rPr>
          <w:rFonts w:ascii="Calibri" w:eastAsia="Calibri" w:hAnsi="Calibri" w:cs="Calibri"/>
          <w:color w:val="000000"/>
          <w:sz w:val="22"/>
          <w:szCs w:val="22"/>
        </w:rPr>
      </w:pPr>
      <w:r w:rsidRPr="00E93FC2">
        <w:rPr>
          <w:rFonts w:cstheme="minorHAnsi"/>
          <w:color w:val="000000"/>
          <w:sz w:val="22"/>
          <w:szCs w:val="22"/>
        </w:rPr>
        <w:t>Several clinic leaders described how the CCBHC model enabled them to prioritize outreach efforts over reimbursement concerns for the first time.</w:t>
      </w:r>
      <w:r>
        <w:rPr>
          <w:rFonts w:ascii="Calibri" w:eastAsia="Calibri" w:hAnsi="Calibri" w:cs="Calibri"/>
          <w:color w:val="000000"/>
          <w:sz w:val="22"/>
          <w:szCs w:val="22"/>
        </w:rPr>
        <w:t xml:space="preserve"> According to one clinic leader: </w:t>
      </w:r>
      <w:r w:rsidRPr="00B678B2">
        <w:rPr>
          <w:rFonts w:ascii="Calibri" w:eastAsia="Calibri" w:hAnsi="Calibri" w:cs="Calibri"/>
          <w:color w:val="000000"/>
          <w:sz w:val="22"/>
          <w:szCs w:val="22"/>
        </w:rPr>
        <w:t>“</w:t>
      </w:r>
      <w:r w:rsidRPr="00B678B2">
        <w:rPr>
          <w:rFonts w:ascii="Calibri" w:eastAsia="Calibri" w:hAnsi="Calibri" w:cs="Calibri"/>
          <w:i/>
          <w:color w:val="000000"/>
          <w:sz w:val="22"/>
          <w:szCs w:val="22"/>
        </w:rPr>
        <w:t>We now really encourage staff to go out there and not worry about billing. You do a non-billable note and you're doing intensive outreach and engagement</w:t>
      </w:r>
      <w:r>
        <w:rPr>
          <w:rFonts w:ascii="Calibri" w:eastAsia="Calibri" w:hAnsi="Calibri" w:cs="Calibri"/>
          <w:i/>
          <w:color w:val="000000"/>
          <w:sz w:val="22"/>
          <w:szCs w:val="22"/>
        </w:rPr>
        <w:t>;</w:t>
      </w:r>
      <w:r w:rsidRPr="00B678B2">
        <w:rPr>
          <w:rFonts w:ascii="Calibri" w:eastAsia="Calibri" w:hAnsi="Calibri" w:cs="Calibri"/>
          <w:i/>
          <w:color w:val="000000"/>
          <w:sz w:val="22"/>
          <w:szCs w:val="22"/>
        </w:rPr>
        <w:t xml:space="preserve"> you're making a connection. We've had people where it's taken a year of us working with them, not getting paid. The CCBHC made it possible to get them to agree to an assessment, so that they could actually get psychiatric services</w:t>
      </w:r>
      <w:r w:rsidRPr="00B678B2">
        <w:rPr>
          <w:rFonts w:ascii="Calibri" w:eastAsia="Calibri" w:hAnsi="Calibri" w:cs="Calibri"/>
          <w:color w:val="000000"/>
          <w:sz w:val="22"/>
          <w:szCs w:val="22"/>
        </w:rPr>
        <w:t xml:space="preserve">” (Lead </w:t>
      </w:r>
      <w:r>
        <w:rPr>
          <w:rFonts w:ascii="Calibri" w:eastAsia="Calibri" w:hAnsi="Calibri" w:cs="Calibri"/>
          <w:color w:val="000000"/>
          <w:sz w:val="22"/>
          <w:szCs w:val="22"/>
        </w:rPr>
        <w:t>Administrator</w:t>
      </w:r>
      <w:r w:rsidRPr="00B678B2">
        <w:rPr>
          <w:rFonts w:ascii="Calibri" w:eastAsia="Calibri" w:hAnsi="Calibri" w:cs="Calibri"/>
          <w:color w:val="000000"/>
          <w:sz w:val="22"/>
          <w:szCs w:val="22"/>
        </w:rPr>
        <w:t xml:space="preserve"> 09). </w:t>
      </w:r>
      <w:r>
        <w:rPr>
          <w:rFonts w:ascii="Calibri" w:eastAsia="Calibri" w:hAnsi="Calibri" w:cs="Calibri"/>
          <w:color w:val="000000"/>
          <w:sz w:val="22"/>
          <w:szCs w:val="22"/>
        </w:rPr>
        <w:t xml:space="preserve">Some </w:t>
      </w:r>
      <w:r>
        <w:rPr>
          <w:rFonts w:cstheme="minorHAnsi"/>
          <w:sz w:val="22"/>
          <w:szCs w:val="22"/>
        </w:rPr>
        <w:t>clinic leaders expressed that they need to have a place to document the activities in which they engage (without adding to the administrative burden of staff) and be reimbursed for that work.</w:t>
      </w:r>
    </w:p>
    <w:p w14:paraId="68A9F0A3" w14:textId="77777777" w:rsidR="00FF1C55" w:rsidRDefault="00FF1C55" w:rsidP="00FF1C55">
      <w:pPr>
        <w:rPr>
          <w:rFonts w:ascii="Calibri" w:eastAsia="Calibri" w:hAnsi="Calibri" w:cs="Calibri"/>
          <w:color w:val="000000"/>
          <w:sz w:val="22"/>
          <w:szCs w:val="22"/>
        </w:rPr>
      </w:pPr>
    </w:p>
    <w:p w14:paraId="5A818CB5" w14:textId="5993695B" w:rsidR="00FF1C55" w:rsidRDefault="00FF1C55" w:rsidP="00FF1C55">
      <w:pPr>
        <w:rPr>
          <w:rFonts w:ascii="Calibri" w:eastAsia="Calibri" w:hAnsi="Calibri" w:cs="Calibri"/>
          <w:sz w:val="22"/>
          <w:szCs w:val="22"/>
        </w:rPr>
      </w:pPr>
      <w:r>
        <w:rPr>
          <w:rFonts w:ascii="Calibri" w:eastAsia="Calibri" w:hAnsi="Calibri" w:cs="Calibri"/>
          <w:sz w:val="22"/>
          <w:szCs w:val="22"/>
        </w:rPr>
        <w:t>Interviews with clinic leaders suggest there are variations in the relationship between CCBHCs and CCOs. Several reported strong relationships with their local CCO, where there is a willingness to collaborate and share information. One clinical leader recalled: “</w:t>
      </w:r>
      <w:r w:rsidRPr="00E934E1">
        <w:rPr>
          <w:rFonts w:ascii="Calibri" w:eastAsia="Calibri" w:hAnsi="Calibri" w:cs="Calibri"/>
          <w:i/>
          <w:sz w:val="22"/>
          <w:szCs w:val="22"/>
        </w:rPr>
        <w:t xml:space="preserve">One of their goals is to reduce the amount of emergency room visits. </w:t>
      </w:r>
      <w:r w:rsidR="00324B1C">
        <w:rPr>
          <w:rFonts w:ascii="Calibri" w:eastAsia="Calibri" w:hAnsi="Calibri" w:cs="Calibri"/>
          <w:i/>
          <w:sz w:val="22"/>
          <w:szCs w:val="22"/>
        </w:rPr>
        <w:t>S</w:t>
      </w:r>
      <w:r w:rsidRPr="00E934E1">
        <w:rPr>
          <w:rFonts w:ascii="Calibri" w:eastAsia="Calibri" w:hAnsi="Calibri" w:cs="Calibri"/>
          <w:i/>
          <w:sz w:val="22"/>
          <w:szCs w:val="22"/>
        </w:rPr>
        <w:t>o</w:t>
      </w:r>
      <w:r w:rsidR="00DF6375">
        <w:rPr>
          <w:rFonts w:ascii="Calibri" w:eastAsia="Calibri" w:hAnsi="Calibri" w:cs="Calibri"/>
          <w:i/>
          <w:sz w:val="22"/>
          <w:szCs w:val="22"/>
        </w:rPr>
        <w:t>,</w:t>
      </w:r>
      <w:r w:rsidRPr="00E934E1">
        <w:rPr>
          <w:rFonts w:ascii="Calibri" w:eastAsia="Calibri" w:hAnsi="Calibri" w:cs="Calibri"/>
          <w:i/>
          <w:sz w:val="22"/>
          <w:szCs w:val="22"/>
        </w:rPr>
        <w:t xml:space="preserve"> they look to us and say, ‘What can you do to help us with that?’ and we said ‘We have very limited information on that, but if you share the information with us, we'll do what we can.’ Participating in helping them solve their problems is usually how we </w:t>
      </w:r>
      <w:r>
        <w:rPr>
          <w:rFonts w:ascii="Calibri" w:eastAsia="Calibri" w:hAnsi="Calibri" w:cs="Calibri"/>
          <w:i/>
          <w:sz w:val="22"/>
          <w:szCs w:val="22"/>
        </w:rPr>
        <w:t>engage with our partners</w:t>
      </w:r>
      <w:r>
        <w:rPr>
          <w:rFonts w:ascii="Calibri" w:eastAsia="Calibri" w:hAnsi="Calibri" w:cs="Calibri"/>
          <w:sz w:val="22"/>
          <w:szCs w:val="22"/>
        </w:rPr>
        <w:t>”</w:t>
      </w:r>
      <w:r w:rsidRPr="00E934E1">
        <w:rPr>
          <w:rFonts w:ascii="Calibri" w:eastAsia="Calibri" w:hAnsi="Calibri" w:cs="Calibri"/>
          <w:sz w:val="22"/>
          <w:szCs w:val="22"/>
        </w:rPr>
        <w:t xml:space="preserve"> </w:t>
      </w:r>
      <w:r>
        <w:rPr>
          <w:rFonts w:ascii="Calibri" w:eastAsia="Calibri" w:hAnsi="Calibri" w:cs="Calibri"/>
          <w:sz w:val="22"/>
          <w:szCs w:val="22"/>
        </w:rPr>
        <w:t xml:space="preserve">(Lead Administrator 04). </w:t>
      </w:r>
    </w:p>
    <w:p w14:paraId="34D8F9C0" w14:textId="77777777" w:rsidR="00E03825" w:rsidRDefault="00E03825" w:rsidP="00E03825">
      <w:pPr>
        <w:rPr>
          <w:rFonts w:ascii="Calibri" w:eastAsia="Calibri" w:hAnsi="Calibri" w:cs="Calibri"/>
          <w:sz w:val="22"/>
          <w:szCs w:val="22"/>
        </w:rPr>
      </w:pPr>
    </w:p>
    <w:p w14:paraId="56EE6E35" w14:textId="77777777" w:rsidR="00FF1C55" w:rsidRDefault="00FF1C55" w:rsidP="00FF1C55">
      <w:pPr>
        <w:rPr>
          <w:rFonts w:ascii="Calibri" w:eastAsia="Calibri" w:hAnsi="Calibri" w:cs="Calibri"/>
          <w:sz w:val="22"/>
          <w:szCs w:val="22"/>
        </w:rPr>
      </w:pPr>
      <w:r>
        <w:rPr>
          <w:rFonts w:ascii="Calibri" w:eastAsia="Calibri" w:hAnsi="Calibri" w:cs="Calibri"/>
          <w:sz w:val="22"/>
          <w:szCs w:val="22"/>
        </w:rPr>
        <w:t>Other clinic leaders reported greater challenges in getting access to data and information from their local CCO in order to properly coordinate care for service users or evaluate outcomes. One clinic leader reported: “</w:t>
      </w:r>
      <w:r w:rsidRPr="00C3310D">
        <w:rPr>
          <w:rFonts w:ascii="Calibri" w:eastAsia="Calibri" w:hAnsi="Calibri" w:cs="Calibri"/>
          <w:i/>
          <w:sz w:val="22"/>
          <w:szCs w:val="22"/>
        </w:rPr>
        <w:t xml:space="preserve">We could be a lot more effective at what we do if we had greater collaboration amongst all the </w:t>
      </w:r>
      <w:r>
        <w:rPr>
          <w:rFonts w:ascii="Calibri" w:eastAsia="Calibri" w:hAnsi="Calibri" w:cs="Calibri"/>
          <w:i/>
          <w:sz w:val="22"/>
          <w:szCs w:val="22"/>
        </w:rPr>
        <w:t>payor</w:t>
      </w:r>
      <w:r w:rsidRPr="00C3310D">
        <w:rPr>
          <w:rFonts w:ascii="Calibri" w:eastAsia="Calibri" w:hAnsi="Calibri" w:cs="Calibri"/>
          <w:i/>
          <w:sz w:val="22"/>
          <w:szCs w:val="22"/>
        </w:rPr>
        <w:t>s, the contractors, and OHA. Right now, our CCO does not give us access to information that is incredibly important for us to coordinate care</w:t>
      </w:r>
      <w:r>
        <w:rPr>
          <w:rFonts w:ascii="Calibri" w:eastAsia="Calibri" w:hAnsi="Calibri" w:cs="Calibri"/>
          <w:sz w:val="22"/>
          <w:szCs w:val="22"/>
        </w:rPr>
        <w:t>” (Lead Administrator 03). Another clinical leader noted:</w:t>
      </w:r>
    </w:p>
    <w:p w14:paraId="4ECE313B" w14:textId="77777777" w:rsidR="00C0146C" w:rsidRDefault="00C0146C" w:rsidP="00E03825">
      <w:pPr>
        <w:ind w:left="720"/>
        <w:rPr>
          <w:rFonts w:ascii="Calibri" w:eastAsia="Calibri" w:hAnsi="Calibri" w:cs="Calibri"/>
          <w:i/>
          <w:sz w:val="22"/>
          <w:szCs w:val="22"/>
        </w:rPr>
      </w:pPr>
    </w:p>
    <w:p w14:paraId="17E25D83" w14:textId="64F2B9C9" w:rsidR="00E03825" w:rsidRPr="00D32818" w:rsidRDefault="00E03825" w:rsidP="00E03825">
      <w:pPr>
        <w:ind w:left="720"/>
        <w:rPr>
          <w:rFonts w:ascii="Calibri" w:eastAsia="Calibri" w:hAnsi="Calibri" w:cs="Calibri"/>
          <w:sz w:val="22"/>
          <w:szCs w:val="22"/>
        </w:rPr>
      </w:pPr>
      <w:r w:rsidRPr="006B3EE8">
        <w:rPr>
          <w:rFonts w:ascii="Calibri" w:eastAsia="Calibri" w:hAnsi="Calibri" w:cs="Calibri"/>
          <w:i/>
          <w:sz w:val="22"/>
          <w:szCs w:val="22"/>
        </w:rPr>
        <w:t>It has been a little challenging because we don't always have access to the data that the CCO has. So as a CCBHC, we are really, really interested in looking at the data and understanding our outcomes better. We have anecdotal data, but we want claims data. We don't have access to that. The CCO does. And so, there hasn't necessarily been buy-in on their end to work collaboratively around that kind of thing, really examining outcomes, not just money-wise, but outcome-wise. So that's an area where there could be a lot more work done at the state level to help us.</w:t>
      </w:r>
      <w:r>
        <w:rPr>
          <w:rFonts w:ascii="Calibri" w:eastAsia="Calibri" w:hAnsi="Calibri" w:cs="Calibri"/>
          <w:i/>
          <w:sz w:val="22"/>
          <w:szCs w:val="22"/>
        </w:rPr>
        <w:t xml:space="preserve"> </w:t>
      </w:r>
      <w:r w:rsidRPr="00D32818">
        <w:rPr>
          <w:rFonts w:ascii="Calibri" w:eastAsia="Calibri" w:hAnsi="Calibri" w:cs="Calibri"/>
          <w:sz w:val="22"/>
          <w:szCs w:val="22"/>
        </w:rPr>
        <w:t>(Lead Clinical 07)</w:t>
      </w:r>
    </w:p>
    <w:p w14:paraId="531697B0" w14:textId="77777777" w:rsidR="00C0146C" w:rsidRDefault="00C0146C" w:rsidP="00E03825">
      <w:pPr>
        <w:rPr>
          <w:rFonts w:ascii="Calibri" w:eastAsia="Calibri" w:hAnsi="Calibri" w:cs="Calibri"/>
          <w:sz w:val="22"/>
          <w:szCs w:val="22"/>
        </w:rPr>
      </w:pPr>
    </w:p>
    <w:p w14:paraId="1AEE5EB4" w14:textId="310B8B66" w:rsidR="00FF1C55" w:rsidRDefault="00FF1C55" w:rsidP="00FF1C55">
      <w:pPr>
        <w:rPr>
          <w:rFonts w:ascii="Calibri" w:eastAsia="Calibri" w:hAnsi="Calibri" w:cs="Calibri"/>
          <w:sz w:val="22"/>
          <w:szCs w:val="22"/>
        </w:rPr>
      </w:pPr>
      <w:r>
        <w:rPr>
          <w:rFonts w:ascii="Calibri" w:eastAsia="Calibri" w:hAnsi="Calibri" w:cs="Calibri"/>
          <w:sz w:val="22"/>
          <w:szCs w:val="22"/>
        </w:rPr>
        <w:t xml:space="preserve">These challenges in coordination, access to data, and communication with CCOs and other payors likely limit the ability of CCBHCs to reduce the cost of care for CCO members. </w:t>
      </w:r>
    </w:p>
    <w:p w14:paraId="4C2FCAE0" w14:textId="38390FDA" w:rsidR="00E03825" w:rsidRDefault="00E03825" w:rsidP="00E03825"/>
    <w:p w14:paraId="0D866355" w14:textId="0021E934" w:rsidR="00C0146C" w:rsidRDefault="0047449C" w:rsidP="00E03825">
      <w:r>
        <w:rPr>
          <w:rFonts w:ascii="Calibri" w:eastAsia="Calibri" w:hAnsi="Calibri" w:cs="Calibri"/>
          <w:noProof/>
          <w:sz w:val="22"/>
          <w:szCs w:val="22"/>
        </w:rPr>
        <mc:AlternateContent>
          <mc:Choice Requires="wps">
            <w:drawing>
              <wp:anchor distT="0" distB="0" distL="114300" distR="114300" simplePos="0" relativeHeight="251675648" behindDoc="0" locked="0" layoutInCell="1" allowOverlap="1" wp14:anchorId="7CB531ED" wp14:editId="7D67E2EB">
                <wp:simplePos x="0" y="0"/>
                <wp:positionH relativeFrom="column">
                  <wp:posOffset>-1700</wp:posOffset>
                </wp:positionH>
                <wp:positionV relativeFrom="paragraph">
                  <wp:posOffset>7435</wp:posOffset>
                </wp:positionV>
                <wp:extent cx="5960745" cy="6236900"/>
                <wp:effectExtent l="12700" t="12700" r="20955" b="24765"/>
                <wp:wrapNone/>
                <wp:docPr id="19" name="Text Box 19"/>
                <wp:cNvGraphicFramePr/>
                <a:graphic xmlns:a="http://schemas.openxmlformats.org/drawingml/2006/main">
                  <a:graphicData uri="http://schemas.microsoft.com/office/word/2010/wordprocessingShape">
                    <wps:wsp>
                      <wps:cNvSpPr txBox="1"/>
                      <wps:spPr>
                        <a:xfrm>
                          <a:off x="0" y="0"/>
                          <a:ext cx="5960745" cy="6236900"/>
                        </a:xfrm>
                        <a:prstGeom prst="rect">
                          <a:avLst/>
                        </a:prstGeom>
                        <a:solidFill>
                          <a:schemeClr val="lt1"/>
                        </a:solidFill>
                        <a:ln w="38100">
                          <a:solidFill>
                            <a:schemeClr val="accent6">
                              <a:lumMod val="75000"/>
                            </a:schemeClr>
                          </a:solidFill>
                        </a:ln>
                      </wps:spPr>
                      <wps:txbx>
                        <w:txbxContent>
                          <w:p w14:paraId="5A33F88C" w14:textId="77777777" w:rsidR="00926004" w:rsidRDefault="00926004" w:rsidP="00926004">
                            <w:pPr>
                              <w:jc w:val="center"/>
                              <w:rPr>
                                <w:b/>
                                <w:bCs/>
                                <w:color w:val="6A7F0F"/>
                              </w:rPr>
                            </w:pPr>
                            <w:r>
                              <w:rPr>
                                <w:b/>
                                <w:bCs/>
                                <w:color w:val="6A7F0F"/>
                              </w:rPr>
                              <w:t xml:space="preserve">Summary and Recommendations: </w:t>
                            </w:r>
                            <w:r w:rsidRPr="00E30421">
                              <w:rPr>
                                <w:b/>
                                <w:bCs/>
                                <w:color w:val="6A7F0F"/>
                              </w:rPr>
                              <w:t xml:space="preserve">Reduce the Cost of Care </w:t>
                            </w:r>
                          </w:p>
                          <w:p w14:paraId="16D2F9E3" w14:textId="77777777" w:rsidR="00926004" w:rsidRPr="00E30421" w:rsidRDefault="00926004" w:rsidP="00926004">
                            <w:pPr>
                              <w:spacing w:after="120"/>
                              <w:jc w:val="center"/>
                              <w:rPr>
                                <w:rFonts w:cstheme="minorHAnsi"/>
                                <w:color w:val="000000" w:themeColor="text1"/>
                              </w:rPr>
                            </w:pPr>
                            <w:r w:rsidRPr="00E30421">
                              <w:rPr>
                                <w:b/>
                                <w:bCs/>
                                <w:color w:val="6A7F0F"/>
                              </w:rPr>
                              <w:t>for Coordinated Care Organization Members</w:t>
                            </w:r>
                          </w:p>
                          <w:p w14:paraId="36C949F0" w14:textId="77777777" w:rsidR="00926004" w:rsidRPr="00926004" w:rsidRDefault="00926004" w:rsidP="00926004">
                            <w:pPr>
                              <w:rPr>
                                <w:rFonts w:eastAsia="Calibri" w:cstheme="minorHAnsi"/>
                                <w:sz w:val="22"/>
                                <w:szCs w:val="22"/>
                              </w:rPr>
                            </w:pPr>
                            <w:r w:rsidRPr="007D38C5">
                              <w:rPr>
                                <w:rFonts w:cstheme="minorHAnsi"/>
                                <w:color w:val="000000" w:themeColor="text1"/>
                                <w:sz w:val="22"/>
                                <w:szCs w:val="22"/>
                              </w:rPr>
                              <w:t xml:space="preserve">CCBHCs’ activities result in cost savings in some service areas but </w:t>
                            </w:r>
                            <w:r w:rsidRPr="007D38C5">
                              <w:rPr>
                                <w:rFonts w:cstheme="minorHAnsi"/>
                                <w:bCs/>
                                <w:color w:val="000000" w:themeColor="text1"/>
                                <w:sz w:val="22"/>
                                <w:szCs w:val="22"/>
                              </w:rPr>
                              <w:t>do not</w:t>
                            </w:r>
                            <w:r w:rsidRPr="007D38C5">
                              <w:rPr>
                                <w:rFonts w:cstheme="minorHAnsi"/>
                                <w:color w:val="000000" w:themeColor="text1"/>
                                <w:sz w:val="22"/>
                                <w:szCs w:val="22"/>
                              </w:rPr>
                              <w:t xml:space="preserve"> </w:t>
                            </w:r>
                            <w:r w:rsidRPr="007D38C5">
                              <w:rPr>
                                <w:rFonts w:cstheme="minorHAnsi"/>
                                <w:bCs/>
                                <w:color w:val="000000" w:themeColor="text1"/>
                                <w:sz w:val="22"/>
                                <w:szCs w:val="22"/>
                              </w:rPr>
                              <w:t xml:space="preserve">reduce the cost of care for CCO members </w:t>
                            </w:r>
                            <w:r w:rsidRPr="007D38C5">
                              <w:rPr>
                                <w:rFonts w:cstheme="minorHAnsi"/>
                                <w:color w:val="000000" w:themeColor="text1"/>
                                <w:sz w:val="22"/>
                                <w:szCs w:val="22"/>
                              </w:rPr>
                              <w:t>or other service users.</w:t>
                            </w:r>
                            <w:r w:rsidRPr="007D38C5">
                              <w:rPr>
                                <w:rFonts w:eastAsia="Calibri" w:cstheme="minorHAnsi"/>
                                <w:sz w:val="22"/>
                                <w:szCs w:val="22"/>
                              </w:rPr>
                              <w:t xml:space="preserve"> </w:t>
                            </w:r>
                            <w:r w:rsidRPr="007D38C5">
                              <w:rPr>
                                <w:rFonts w:cstheme="minorHAnsi"/>
                                <w:color w:val="000000" w:themeColor="text1"/>
                                <w:sz w:val="22"/>
                                <w:szCs w:val="22"/>
                              </w:rPr>
                              <w:t xml:space="preserve">The CCBHCs were able to accomplish transformations in the services provided and utilized, but these did not translate into overall savings for the CCOs (results </w:t>
                            </w:r>
                            <w:r w:rsidRPr="00926004">
                              <w:rPr>
                                <w:rFonts w:cstheme="minorHAnsi"/>
                                <w:color w:val="000000" w:themeColor="text1"/>
                                <w:sz w:val="22"/>
                                <w:szCs w:val="22"/>
                              </w:rPr>
                              <w:t>apply across all services users; there were no different outcomes by payor).</w:t>
                            </w:r>
                            <w:r w:rsidRPr="00926004">
                              <w:rPr>
                                <w:rFonts w:eastAsia="Calibri" w:cstheme="minorHAnsi"/>
                                <w:sz w:val="22"/>
                                <w:szCs w:val="22"/>
                              </w:rPr>
                              <w:t xml:space="preserve"> Given the historic underinvestment in behavioral health in Oregon, costs may increase as CCBHCs engage more service users in treatment.</w:t>
                            </w:r>
                          </w:p>
                          <w:p w14:paraId="6326592C" w14:textId="77777777" w:rsidR="00926004" w:rsidRPr="00926004" w:rsidRDefault="00926004" w:rsidP="00926004">
                            <w:pPr>
                              <w:rPr>
                                <w:rFonts w:ascii="Calibri" w:eastAsia="Calibri" w:hAnsi="Calibri" w:cs="Calibri"/>
                                <w:sz w:val="22"/>
                                <w:szCs w:val="22"/>
                              </w:rPr>
                            </w:pPr>
                          </w:p>
                          <w:p w14:paraId="5137D6C8" w14:textId="77777777" w:rsidR="00926004" w:rsidRPr="00926004" w:rsidRDefault="00926004" w:rsidP="00926004">
                            <w:pPr>
                              <w:rPr>
                                <w:rFonts w:cstheme="minorHAnsi"/>
                                <w:color w:val="000000" w:themeColor="text1"/>
                                <w:sz w:val="22"/>
                                <w:szCs w:val="22"/>
                              </w:rPr>
                            </w:pPr>
                            <w:r w:rsidRPr="00926004">
                              <w:rPr>
                                <w:rFonts w:ascii="Calibri" w:eastAsia="Calibri" w:hAnsi="Calibri" w:cs="Calibri"/>
                                <w:b/>
                                <w:bCs/>
                                <w:color w:val="6A7F0F"/>
                                <w:sz w:val="22"/>
                                <w:szCs w:val="22"/>
                              </w:rPr>
                              <w:t>Recommendation:</w:t>
                            </w:r>
                            <w:r w:rsidRPr="00926004">
                              <w:rPr>
                                <w:rFonts w:ascii="Calibri" w:eastAsia="Calibri" w:hAnsi="Calibri" w:cs="Calibri"/>
                                <w:color w:val="6A7F0F"/>
                                <w:sz w:val="22"/>
                                <w:szCs w:val="22"/>
                              </w:rPr>
                              <w:t xml:space="preserve"> </w:t>
                            </w:r>
                            <w:r w:rsidRPr="00926004">
                              <w:rPr>
                                <w:rFonts w:cstheme="minorHAnsi"/>
                                <w:color w:val="000000" w:themeColor="text1"/>
                                <w:sz w:val="22"/>
                                <w:szCs w:val="22"/>
                              </w:rPr>
                              <w:t>Develop strategies to ensure sustainable CCBHC funding while redirecting the focus of behavioral health from an emphasis on cost savings to provision of equitable, quality care to all Oregonians.</w:t>
                            </w:r>
                          </w:p>
                          <w:p w14:paraId="6637A2C7" w14:textId="2DC0FCB2" w:rsidR="00926004" w:rsidRDefault="00926004" w:rsidP="00926004">
                            <w:pPr>
                              <w:rPr>
                                <w:rFonts w:cstheme="minorHAnsi"/>
                                <w:color w:val="000000" w:themeColor="text1"/>
                                <w:sz w:val="22"/>
                                <w:szCs w:val="22"/>
                              </w:rPr>
                            </w:pPr>
                          </w:p>
                          <w:p w14:paraId="3A0ADC89" w14:textId="77777777" w:rsidR="00E83BF6" w:rsidRDefault="00926004" w:rsidP="00E83BF6">
                            <w:pPr>
                              <w:rPr>
                                <w:rFonts w:ascii="Calibri" w:eastAsia="Calibri" w:hAnsi="Calibri" w:cs="Calibri"/>
                                <w:sz w:val="22"/>
                                <w:szCs w:val="22"/>
                              </w:rPr>
                            </w:pPr>
                            <w:r w:rsidRPr="00926004">
                              <w:rPr>
                                <w:rFonts w:ascii="Calibri" w:eastAsia="Calibri" w:hAnsi="Calibri" w:cs="Calibri"/>
                                <w:sz w:val="22"/>
                                <w:szCs w:val="22"/>
                              </w:rPr>
                              <w:t xml:space="preserve">Interested parties and clinic leaders note that greater coordination and collaboration </w:t>
                            </w:r>
                            <w:r w:rsidRPr="00926004">
                              <w:rPr>
                                <w:rFonts w:cstheme="minorHAnsi"/>
                                <w:color w:val="000000" w:themeColor="text1"/>
                                <w:sz w:val="22"/>
                                <w:szCs w:val="22"/>
                              </w:rPr>
                              <w:t xml:space="preserve">among CCBHCs and </w:t>
                            </w:r>
                            <w:r w:rsidRPr="00926004">
                              <w:rPr>
                                <w:rFonts w:ascii="Calibri" w:eastAsia="Calibri" w:hAnsi="Calibri" w:cs="Calibri"/>
                                <w:sz w:val="22"/>
                                <w:szCs w:val="22"/>
                              </w:rPr>
                              <w:t>CCOs would facilitate care coordination and quality improvement, which may lead to cost savings in the longer term. Some CCBHCs reported having a relatively collaborative relationship with their</w:t>
                            </w:r>
                            <w:r>
                              <w:rPr>
                                <w:rFonts w:ascii="Calibri" w:eastAsia="Calibri" w:hAnsi="Calibri" w:cs="Calibri"/>
                                <w:sz w:val="22"/>
                                <w:szCs w:val="22"/>
                              </w:rPr>
                              <w:t xml:space="preserve"> CCO, while others reported that their local CCO does not share data with them that would be helpful for care coordination or quality improvement. Qualitative data to assess whether CCBHCs reduced costs for CCO members is limited. Interested parties and clinic leaders highlighted that CCBHCs provide services to a broader population than CCO members, </w:t>
                            </w:r>
                            <w:r w:rsidRPr="00A255EE">
                              <w:rPr>
                                <w:rFonts w:cstheme="minorHAnsi"/>
                                <w:color w:val="000000" w:themeColor="text1"/>
                                <w:sz w:val="22"/>
                                <w:szCs w:val="22"/>
                              </w:rPr>
                              <w:t>also serv</w:t>
                            </w:r>
                            <w:r>
                              <w:rPr>
                                <w:rFonts w:cstheme="minorHAnsi"/>
                                <w:color w:val="000000" w:themeColor="text1"/>
                                <w:sz w:val="22"/>
                                <w:szCs w:val="22"/>
                              </w:rPr>
                              <w:t>ing</w:t>
                            </w:r>
                            <w:r w:rsidRPr="00A255EE">
                              <w:rPr>
                                <w:rFonts w:cstheme="minorHAnsi"/>
                                <w:color w:val="000000" w:themeColor="text1"/>
                                <w:sz w:val="22"/>
                                <w:szCs w:val="22"/>
                              </w:rPr>
                              <w:t xml:space="preserve"> privately insured</w:t>
                            </w:r>
                            <w:r w:rsidR="00E83BF6">
                              <w:rPr>
                                <w:rFonts w:cstheme="minorHAnsi"/>
                                <w:color w:val="000000" w:themeColor="text1"/>
                                <w:sz w:val="22"/>
                                <w:szCs w:val="22"/>
                              </w:rPr>
                              <w:t xml:space="preserve"> </w:t>
                            </w:r>
                            <w:r w:rsidR="00E83BF6" w:rsidRPr="00A255EE">
                              <w:rPr>
                                <w:rFonts w:cstheme="minorHAnsi"/>
                                <w:color w:val="000000" w:themeColor="text1"/>
                                <w:sz w:val="22"/>
                                <w:szCs w:val="22"/>
                              </w:rPr>
                              <w:t>and uninsured individuals</w:t>
                            </w:r>
                            <w:r w:rsidR="00E83BF6">
                              <w:rPr>
                                <w:rFonts w:ascii="Calibri" w:eastAsia="Calibri" w:hAnsi="Calibri" w:cs="Calibri"/>
                                <w:sz w:val="22"/>
                                <w:szCs w:val="22"/>
                              </w:rPr>
                              <w:t xml:space="preserve">. In addition, most interested parties and clinic leaders focused on the importance of expanding access, rather than cutting costs. </w:t>
                            </w:r>
                          </w:p>
                          <w:p w14:paraId="4DBB5780" w14:textId="77777777" w:rsidR="00E83BF6" w:rsidRDefault="00E83BF6" w:rsidP="00E83BF6">
                            <w:pPr>
                              <w:rPr>
                                <w:rFonts w:ascii="Calibri" w:eastAsia="Calibri" w:hAnsi="Calibri" w:cs="Calibri"/>
                                <w:sz w:val="22"/>
                                <w:szCs w:val="22"/>
                              </w:rPr>
                            </w:pPr>
                          </w:p>
                          <w:p w14:paraId="27189A46" w14:textId="2FB52934" w:rsidR="00E83BF6" w:rsidRPr="00243199" w:rsidRDefault="00E83BF6" w:rsidP="00E83BF6">
                            <w:pPr>
                              <w:rPr>
                                <w:rFonts w:cstheme="minorHAnsi"/>
                                <w:color w:val="000000" w:themeColor="text1"/>
                                <w:sz w:val="22"/>
                                <w:szCs w:val="22"/>
                              </w:rPr>
                            </w:pPr>
                            <w:r>
                              <w:rPr>
                                <w:rFonts w:ascii="Calibri" w:eastAsia="Calibri" w:hAnsi="Calibri" w:cs="Calibri"/>
                                <w:sz w:val="22"/>
                                <w:szCs w:val="22"/>
                              </w:rPr>
                              <w:t>CCBHCs serve populations with complex health needs</w:t>
                            </w:r>
                            <w:r w:rsidR="009425F9">
                              <w:rPr>
                                <w:rFonts w:ascii="Calibri" w:eastAsia="Calibri" w:hAnsi="Calibri" w:cs="Calibri"/>
                                <w:sz w:val="22"/>
                                <w:szCs w:val="22"/>
                              </w:rPr>
                              <w:t>;</w:t>
                            </w:r>
                            <w:r>
                              <w:rPr>
                                <w:rFonts w:ascii="Calibri" w:eastAsia="Calibri" w:hAnsi="Calibri" w:cs="Calibri"/>
                                <w:sz w:val="22"/>
                                <w:szCs w:val="22"/>
                              </w:rPr>
                              <w:t xml:space="preserve"> it is possible that not enough time has lapsed for cost savings to be realized. </w:t>
                            </w:r>
                            <w:r w:rsidRPr="00A255EE">
                              <w:rPr>
                                <w:rFonts w:cstheme="minorHAnsi"/>
                                <w:color w:val="000000" w:themeColor="text1"/>
                                <w:sz w:val="22"/>
                                <w:szCs w:val="22"/>
                              </w:rPr>
                              <w:t>CCBHCs were directed to expand access to services to a broader population but were not necessarily directed to be more cost efficient.</w:t>
                            </w:r>
                            <w:r>
                              <w:rPr>
                                <w:rFonts w:cstheme="minorHAnsi"/>
                                <w:color w:val="000000" w:themeColor="text1"/>
                                <w:sz w:val="22"/>
                                <w:szCs w:val="22"/>
                              </w:rPr>
                              <w:t xml:space="preserve"> </w:t>
                            </w:r>
                            <w:r w:rsidRPr="00A255EE">
                              <w:rPr>
                                <w:rFonts w:cstheme="minorHAnsi"/>
                                <w:color w:val="000000" w:themeColor="text1"/>
                                <w:sz w:val="22"/>
                                <w:szCs w:val="22"/>
                              </w:rPr>
                              <w:t xml:space="preserve">The PPS payment model has enabled CCBHCs to be more flexible and financially stable in their operations, but there are concerns about whether the PPS rate will be adjusted in the future to reflect increasing operating costs for </w:t>
                            </w:r>
                            <w:r w:rsidRPr="003C405F">
                              <w:rPr>
                                <w:rFonts w:cstheme="minorHAnsi"/>
                                <w:color w:val="000000" w:themeColor="text1"/>
                                <w:sz w:val="22"/>
                                <w:szCs w:val="22"/>
                              </w:rPr>
                              <w:t xml:space="preserve">workforce and other operations. </w:t>
                            </w:r>
                            <w:r>
                              <w:rPr>
                                <w:rFonts w:cstheme="minorHAnsi"/>
                                <w:color w:val="000000" w:themeColor="text1"/>
                                <w:sz w:val="22"/>
                                <w:szCs w:val="22"/>
                              </w:rPr>
                              <w:t xml:space="preserve">Clinic leaders seek to </w:t>
                            </w:r>
                            <w:r w:rsidRPr="003C405F">
                              <w:rPr>
                                <w:rFonts w:cstheme="minorHAnsi"/>
                                <w:sz w:val="22"/>
                                <w:szCs w:val="22"/>
                              </w:rPr>
                              <w:t>maximize the use of the PPS payment model</w:t>
                            </w:r>
                            <w:r>
                              <w:rPr>
                                <w:rFonts w:cstheme="minorHAnsi"/>
                                <w:color w:val="000000" w:themeColor="text1"/>
                                <w:sz w:val="22"/>
                                <w:szCs w:val="22"/>
                              </w:rPr>
                              <w:t xml:space="preserve">. </w:t>
                            </w:r>
                            <w:r w:rsidRPr="003C405F">
                              <w:rPr>
                                <w:rFonts w:cstheme="minorHAnsi"/>
                                <w:color w:val="000000" w:themeColor="text1"/>
                                <w:sz w:val="22"/>
                                <w:szCs w:val="22"/>
                              </w:rPr>
                              <w:t xml:space="preserve">CCBHC program staff indicated in January 2023 that a process for </w:t>
                            </w:r>
                            <w:r w:rsidRPr="003C405F">
                              <w:rPr>
                                <w:rFonts w:cstheme="minorHAnsi"/>
                                <w:sz w:val="22"/>
                                <w:szCs w:val="22"/>
                              </w:rPr>
                              <w:t xml:space="preserve">OHA rebasing the clinic PPS rates has been initiated and is intended to be completed by June 2023; the </w:t>
                            </w:r>
                            <w:r w:rsidRPr="00995C96">
                              <w:rPr>
                                <w:rFonts w:cstheme="minorHAnsi"/>
                                <w:sz w:val="22"/>
                                <w:szCs w:val="22"/>
                              </w:rPr>
                              <w:t xml:space="preserve">intention is </w:t>
                            </w:r>
                            <w:r w:rsidRPr="00243199">
                              <w:rPr>
                                <w:rFonts w:cstheme="minorHAnsi"/>
                                <w:sz w:val="22"/>
                                <w:szCs w:val="22"/>
                              </w:rPr>
                              <w:t>this will bring clinics’ rates closer to the actual costs and also enhance OHA’s understanding of actual costs.</w:t>
                            </w:r>
                          </w:p>
                          <w:p w14:paraId="75E341EC" w14:textId="77777777" w:rsidR="00E83BF6" w:rsidRPr="00243199" w:rsidRDefault="00E83BF6" w:rsidP="00E83BF6">
                            <w:pPr>
                              <w:rPr>
                                <w:rFonts w:cstheme="minorHAnsi"/>
                                <w:sz w:val="22"/>
                                <w:szCs w:val="22"/>
                              </w:rPr>
                            </w:pPr>
                          </w:p>
                          <w:p w14:paraId="2A64FA6A" w14:textId="77777777" w:rsidR="00E83BF6" w:rsidRDefault="00E83BF6" w:rsidP="00E83BF6">
                            <w:r w:rsidRPr="00243199">
                              <w:rPr>
                                <w:rFonts w:cstheme="minorHAnsi"/>
                                <w:b/>
                                <w:bCs/>
                                <w:color w:val="6A7F0F"/>
                                <w:sz w:val="22"/>
                                <w:szCs w:val="22"/>
                              </w:rPr>
                              <w:t>Recommendation:</w:t>
                            </w:r>
                            <w:r w:rsidRPr="00243199">
                              <w:rPr>
                                <w:rFonts w:cstheme="minorHAnsi"/>
                                <w:color w:val="6A7F0F"/>
                                <w:sz w:val="22"/>
                                <w:szCs w:val="22"/>
                              </w:rPr>
                              <w:t xml:space="preserve"> </w:t>
                            </w:r>
                            <w:r w:rsidRPr="00243199">
                              <w:rPr>
                                <w:rFonts w:eastAsia="Calibri" w:cstheme="minorHAnsi"/>
                                <w:sz w:val="22"/>
                                <w:szCs w:val="22"/>
                              </w:rPr>
                              <w:t>Streamline CCBHC reporting requirements to reduce administrative burden</w:t>
                            </w:r>
                            <w:r>
                              <w:rPr>
                                <w:rFonts w:eastAsia="Calibri" w:cstheme="minorHAnsi"/>
                                <w:sz w:val="22"/>
                                <w:szCs w:val="22"/>
                              </w:rPr>
                              <w:t xml:space="preserve"> wherever possible and enhance the utility and relevance to clinics of metrics and data collected.</w:t>
                            </w:r>
                          </w:p>
                          <w:p w14:paraId="3D2BDBFD" w14:textId="7EE77BC3" w:rsidR="00926004" w:rsidRDefault="00926004" w:rsidP="00926004">
                            <w:r w:rsidRPr="00A255EE">
                              <w:rPr>
                                <w:rFonts w:cstheme="minorHAnsi"/>
                                <w:color w:val="000000" w:themeColor="text1"/>
                                <w:sz w:val="22"/>
                                <w:szCs w:val="22"/>
                              </w:rPr>
                              <w:t xml:space="preserve"> </w:t>
                            </w:r>
                          </w:p>
                          <w:p w14:paraId="5FAAF953" w14:textId="77777777" w:rsidR="00926004" w:rsidRPr="00926004" w:rsidRDefault="00926004" w:rsidP="00926004">
                            <w:pPr>
                              <w:rPr>
                                <w:rFonts w:cstheme="minorHAnsi"/>
                                <w:color w:val="000000" w:themeColor="text1"/>
                                <w:sz w:val="22"/>
                                <w:szCs w:val="22"/>
                              </w:rPr>
                            </w:pPr>
                          </w:p>
                          <w:p w14:paraId="6AB8ABA3" w14:textId="77777777" w:rsidR="00926004" w:rsidRDefault="00926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31ED" id="Text Box 19" o:spid="_x0000_s1035" type="#_x0000_t202" style="position:absolute;margin-left:-.15pt;margin-top:.6pt;width:469.35pt;height:49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XMTQIAAK0EAAAOAAAAZHJzL2Uyb0RvYy54bWysVG1v2jAQ/j5p/8Hy95FAgZaIUDEqpkms&#10;rUSnfjaOQyLZPs82JOzX7+zw1m7SpGlfnDvf+V6eey7T+1ZJshfW1aBz2u+llAjNoaj1NqffX5af&#10;7ihxnumCSdAipwfh6P3s44dpYzIxgApkISzBINpljclp5b3JksTxSijmemCERmMJVjGPqt0mhWUN&#10;RlcyGaTpOGnAFsYCF87h7UNnpLMYvywF909l6YQnMqdYm4+njecmnMlsyrKtZaaq+bEM9g9VKFZr&#10;THoO9cA8Iztb/xZK1dyCg9L3OKgEyrLmIvaA3fTTd92sK2ZE7AXBceYMk/t/Yfnjfm2eLfHtZ2hx&#10;gAGQxrjM4WXopy2tCl+slKAdITycYROtJxwvR5NxejscUcLRNh7cjCdpBDa5PDfW+S8CFAlCTi3O&#10;JcLF9ivnMSW6nlxCNgeyLpa1lFEJXBALacme4RSlj0XiizdeUpMmpzd3fcz9txCMc6H9OPrJnfoG&#10;RRf6dpSeK48MDFljcVepMLHUeHlBKUi+3bSkLnI6OSG4geKAwFroOOcMX9bY/Io5/8wskgyxxMXx&#10;T3iUErB4OEqUVGB//uk++OPs0UpJg6TNqfuxY1ZQIr9qZMWkPxwGlkdlOLodoGKvLZtri96pBSCi&#10;fVxRw6MY/L08iaUF9Yr7NQ9Z0cQ0x9w59Sdx4btVwv3kYj6PTshrw/xKrw0PocMswmhf2ldmzXH+&#10;HqnzCCd6s+wdDTrf8FLDfOehrCNHAs4dqkf4cSfidI77G5buWo9el7/M7BcAAAD//wMAUEsDBBQA&#10;BgAIAAAAIQDcSbqR3wAAAAwBAAAPAAAAZHJzL2Rvd25yZXYueG1sTE9LT8MwDL4j8R8iI3HbUtYB&#10;pWs6IcquTBuTxjFpQltonKrJ+vj3mBNcLNuf/T2y7WRbNpjeNw4F3C0jYAZLpxusBJzed4sEmA8S&#10;tWwdGgGz8bDNr68ymWo34sEMx1AxIkGfSgF1CF3KuS9rY6Vfus4gYZ+utzLQ2Fdc93IkctvyVRQ9&#10;cCsbJIVadualNuX38WKJ5W1ffA3n1/l+/DgUSrVqNyePQtzeTMWGyvMGWDBT+PuA3wzkH3IyptwF&#10;tWetgEVMh7ReASP0KU7WwBQ1SbwGnmf8f4j8BwAA//8DAFBLAQItABQABgAIAAAAIQC2gziS/gAA&#10;AOEBAAATAAAAAAAAAAAAAAAAAAAAAABbQ29udGVudF9UeXBlc10ueG1sUEsBAi0AFAAGAAgAAAAh&#10;ADj9If/WAAAAlAEAAAsAAAAAAAAAAAAAAAAALwEAAF9yZWxzLy5yZWxzUEsBAi0AFAAGAAgAAAAh&#10;ADkX1cxNAgAArQQAAA4AAAAAAAAAAAAAAAAALgIAAGRycy9lMm9Eb2MueG1sUEsBAi0AFAAGAAgA&#10;AAAhANxJupHfAAAADAEAAA8AAAAAAAAAAAAAAAAApwQAAGRycy9kb3ducmV2LnhtbFBLBQYAAAAA&#10;BAAEAPMAAACzBQAAAAA=&#10;" fillcolor="white [3201]" strokecolor="#538135 [2409]" strokeweight="3pt">
                <v:textbox>
                  <w:txbxContent>
                    <w:p w14:paraId="5A33F88C" w14:textId="77777777" w:rsidR="00926004" w:rsidRDefault="00926004" w:rsidP="00926004">
                      <w:pPr>
                        <w:jc w:val="center"/>
                        <w:rPr>
                          <w:b/>
                          <w:bCs/>
                          <w:color w:val="6A7F0F"/>
                        </w:rPr>
                      </w:pPr>
                      <w:r>
                        <w:rPr>
                          <w:b/>
                          <w:bCs/>
                          <w:color w:val="6A7F0F"/>
                        </w:rPr>
                        <w:t xml:space="preserve">Summary and Recommendations: </w:t>
                      </w:r>
                      <w:r w:rsidRPr="00E30421">
                        <w:rPr>
                          <w:b/>
                          <w:bCs/>
                          <w:color w:val="6A7F0F"/>
                        </w:rPr>
                        <w:t xml:space="preserve">Reduce the Cost of Care </w:t>
                      </w:r>
                    </w:p>
                    <w:p w14:paraId="16D2F9E3" w14:textId="77777777" w:rsidR="00926004" w:rsidRPr="00E30421" w:rsidRDefault="00926004" w:rsidP="00926004">
                      <w:pPr>
                        <w:spacing w:after="120"/>
                        <w:jc w:val="center"/>
                        <w:rPr>
                          <w:rFonts w:cstheme="minorHAnsi"/>
                          <w:color w:val="000000" w:themeColor="text1"/>
                        </w:rPr>
                      </w:pPr>
                      <w:r w:rsidRPr="00E30421">
                        <w:rPr>
                          <w:b/>
                          <w:bCs/>
                          <w:color w:val="6A7F0F"/>
                        </w:rPr>
                        <w:t>for Coordinated Care Organization Members</w:t>
                      </w:r>
                    </w:p>
                    <w:p w14:paraId="36C949F0" w14:textId="77777777" w:rsidR="00926004" w:rsidRPr="00926004" w:rsidRDefault="00926004" w:rsidP="00926004">
                      <w:pPr>
                        <w:rPr>
                          <w:rFonts w:eastAsia="Calibri" w:cstheme="minorHAnsi"/>
                          <w:sz w:val="22"/>
                          <w:szCs w:val="22"/>
                        </w:rPr>
                      </w:pPr>
                      <w:r w:rsidRPr="007D38C5">
                        <w:rPr>
                          <w:rFonts w:cstheme="minorHAnsi"/>
                          <w:color w:val="000000" w:themeColor="text1"/>
                          <w:sz w:val="22"/>
                          <w:szCs w:val="22"/>
                        </w:rPr>
                        <w:t xml:space="preserve">CCBHCs’ activities result in cost savings in some service areas but </w:t>
                      </w:r>
                      <w:r w:rsidRPr="007D38C5">
                        <w:rPr>
                          <w:rFonts w:cstheme="minorHAnsi"/>
                          <w:bCs/>
                          <w:color w:val="000000" w:themeColor="text1"/>
                          <w:sz w:val="22"/>
                          <w:szCs w:val="22"/>
                        </w:rPr>
                        <w:t>do not</w:t>
                      </w:r>
                      <w:r w:rsidRPr="007D38C5">
                        <w:rPr>
                          <w:rFonts w:cstheme="minorHAnsi"/>
                          <w:color w:val="000000" w:themeColor="text1"/>
                          <w:sz w:val="22"/>
                          <w:szCs w:val="22"/>
                        </w:rPr>
                        <w:t xml:space="preserve"> </w:t>
                      </w:r>
                      <w:r w:rsidRPr="007D38C5">
                        <w:rPr>
                          <w:rFonts w:cstheme="minorHAnsi"/>
                          <w:bCs/>
                          <w:color w:val="000000" w:themeColor="text1"/>
                          <w:sz w:val="22"/>
                          <w:szCs w:val="22"/>
                        </w:rPr>
                        <w:t xml:space="preserve">reduce the cost of care for CCO members </w:t>
                      </w:r>
                      <w:r w:rsidRPr="007D38C5">
                        <w:rPr>
                          <w:rFonts w:cstheme="minorHAnsi"/>
                          <w:color w:val="000000" w:themeColor="text1"/>
                          <w:sz w:val="22"/>
                          <w:szCs w:val="22"/>
                        </w:rPr>
                        <w:t>or other service users.</w:t>
                      </w:r>
                      <w:r w:rsidRPr="007D38C5">
                        <w:rPr>
                          <w:rFonts w:eastAsia="Calibri" w:cstheme="minorHAnsi"/>
                          <w:sz w:val="22"/>
                          <w:szCs w:val="22"/>
                        </w:rPr>
                        <w:t xml:space="preserve"> </w:t>
                      </w:r>
                      <w:r w:rsidRPr="007D38C5">
                        <w:rPr>
                          <w:rFonts w:cstheme="minorHAnsi"/>
                          <w:color w:val="000000" w:themeColor="text1"/>
                          <w:sz w:val="22"/>
                          <w:szCs w:val="22"/>
                        </w:rPr>
                        <w:t xml:space="preserve">The CCBHCs were able to accomplish transformations in the services provided and utilized, but these did not translate into overall savings for the CCOs (results </w:t>
                      </w:r>
                      <w:r w:rsidRPr="00926004">
                        <w:rPr>
                          <w:rFonts w:cstheme="minorHAnsi"/>
                          <w:color w:val="000000" w:themeColor="text1"/>
                          <w:sz w:val="22"/>
                          <w:szCs w:val="22"/>
                        </w:rPr>
                        <w:t>apply across all services users; there were no different outcomes by payor).</w:t>
                      </w:r>
                      <w:r w:rsidRPr="00926004">
                        <w:rPr>
                          <w:rFonts w:eastAsia="Calibri" w:cstheme="minorHAnsi"/>
                          <w:sz w:val="22"/>
                          <w:szCs w:val="22"/>
                        </w:rPr>
                        <w:t xml:space="preserve"> Given the historic underinvestment in behavioral health in Oregon, costs may increase as CCBHCs engage more service users in treatment.</w:t>
                      </w:r>
                    </w:p>
                    <w:p w14:paraId="6326592C" w14:textId="77777777" w:rsidR="00926004" w:rsidRPr="00926004" w:rsidRDefault="00926004" w:rsidP="00926004">
                      <w:pPr>
                        <w:rPr>
                          <w:rFonts w:ascii="Calibri" w:eastAsia="Calibri" w:hAnsi="Calibri" w:cs="Calibri"/>
                          <w:sz w:val="22"/>
                          <w:szCs w:val="22"/>
                        </w:rPr>
                      </w:pPr>
                    </w:p>
                    <w:p w14:paraId="5137D6C8" w14:textId="77777777" w:rsidR="00926004" w:rsidRPr="00926004" w:rsidRDefault="00926004" w:rsidP="00926004">
                      <w:pPr>
                        <w:rPr>
                          <w:rFonts w:cstheme="minorHAnsi"/>
                          <w:color w:val="000000" w:themeColor="text1"/>
                          <w:sz w:val="22"/>
                          <w:szCs w:val="22"/>
                        </w:rPr>
                      </w:pPr>
                      <w:r w:rsidRPr="00926004">
                        <w:rPr>
                          <w:rFonts w:ascii="Calibri" w:eastAsia="Calibri" w:hAnsi="Calibri" w:cs="Calibri"/>
                          <w:b/>
                          <w:bCs/>
                          <w:color w:val="6A7F0F"/>
                          <w:sz w:val="22"/>
                          <w:szCs w:val="22"/>
                        </w:rPr>
                        <w:t>Recommendation:</w:t>
                      </w:r>
                      <w:r w:rsidRPr="00926004">
                        <w:rPr>
                          <w:rFonts w:ascii="Calibri" w:eastAsia="Calibri" w:hAnsi="Calibri" w:cs="Calibri"/>
                          <w:color w:val="6A7F0F"/>
                          <w:sz w:val="22"/>
                          <w:szCs w:val="22"/>
                        </w:rPr>
                        <w:t xml:space="preserve"> </w:t>
                      </w:r>
                      <w:r w:rsidRPr="00926004">
                        <w:rPr>
                          <w:rFonts w:cstheme="minorHAnsi"/>
                          <w:color w:val="000000" w:themeColor="text1"/>
                          <w:sz w:val="22"/>
                          <w:szCs w:val="22"/>
                        </w:rPr>
                        <w:t>Develop strategies to ensure sustainable CCBHC funding while redirecting the focus of behavioral health from an emphasis on cost savings to provision of equitable, quality care to all Oregonians.</w:t>
                      </w:r>
                    </w:p>
                    <w:p w14:paraId="6637A2C7" w14:textId="2DC0FCB2" w:rsidR="00926004" w:rsidRDefault="00926004" w:rsidP="00926004">
                      <w:pPr>
                        <w:rPr>
                          <w:rFonts w:cstheme="minorHAnsi"/>
                          <w:color w:val="000000" w:themeColor="text1"/>
                          <w:sz w:val="22"/>
                          <w:szCs w:val="22"/>
                        </w:rPr>
                      </w:pPr>
                    </w:p>
                    <w:p w14:paraId="3A0ADC89" w14:textId="77777777" w:rsidR="00E83BF6" w:rsidRDefault="00926004" w:rsidP="00E83BF6">
                      <w:pPr>
                        <w:rPr>
                          <w:rFonts w:ascii="Calibri" w:eastAsia="Calibri" w:hAnsi="Calibri" w:cs="Calibri"/>
                          <w:sz w:val="22"/>
                          <w:szCs w:val="22"/>
                        </w:rPr>
                      </w:pPr>
                      <w:r w:rsidRPr="00926004">
                        <w:rPr>
                          <w:rFonts w:ascii="Calibri" w:eastAsia="Calibri" w:hAnsi="Calibri" w:cs="Calibri"/>
                          <w:sz w:val="22"/>
                          <w:szCs w:val="22"/>
                        </w:rPr>
                        <w:t xml:space="preserve">Interested parties and clinic leaders note that greater coordination and collaboration </w:t>
                      </w:r>
                      <w:r w:rsidRPr="00926004">
                        <w:rPr>
                          <w:rFonts w:cstheme="minorHAnsi"/>
                          <w:color w:val="000000" w:themeColor="text1"/>
                          <w:sz w:val="22"/>
                          <w:szCs w:val="22"/>
                        </w:rPr>
                        <w:t xml:space="preserve">among CCBHCs and </w:t>
                      </w:r>
                      <w:r w:rsidRPr="00926004">
                        <w:rPr>
                          <w:rFonts w:ascii="Calibri" w:eastAsia="Calibri" w:hAnsi="Calibri" w:cs="Calibri"/>
                          <w:sz w:val="22"/>
                          <w:szCs w:val="22"/>
                        </w:rPr>
                        <w:t>CCOs would facilitate care coordination and quality improvement, which may lead to cost savings in the longer term. Some CCBHCs reported having a relatively collaborative relationship with their</w:t>
                      </w:r>
                      <w:r>
                        <w:rPr>
                          <w:rFonts w:ascii="Calibri" w:eastAsia="Calibri" w:hAnsi="Calibri" w:cs="Calibri"/>
                          <w:sz w:val="22"/>
                          <w:szCs w:val="22"/>
                        </w:rPr>
                        <w:t xml:space="preserve"> CCO, while others reported that their local CCO does not share data with them that would be helpful for care coordination or quality improvement. Qualitative data to assess whether CCBHCs reduced costs for CCO members is limited. Interested parties and clinic leaders highlighted that CCBHCs provide services to a broader population than CCO members, </w:t>
                      </w:r>
                      <w:r w:rsidRPr="00A255EE">
                        <w:rPr>
                          <w:rFonts w:cstheme="minorHAnsi"/>
                          <w:color w:val="000000" w:themeColor="text1"/>
                          <w:sz w:val="22"/>
                          <w:szCs w:val="22"/>
                        </w:rPr>
                        <w:t>also serv</w:t>
                      </w:r>
                      <w:r>
                        <w:rPr>
                          <w:rFonts w:cstheme="minorHAnsi"/>
                          <w:color w:val="000000" w:themeColor="text1"/>
                          <w:sz w:val="22"/>
                          <w:szCs w:val="22"/>
                        </w:rPr>
                        <w:t>ing</w:t>
                      </w:r>
                      <w:r w:rsidRPr="00A255EE">
                        <w:rPr>
                          <w:rFonts w:cstheme="minorHAnsi"/>
                          <w:color w:val="000000" w:themeColor="text1"/>
                          <w:sz w:val="22"/>
                          <w:szCs w:val="22"/>
                        </w:rPr>
                        <w:t xml:space="preserve"> privately insured</w:t>
                      </w:r>
                      <w:r w:rsidR="00E83BF6">
                        <w:rPr>
                          <w:rFonts w:cstheme="minorHAnsi"/>
                          <w:color w:val="000000" w:themeColor="text1"/>
                          <w:sz w:val="22"/>
                          <w:szCs w:val="22"/>
                        </w:rPr>
                        <w:t xml:space="preserve"> </w:t>
                      </w:r>
                      <w:r w:rsidR="00E83BF6" w:rsidRPr="00A255EE">
                        <w:rPr>
                          <w:rFonts w:cstheme="minorHAnsi"/>
                          <w:color w:val="000000" w:themeColor="text1"/>
                          <w:sz w:val="22"/>
                          <w:szCs w:val="22"/>
                        </w:rPr>
                        <w:t>and uninsured individuals</w:t>
                      </w:r>
                      <w:r w:rsidR="00E83BF6">
                        <w:rPr>
                          <w:rFonts w:ascii="Calibri" w:eastAsia="Calibri" w:hAnsi="Calibri" w:cs="Calibri"/>
                          <w:sz w:val="22"/>
                          <w:szCs w:val="22"/>
                        </w:rPr>
                        <w:t xml:space="preserve">. In addition, most interested parties and clinic leaders focused on the importance of expanding access, rather than cutting costs. </w:t>
                      </w:r>
                    </w:p>
                    <w:p w14:paraId="4DBB5780" w14:textId="77777777" w:rsidR="00E83BF6" w:rsidRDefault="00E83BF6" w:rsidP="00E83BF6">
                      <w:pPr>
                        <w:rPr>
                          <w:rFonts w:ascii="Calibri" w:eastAsia="Calibri" w:hAnsi="Calibri" w:cs="Calibri"/>
                          <w:sz w:val="22"/>
                          <w:szCs w:val="22"/>
                        </w:rPr>
                      </w:pPr>
                    </w:p>
                    <w:p w14:paraId="27189A46" w14:textId="2FB52934" w:rsidR="00E83BF6" w:rsidRPr="00243199" w:rsidRDefault="00E83BF6" w:rsidP="00E83BF6">
                      <w:pPr>
                        <w:rPr>
                          <w:rFonts w:cstheme="minorHAnsi"/>
                          <w:color w:val="000000" w:themeColor="text1"/>
                          <w:sz w:val="22"/>
                          <w:szCs w:val="22"/>
                        </w:rPr>
                      </w:pPr>
                      <w:r>
                        <w:rPr>
                          <w:rFonts w:ascii="Calibri" w:eastAsia="Calibri" w:hAnsi="Calibri" w:cs="Calibri"/>
                          <w:sz w:val="22"/>
                          <w:szCs w:val="22"/>
                        </w:rPr>
                        <w:t>CCBHCs serve populations with complex health needs</w:t>
                      </w:r>
                      <w:r w:rsidR="009425F9">
                        <w:rPr>
                          <w:rFonts w:ascii="Calibri" w:eastAsia="Calibri" w:hAnsi="Calibri" w:cs="Calibri"/>
                          <w:sz w:val="22"/>
                          <w:szCs w:val="22"/>
                        </w:rPr>
                        <w:t>;</w:t>
                      </w:r>
                      <w:r>
                        <w:rPr>
                          <w:rFonts w:ascii="Calibri" w:eastAsia="Calibri" w:hAnsi="Calibri" w:cs="Calibri"/>
                          <w:sz w:val="22"/>
                          <w:szCs w:val="22"/>
                        </w:rPr>
                        <w:t xml:space="preserve"> it is possible that not enough time has lapsed for cost savings to be realized. </w:t>
                      </w:r>
                      <w:r w:rsidRPr="00A255EE">
                        <w:rPr>
                          <w:rFonts w:cstheme="minorHAnsi"/>
                          <w:color w:val="000000" w:themeColor="text1"/>
                          <w:sz w:val="22"/>
                          <w:szCs w:val="22"/>
                        </w:rPr>
                        <w:t>CCBHCs were directed to expand access to services to a broader population but were not necessarily directed to be more cost efficient.</w:t>
                      </w:r>
                      <w:r>
                        <w:rPr>
                          <w:rFonts w:cstheme="minorHAnsi"/>
                          <w:color w:val="000000" w:themeColor="text1"/>
                          <w:sz w:val="22"/>
                          <w:szCs w:val="22"/>
                        </w:rPr>
                        <w:t xml:space="preserve"> </w:t>
                      </w:r>
                      <w:r w:rsidRPr="00A255EE">
                        <w:rPr>
                          <w:rFonts w:cstheme="minorHAnsi"/>
                          <w:color w:val="000000" w:themeColor="text1"/>
                          <w:sz w:val="22"/>
                          <w:szCs w:val="22"/>
                        </w:rPr>
                        <w:t xml:space="preserve">The PPS payment model has enabled CCBHCs to be more flexible and financially stable in their operations, but there are concerns about whether the PPS rate will be adjusted in the future to reflect increasing operating costs for </w:t>
                      </w:r>
                      <w:r w:rsidRPr="003C405F">
                        <w:rPr>
                          <w:rFonts w:cstheme="minorHAnsi"/>
                          <w:color w:val="000000" w:themeColor="text1"/>
                          <w:sz w:val="22"/>
                          <w:szCs w:val="22"/>
                        </w:rPr>
                        <w:t xml:space="preserve">workforce and other operations. </w:t>
                      </w:r>
                      <w:r>
                        <w:rPr>
                          <w:rFonts w:cstheme="minorHAnsi"/>
                          <w:color w:val="000000" w:themeColor="text1"/>
                          <w:sz w:val="22"/>
                          <w:szCs w:val="22"/>
                        </w:rPr>
                        <w:t xml:space="preserve">Clinic leaders seek to </w:t>
                      </w:r>
                      <w:r w:rsidRPr="003C405F">
                        <w:rPr>
                          <w:rFonts w:cstheme="minorHAnsi"/>
                          <w:sz w:val="22"/>
                          <w:szCs w:val="22"/>
                        </w:rPr>
                        <w:t>maximize the use of the PPS payment model</w:t>
                      </w:r>
                      <w:r>
                        <w:rPr>
                          <w:rFonts w:cstheme="minorHAnsi"/>
                          <w:color w:val="000000" w:themeColor="text1"/>
                          <w:sz w:val="22"/>
                          <w:szCs w:val="22"/>
                        </w:rPr>
                        <w:t xml:space="preserve">. </w:t>
                      </w:r>
                      <w:r w:rsidRPr="003C405F">
                        <w:rPr>
                          <w:rFonts w:cstheme="minorHAnsi"/>
                          <w:color w:val="000000" w:themeColor="text1"/>
                          <w:sz w:val="22"/>
                          <w:szCs w:val="22"/>
                        </w:rPr>
                        <w:t xml:space="preserve">CCBHC program staff indicated in January 2023 that a process for </w:t>
                      </w:r>
                      <w:r w:rsidRPr="003C405F">
                        <w:rPr>
                          <w:rFonts w:cstheme="minorHAnsi"/>
                          <w:sz w:val="22"/>
                          <w:szCs w:val="22"/>
                        </w:rPr>
                        <w:t xml:space="preserve">OHA rebasing the clinic PPS rates has been initiated and is intended to be completed by June 2023; the </w:t>
                      </w:r>
                      <w:r w:rsidRPr="00995C96">
                        <w:rPr>
                          <w:rFonts w:cstheme="minorHAnsi"/>
                          <w:sz w:val="22"/>
                          <w:szCs w:val="22"/>
                        </w:rPr>
                        <w:t xml:space="preserve">intention is </w:t>
                      </w:r>
                      <w:r w:rsidRPr="00243199">
                        <w:rPr>
                          <w:rFonts w:cstheme="minorHAnsi"/>
                          <w:sz w:val="22"/>
                          <w:szCs w:val="22"/>
                        </w:rPr>
                        <w:t xml:space="preserve">this will bring clinics’ rates closer to the actual costs </w:t>
                      </w:r>
                      <w:proofErr w:type="gramStart"/>
                      <w:r w:rsidRPr="00243199">
                        <w:rPr>
                          <w:rFonts w:cstheme="minorHAnsi"/>
                          <w:sz w:val="22"/>
                          <w:szCs w:val="22"/>
                        </w:rPr>
                        <w:t>and also</w:t>
                      </w:r>
                      <w:proofErr w:type="gramEnd"/>
                      <w:r w:rsidRPr="00243199">
                        <w:rPr>
                          <w:rFonts w:cstheme="minorHAnsi"/>
                          <w:sz w:val="22"/>
                          <w:szCs w:val="22"/>
                        </w:rPr>
                        <w:t xml:space="preserve"> enhance OHA’s understanding of actual costs.</w:t>
                      </w:r>
                    </w:p>
                    <w:p w14:paraId="75E341EC" w14:textId="77777777" w:rsidR="00E83BF6" w:rsidRPr="00243199" w:rsidRDefault="00E83BF6" w:rsidP="00E83BF6">
                      <w:pPr>
                        <w:rPr>
                          <w:rFonts w:cstheme="minorHAnsi"/>
                          <w:sz w:val="22"/>
                          <w:szCs w:val="22"/>
                        </w:rPr>
                      </w:pPr>
                    </w:p>
                    <w:p w14:paraId="2A64FA6A" w14:textId="77777777" w:rsidR="00E83BF6" w:rsidRDefault="00E83BF6" w:rsidP="00E83BF6">
                      <w:r w:rsidRPr="00243199">
                        <w:rPr>
                          <w:rFonts w:cstheme="minorHAnsi"/>
                          <w:b/>
                          <w:bCs/>
                          <w:color w:val="6A7F0F"/>
                          <w:sz w:val="22"/>
                          <w:szCs w:val="22"/>
                        </w:rPr>
                        <w:t>Recommendation:</w:t>
                      </w:r>
                      <w:r w:rsidRPr="00243199">
                        <w:rPr>
                          <w:rFonts w:cstheme="minorHAnsi"/>
                          <w:color w:val="6A7F0F"/>
                          <w:sz w:val="22"/>
                          <w:szCs w:val="22"/>
                        </w:rPr>
                        <w:t xml:space="preserve"> </w:t>
                      </w:r>
                      <w:r w:rsidRPr="00243199">
                        <w:rPr>
                          <w:rFonts w:eastAsia="Calibri" w:cstheme="minorHAnsi"/>
                          <w:sz w:val="22"/>
                          <w:szCs w:val="22"/>
                        </w:rPr>
                        <w:t>Streamline CCBHC reporting requirements to reduce administrative burden</w:t>
                      </w:r>
                      <w:r>
                        <w:rPr>
                          <w:rFonts w:eastAsia="Calibri" w:cstheme="minorHAnsi"/>
                          <w:sz w:val="22"/>
                          <w:szCs w:val="22"/>
                        </w:rPr>
                        <w:t xml:space="preserve"> wherever possible and enhance the utility and relevance to clinics of metrics and data collected.</w:t>
                      </w:r>
                    </w:p>
                    <w:p w14:paraId="3D2BDBFD" w14:textId="7EE77BC3" w:rsidR="00926004" w:rsidRDefault="00926004" w:rsidP="00926004">
                      <w:r w:rsidRPr="00A255EE">
                        <w:rPr>
                          <w:rFonts w:cstheme="minorHAnsi"/>
                          <w:color w:val="000000" w:themeColor="text1"/>
                          <w:sz w:val="22"/>
                          <w:szCs w:val="22"/>
                        </w:rPr>
                        <w:t xml:space="preserve"> </w:t>
                      </w:r>
                    </w:p>
                    <w:p w14:paraId="5FAAF953" w14:textId="77777777" w:rsidR="00926004" w:rsidRPr="00926004" w:rsidRDefault="00926004" w:rsidP="00926004">
                      <w:pPr>
                        <w:rPr>
                          <w:rFonts w:cstheme="minorHAnsi"/>
                          <w:color w:val="000000" w:themeColor="text1"/>
                          <w:sz w:val="22"/>
                          <w:szCs w:val="22"/>
                        </w:rPr>
                      </w:pPr>
                    </w:p>
                    <w:p w14:paraId="6AB8ABA3" w14:textId="77777777" w:rsidR="00926004" w:rsidRDefault="00926004"/>
                  </w:txbxContent>
                </v:textbox>
              </v:shape>
            </w:pict>
          </mc:Fallback>
        </mc:AlternateContent>
      </w:r>
    </w:p>
    <w:p w14:paraId="6D7E9520" w14:textId="6175A108" w:rsidR="00C0146C" w:rsidRDefault="00C0146C" w:rsidP="00E03825"/>
    <w:p w14:paraId="78AFAC22" w14:textId="066B9AB4" w:rsidR="00243199" w:rsidRDefault="00243199" w:rsidP="00E03825"/>
    <w:p w14:paraId="691A92BA" w14:textId="3B7BD146" w:rsidR="00243199" w:rsidRDefault="00243199" w:rsidP="00E03825"/>
    <w:p w14:paraId="18182CE5" w14:textId="727F0516" w:rsidR="00243199" w:rsidRDefault="00243199" w:rsidP="00E03825"/>
    <w:p w14:paraId="0DF30A2B" w14:textId="3FD9B9C3" w:rsidR="00243199" w:rsidRDefault="00243199" w:rsidP="00E03825"/>
    <w:p w14:paraId="1EB832C7" w14:textId="1B80B3F8" w:rsidR="00243199" w:rsidRDefault="00243199" w:rsidP="00E03825"/>
    <w:p w14:paraId="3384E2FF" w14:textId="0C05296E" w:rsidR="00243199" w:rsidRDefault="00243199" w:rsidP="00E03825"/>
    <w:p w14:paraId="3D131DCE" w14:textId="216B2E32" w:rsidR="00243199" w:rsidRDefault="00243199" w:rsidP="00E03825"/>
    <w:p w14:paraId="27D7FD25" w14:textId="24174B23" w:rsidR="00243199" w:rsidRDefault="00243199" w:rsidP="00E03825"/>
    <w:p w14:paraId="2CAA3743" w14:textId="1916CC00" w:rsidR="00243199" w:rsidRDefault="00243199" w:rsidP="00E03825"/>
    <w:p w14:paraId="1A9CDA7E" w14:textId="0E76D9FC" w:rsidR="00243199" w:rsidRDefault="00243199" w:rsidP="00E03825"/>
    <w:p w14:paraId="00955398" w14:textId="7BB4A6C9" w:rsidR="00243199" w:rsidRDefault="00243199" w:rsidP="00E03825"/>
    <w:p w14:paraId="5C6F728B" w14:textId="3A8A17BD" w:rsidR="00243199" w:rsidRDefault="00243199" w:rsidP="00E03825"/>
    <w:p w14:paraId="5EBD6DF2" w14:textId="242FD746" w:rsidR="00243199" w:rsidRDefault="00243199" w:rsidP="00E03825"/>
    <w:p w14:paraId="5A6263A8" w14:textId="0B960BF6" w:rsidR="00243199" w:rsidRDefault="00243199" w:rsidP="00E03825"/>
    <w:p w14:paraId="16558D60" w14:textId="77777777" w:rsidR="00243199" w:rsidRDefault="00243199" w:rsidP="00E03825"/>
    <w:p w14:paraId="2BDD5079" w14:textId="01086AFD" w:rsidR="00C0146C" w:rsidRDefault="00C0146C" w:rsidP="00E03825"/>
    <w:p w14:paraId="15ACCFE4" w14:textId="15AB0810" w:rsidR="002D13E0" w:rsidRDefault="002D13E0" w:rsidP="003B1A3F"/>
    <w:p w14:paraId="1E2526F0" w14:textId="77777777" w:rsidR="002D13E0" w:rsidRDefault="002D13E0" w:rsidP="003B1A3F"/>
    <w:p w14:paraId="65417746" w14:textId="2862E00F" w:rsidR="003B1A3F" w:rsidRDefault="003B1A3F" w:rsidP="003B1A3F"/>
    <w:p w14:paraId="080DAF1F" w14:textId="77777777" w:rsidR="003B1A3F" w:rsidRPr="0072001D" w:rsidRDefault="003B1A3F" w:rsidP="003B1A3F"/>
    <w:p w14:paraId="34E2C31B" w14:textId="1DACA783" w:rsidR="002D13E0" w:rsidRPr="003B1A3F" w:rsidRDefault="002D13E0" w:rsidP="003B1A3F">
      <w:pPr>
        <w:rPr>
          <w:rFonts w:cstheme="minorHAnsi"/>
          <w:iCs/>
          <w:sz w:val="22"/>
          <w:szCs w:val="22"/>
        </w:rPr>
      </w:pPr>
    </w:p>
    <w:p w14:paraId="6F69FCF0" w14:textId="77777777" w:rsidR="00E83BF6" w:rsidRDefault="00E83BF6">
      <w:pPr>
        <w:rPr>
          <w:rFonts w:cstheme="minorHAnsi"/>
          <w:b/>
          <w:bCs/>
          <w:color w:val="6A7F0F"/>
        </w:rPr>
      </w:pPr>
    </w:p>
    <w:p w14:paraId="7E2E60EF" w14:textId="77777777" w:rsidR="00E83BF6" w:rsidRDefault="00E83BF6">
      <w:pPr>
        <w:rPr>
          <w:rFonts w:cstheme="minorHAnsi"/>
          <w:b/>
          <w:bCs/>
          <w:color w:val="6A7F0F"/>
        </w:rPr>
      </w:pPr>
    </w:p>
    <w:p w14:paraId="288F5D16" w14:textId="77777777" w:rsidR="00E83BF6" w:rsidRDefault="00E83BF6">
      <w:pPr>
        <w:rPr>
          <w:rFonts w:cstheme="minorHAnsi"/>
          <w:b/>
          <w:bCs/>
          <w:color w:val="6A7F0F"/>
        </w:rPr>
      </w:pPr>
    </w:p>
    <w:p w14:paraId="4463F967" w14:textId="5449A6C3" w:rsidR="00E83BF6" w:rsidRDefault="00E83BF6">
      <w:pPr>
        <w:rPr>
          <w:rFonts w:eastAsiaTheme="majorEastAsia" w:cstheme="minorHAnsi"/>
          <w:b/>
          <w:bCs/>
          <w:color w:val="6A7F0F"/>
          <w:sz w:val="26"/>
          <w:szCs w:val="26"/>
        </w:rPr>
      </w:pPr>
      <w:r>
        <w:rPr>
          <w:rFonts w:cstheme="minorHAnsi"/>
          <w:b/>
          <w:bCs/>
          <w:color w:val="6A7F0F"/>
        </w:rPr>
        <w:br w:type="page"/>
      </w:r>
    </w:p>
    <w:p w14:paraId="17E0A8DD" w14:textId="50628912" w:rsidR="00517657" w:rsidRPr="004247FE" w:rsidRDefault="00BE2198" w:rsidP="006546A9">
      <w:pPr>
        <w:pStyle w:val="Heading2"/>
        <w:spacing w:after="120"/>
        <w:rPr>
          <w:rFonts w:asciiTheme="minorHAnsi" w:hAnsiTheme="minorHAnsi" w:cstheme="minorHAnsi"/>
          <w:b/>
          <w:bCs/>
          <w:color w:val="6A7F0F"/>
        </w:rPr>
      </w:pPr>
      <w:bookmarkStart w:id="45" w:name="_Toc126068185"/>
      <w:r w:rsidRPr="004247FE">
        <w:rPr>
          <w:rFonts w:asciiTheme="minorHAnsi" w:hAnsiTheme="minorHAnsi" w:cstheme="minorHAnsi"/>
          <w:b/>
          <w:bCs/>
          <w:color w:val="6A7F0F"/>
        </w:rPr>
        <w:t>Sustainability and Potential Expansion of the CCBHC Model</w:t>
      </w:r>
      <w:bookmarkEnd w:id="45"/>
    </w:p>
    <w:p w14:paraId="5248B2B6" w14:textId="77777777" w:rsidR="00FF1C55" w:rsidRDefault="00FF1C55" w:rsidP="00FF1C55">
      <w:pPr>
        <w:rPr>
          <w:rFonts w:cstheme="minorHAnsi"/>
          <w:iCs/>
          <w:sz w:val="22"/>
          <w:szCs w:val="22"/>
        </w:rPr>
      </w:pPr>
      <w:r>
        <w:rPr>
          <w:rFonts w:cstheme="minorHAnsi"/>
          <w:iCs/>
          <w:sz w:val="22"/>
          <w:szCs w:val="22"/>
        </w:rPr>
        <w:t>An important theme throughout this evaluation was the future sustainability and potential expansion of the CCBHC model. Key findings and observations relate to funding, workforce, community partnerships, administrative burden, data infrastructure, and needs for technical assistance and training.</w:t>
      </w:r>
    </w:p>
    <w:p w14:paraId="482D830E" w14:textId="77777777" w:rsidR="00C0146C" w:rsidRDefault="00C0146C" w:rsidP="00C0146C">
      <w:pPr>
        <w:rPr>
          <w:rFonts w:eastAsia="Calibri" w:cstheme="minorHAnsi"/>
          <w:bCs/>
          <w:i/>
          <w:iCs/>
          <w:sz w:val="22"/>
          <w:szCs w:val="22"/>
        </w:rPr>
      </w:pPr>
    </w:p>
    <w:p w14:paraId="150990AC" w14:textId="77777777" w:rsidR="00C0146C" w:rsidRPr="00A17C4D" w:rsidRDefault="00C0146C" w:rsidP="00A17C4D">
      <w:pPr>
        <w:spacing w:after="120"/>
        <w:rPr>
          <w:b/>
          <w:bCs/>
          <w:i/>
          <w:iCs/>
          <w:color w:val="6A7F0F"/>
          <w:highlight w:val="white"/>
        </w:rPr>
      </w:pPr>
      <w:r w:rsidRPr="00A17C4D">
        <w:rPr>
          <w:b/>
          <w:bCs/>
          <w:i/>
          <w:iCs/>
          <w:color w:val="6A7F0F"/>
          <w:highlight w:val="white"/>
        </w:rPr>
        <w:t>Ensure Sustainable Funding</w:t>
      </w:r>
    </w:p>
    <w:p w14:paraId="22E1D0AC" w14:textId="77777777" w:rsidR="00FF1C55" w:rsidRPr="001B6A36" w:rsidRDefault="00FF1C55" w:rsidP="00FF1C55">
      <w:pPr>
        <w:rPr>
          <w:rFonts w:eastAsia="Calibri" w:cstheme="minorHAnsi"/>
          <w:sz w:val="22"/>
          <w:szCs w:val="22"/>
        </w:rPr>
      </w:pPr>
      <w:r w:rsidRPr="001B6A36">
        <w:rPr>
          <w:rFonts w:eastAsia="Calibri" w:cstheme="minorHAnsi"/>
          <w:sz w:val="22"/>
          <w:szCs w:val="22"/>
        </w:rPr>
        <w:t>Clinic leaders at every CCBHC site spoke of the importance of adequate</w:t>
      </w:r>
      <w:r>
        <w:rPr>
          <w:rFonts w:eastAsia="Calibri" w:cstheme="minorHAnsi"/>
          <w:sz w:val="22"/>
          <w:szCs w:val="22"/>
        </w:rPr>
        <w:t>, continuous</w:t>
      </w:r>
      <w:r w:rsidRPr="001B6A36">
        <w:rPr>
          <w:rFonts w:eastAsia="Calibri" w:cstheme="minorHAnsi"/>
          <w:sz w:val="22"/>
          <w:szCs w:val="22"/>
        </w:rPr>
        <w:t xml:space="preserve"> funding. The PPS </w:t>
      </w:r>
      <w:r>
        <w:rPr>
          <w:rFonts w:eastAsia="Calibri" w:cstheme="minorHAnsi"/>
          <w:sz w:val="22"/>
          <w:szCs w:val="22"/>
        </w:rPr>
        <w:t xml:space="preserve">payment </w:t>
      </w:r>
      <w:r w:rsidRPr="001B6A36">
        <w:rPr>
          <w:rFonts w:eastAsia="Calibri" w:cstheme="minorHAnsi"/>
          <w:sz w:val="22"/>
          <w:szCs w:val="22"/>
        </w:rPr>
        <w:t>model was the critical element that enabled clinics to expand access to integrated behavioral health</w:t>
      </w:r>
      <w:r>
        <w:rPr>
          <w:rFonts w:eastAsia="Calibri" w:cstheme="minorHAnsi"/>
          <w:sz w:val="22"/>
          <w:szCs w:val="22"/>
        </w:rPr>
        <w:t xml:space="preserve"> services</w:t>
      </w:r>
      <w:r w:rsidRPr="001B6A36">
        <w:rPr>
          <w:rFonts w:eastAsia="Calibri" w:cstheme="minorHAnsi"/>
          <w:sz w:val="22"/>
          <w:szCs w:val="22"/>
        </w:rPr>
        <w:t xml:space="preserve"> to new service users. As one clinic leader explained</w:t>
      </w:r>
      <w:r>
        <w:rPr>
          <w:rFonts w:eastAsia="Calibri" w:cstheme="minorHAnsi"/>
          <w:sz w:val="22"/>
          <w:szCs w:val="22"/>
        </w:rPr>
        <w:t>:</w:t>
      </w:r>
      <w:r w:rsidRPr="001B6A36">
        <w:rPr>
          <w:rFonts w:eastAsia="Calibri" w:cstheme="minorHAnsi"/>
          <w:sz w:val="22"/>
          <w:szCs w:val="22"/>
          <w:highlight w:val="white"/>
        </w:rPr>
        <w:t xml:space="preserve"> “</w:t>
      </w:r>
      <w:r w:rsidRPr="001B6A36">
        <w:rPr>
          <w:rFonts w:eastAsia="Calibri" w:cstheme="minorHAnsi"/>
          <w:i/>
          <w:sz w:val="22"/>
          <w:szCs w:val="22"/>
          <w:highlight w:val="white"/>
        </w:rPr>
        <w:t xml:space="preserve">The </w:t>
      </w:r>
      <w:r>
        <w:rPr>
          <w:rFonts w:eastAsia="Calibri" w:cstheme="minorHAnsi"/>
          <w:i/>
          <w:sz w:val="22"/>
          <w:szCs w:val="22"/>
          <w:highlight w:val="white"/>
        </w:rPr>
        <w:t xml:space="preserve">[PPS] </w:t>
      </w:r>
      <w:r w:rsidRPr="001B6A36">
        <w:rPr>
          <w:rFonts w:eastAsia="Calibri" w:cstheme="minorHAnsi"/>
          <w:i/>
          <w:sz w:val="22"/>
          <w:szCs w:val="22"/>
          <w:highlight w:val="white"/>
        </w:rPr>
        <w:t>payment model is the bottom line. It allows a CCBHC to serve people holistically</w:t>
      </w:r>
      <w:r w:rsidRPr="001B6A36">
        <w:rPr>
          <w:rFonts w:eastAsia="Calibri" w:cstheme="minorHAnsi"/>
          <w:sz w:val="22"/>
          <w:szCs w:val="22"/>
          <w:highlight w:val="white"/>
        </w:rPr>
        <w:t>” (Lead Clinical 12).</w:t>
      </w:r>
      <w:r w:rsidRPr="001B6A36">
        <w:rPr>
          <w:rFonts w:eastAsia="Calibri" w:cstheme="minorHAnsi"/>
          <w:sz w:val="22"/>
          <w:szCs w:val="22"/>
        </w:rPr>
        <w:t xml:space="preserve"> Another </w:t>
      </w:r>
      <w:r>
        <w:rPr>
          <w:rFonts w:eastAsia="Calibri" w:cstheme="minorHAnsi"/>
          <w:sz w:val="22"/>
          <w:szCs w:val="22"/>
        </w:rPr>
        <w:t xml:space="preserve">clinic leader </w:t>
      </w:r>
      <w:r w:rsidRPr="001B6A36">
        <w:rPr>
          <w:rFonts w:eastAsia="Calibri" w:cstheme="minorHAnsi"/>
          <w:sz w:val="22"/>
          <w:szCs w:val="22"/>
        </w:rPr>
        <w:t>stated</w:t>
      </w:r>
      <w:r>
        <w:rPr>
          <w:rFonts w:eastAsia="Calibri" w:cstheme="minorHAnsi"/>
          <w:sz w:val="22"/>
          <w:szCs w:val="22"/>
        </w:rPr>
        <w:t>:</w:t>
      </w:r>
      <w:r w:rsidRPr="001B6A36">
        <w:rPr>
          <w:rFonts w:eastAsia="Calibri" w:cstheme="minorHAnsi"/>
          <w:sz w:val="22"/>
          <w:szCs w:val="22"/>
        </w:rPr>
        <w:t xml:space="preserve"> “</w:t>
      </w:r>
      <w:r w:rsidRPr="008946E3">
        <w:rPr>
          <w:rFonts w:eastAsia="Calibri" w:cstheme="minorHAnsi"/>
          <w:i/>
          <w:iCs/>
          <w:sz w:val="22"/>
          <w:szCs w:val="22"/>
        </w:rPr>
        <w:t>The</w:t>
      </w:r>
      <w:r>
        <w:rPr>
          <w:rFonts w:eastAsia="Calibri" w:cstheme="minorHAnsi"/>
          <w:sz w:val="22"/>
          <w:szCs w:val="22"/>
        </w:rPr>
        <w:t xml:space="preserve"> </w:t>
      </w:r>
      <w:r w:rsidRPr="001B6A36">
        <w:rPr>
          <w:rFonts w:eastAsia="Calibri" w:cstheme="minorHAnsi"/>
          <w:i/>
          <w:sz w:val="22"/>
          <w:szCs w:val="22"/>
          <w:highlight w:val="white"/>
        </w:rPr>
        <w:t xml:space="preserve">PPS </w:t>
      </w:r>
      <w:r>
        <w:rPr>
          <w:rFonts w:eastAsia="Calibri" w:cstheme="minorHAnsi"/>
          <w:i/>
          <w:sz w:val="22"/>
          <w:szCs w:val="22"/>
          <w:highlight w:val="white"/>
        </w:rPr>
        <w:t xml:space="preserve">[payment model] </w:t>
      </w:r>
      <w:r w:rsidRPr="001B6A36">
        <w:rPr>
          <w:rFonts w:eastAsia="Calibri" w:cstheme="minorHAnsi"/>
          <w:i/>
          <w:sz w:val="22"/>
          <w:szCs w:val="22"/>
          <w:highlight w:val="white"/>
        </w:rPr>
        <w:t>is just unbelievably instrumental to the survival of community mental health centers and long overdue because FQHCs have been in this model for a very long time</w:t>
      </w:r>
      <w:r w:rsidRPr="001B6A36">
        <w:rPr>
          <w:rFonts w:eastAsia="Calibri" w:cstheme="minorHAnsi"/>
          <w:sz w:val="22"/>
          <w:szCs w:val="22"/>
          <w:highlight w:val="white"/>
        </w:rPr>
        <w:t xml:space="preserve">” (Lead </w:t>
      </w:r>
      <w:r>
        <w:rPr>
          <w:rFonts w:eastAsia="Calibri" w:cstheme="minorHAnsi"/>
          <w:sz w:val="22"/>
          <w:szCs w:val="22"/>
          <w:highlight w:val="white"/>
        </w:rPr>
        <w:t>Administrator</w:t>
      </w:r>
      <w:r w:rsidRPr="001B6A36">
        <w:rPr>
          <w:rFonts w:eastAsia="Calibri" w:cstheme="minorHAnsi"/>
          <w:sz w:val="22"/>
          <w:szCs w:val="22"/>
          <w:highlight w:val="white"/>
        </w:rPr>
        <w:t xml:space="preserve"> 13). </w:t>
      </w:r>
      <w:r w:rsidRPr="001B6A36">
        <w:rPr>
          <w:rFonts w:eastAsia="Calibri" w:cstheme="minorHAnsi"/>
          <w:sz w:val="22"/>
          <w:szCs w:val="22"/>
        </w:rPr>
        <w:t xml:space="preserve">Without reliable funding that enables clinics to maintain their staff, several clinic leaders suggested it would be nearly impossible to continue to </w:t>
      </w:r>
      <w:r>
        <w:rPr>
          <w:rFonts w:eastAsia="Calibri" w:cstheme="minorHAnsi"/>
          <w:sz w:val="22"/>
          <w:szCs w:val="22"/>
        </w:rPr>
        <w:t>meet the nine criteria</w:t>
      </w:r>
      <w:r w:rsidRPr="001B6A36">
        <w:rPr>
          <w:rFonts w:eastAsia="Calibri" w:cstheme="minorHAnsi"/>
          <w:sz w:val="22"/>
          <w:szCs w:val="22"/>
        </w:rPr>
        <w:t xml:space="preserve"> </w:t>
      </w:r>
      <w:r>
        <w:rPr>
          <w:rFonts w:eastAsia="Calibri" w:cstheme="minorHAnsi"/>
          <w:sz w:val="22"/>
          <w:szCs w:val="22"/>
        </w:rPr>
        <w:t>for</w:t>
      </w:r>
      <w:r w:rsidRPr="001B6A36">
        <w:rPr>
          <w:rFonts w:eastAsia="Calibri" w:cstheme="minorHAnsi"/>
          <w:sz w:val="22"/>
          <w:szCs w:val="22"/>
        </w:rPr>
        <w:t xml:space="preserve"> core CCBHC services. Service users echoed concerns over the importance of sustainab</w:t>
      </w:r>
      <w:r>
        <w:rPr>
          <w:rFonts w:eastAsia="Calibri" w:cstheme="minorHAnsi"/>
          <w:sz w:val="22"/>
          <w:szCs w:val="22"/>
        </w:rPr>
        <w:t>le</w:t>
      </w:r>
      <w:r w:rsidRPr="001B6A36">
        <w:rPr>
          <w:rFonts w:eastAsia="Calibri" w:cstheme="minorHAnsi"/>
          <w:sz w:val="22"/>
          <w:szCs w:val="22"/>
        </w:rPr>
        <w:t xml:space="preserve"> funding in order to support CCBHCs in meeting the</w:t>
      </w:r>
      <w:r>
        <w:rPr>
          <w:rFonts w:eastAsia="Calibri" w:cstheme="minorHAnsi"/>
          <w:sz w:val="22"/>
          <w:szCs w:val="22"/>
        </w:rPr>
        <w:t>ir</w:t>
      </w:r>
      <w:r w:rsidRPr="001B6A36">
        <w:rPr>
          <w:rFonts w:eastAsia="Calibri" w:cstheme="minorHAnsi"/>
          <w:sz w:val="22"/>
          <w:szCs w:val="22"/>
        </w:rPr>
        <w:t xml:space="preserve"> needs in a timely, accessible manner. Some service users indicated awareness of CCBHC funding limitations and their implications for workforce recruitment and retention and </w:t>
      </w:r>
      <w:r>
        <w:rPr>
          <w:rFonts w:eastAsia="Calibri" w:cstheme="minorHAnsi"/>
          <w:sz w:val="22"/>
          <w:szCs w:val="22"/>
        </w:rPr>
        <w:t xml:space="preserve">their </w:t>
      </w:r>
      <w:r w:rsidRPr="001B6A36">
        <w:rPr>
          <w:rFonts w:eastAsia="Calibri" w:cstheme="minorHAnsi"/>
          <w:sz w:val="22"/>
          <w:szCs w:val="22"/>
        </w:rPr>
        <w:t xml:space="preserve">ability to provide reliable </w:t>
      </w:r>
      <w:r>
        <w:rPr>
          <w:rFonts w:eastAsia="Calibri" w:cstheme="minorHAnsi"/>
          <w:sz w:val="22"/>
          <w:szCs w:val="22"/>
        </w:rPr>
        <w:t>services</w:t>
      </w:r>
      <w:r w:rsidRPr="001B6A36">
        <w:rPr>
          <w:rFonts w:eastAsia="Calibri" w:cstheme="minorHAnsi"/>
          <w:sz w:val="22"/>
          <w:szCs w:val="22"/>
        </w:rPr>
        <w:t xml:space="preserve">. </w:t>
      </w:r>
      <w:r>
        <w:rPr>
          <w:rFonts w:eastAsia="Calibri" w:cstheme="minorHAnsi"/>
          <w:sz w:val="22"/>
          <w:szCs w:val="22"/>
        </w:rPr>
        <w:t>O</w:t>
      </w:r>
      <w:r w:rsidRPr="001B6A36">
        <w:rPr>
          <w:rFonts w:eastAsia="Calibri" w:cstheme="minorHAnsi"/>
          <w:sz w:val="22"/>
          <w:szCs w:val="22"/>
        </w:rPr>
        <w:t>ne service user said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 xml:space="preserve">There's just not a lot of funding to go around. If they had more funding to hire more therapists, ten people could see their therapists more because there'd be more therapists for other people to see…more staff to do more things” </w:t>
      </w:r>
      <w:r w:rsidRPr="001B6A36">
        <w:rPr>
          <w:rFonts w:eastAsia="Calibri" w:cstheme="minorHAnsi"/>
          <w:sz w:val="22"/>
          <w:szCs w:val="22"/>
        </w:rPr>
        <w:t>(Service User 21).</w:t>
      </w:r>
    </w:p>
    <w:p w14:paraId="4C0F131A" w14:textId="77777777" w:rsidR="00FF1C55" w:rsidRPr="001B6A36" w:rsidRDefault="00FF1C55" w:rsidP="00FF1C55">
      <w:pPr>
        <w:rPr>
          <w:rFonts w:eastAsia="Calibri" w:cstheme="minorHAnsi"/>
          <w:sz w:val="22"/>
          <w:szCs w:val="22"/>
        </w:rPr>
      </w:pPr>
    </w:p>
    <w:p w14:paraId="795CA442" w14:textId="77777777" w:rsidR="00FF1C55" w:rsidRPr="001B6A36" w:rsidRDefault="00FF1C55" w:rsidP="00FF1C55">
      <w:pPr>
        <w:rPr>
          <w:rFonts w:eastAsia="Calibri" w:cstheme="minorHAnsi"/>
          <w:sz w:val="22"/>
          <w:szCs w:val="22"/>
        </w:rPr>
      </w:pPr>
      <w:r w:rsidRPr="001B6A36">
        <w:rPr>
          <w:rFonts w:eastAsia="Calibri" w:cstheme="minorHAnsi"/>
          <w:sz w:val="22"/>
          <w:szCs w:val="22"/>
        </w:rPr>
        <w:t xml:space="preserve">Clinic leaders </w:t>
      </w:r>
      <w:r>
        <w:rPr>
          <w:rFonts w:eastAsia="Calibri" w:cstheme="minorHAnsi"/>
          <w:sz w:val="22"/>
          <w:szCs w:val="22"/>
        </w:rPr>
        <w:t xml:space="preserve">also </w:t>
      </w:r>
      <w:r w:rsidRPr="001B6A36">
        <w:rPr>
          <w:rFonts w:eastAsia="Calibri" w:cstheme="minorHAnsi"/>
          <w:sz w:val="22"/>
          <w:szCs w:val="22"/>
        </w:rPr>
        <w:t xml:space="preserve">noted the importance of sustainable funding with broad </w:t>
      </w:r>
      <w:r>
        <w:rPr>
          <w:rFonts w:eastAsia="Calibri" w:cstheme="minorHAnsi"/>
          <w:sz w:val="22"/>
          <w:szCs w:val="22"/>
        </w:rPr>
        <w:t xml:space="preserve">bipartisan political </w:t>
      </w:r>
      <w:r w:rsidRPr="001B6A36">
        <w:rPr>
          <w:rFonts w:eastAsia="Calibri" w:cstheme="minorHAnsi"/>
          <w:sz w:val="22"/>
          <w:szCs w:val="22"/>
        </w:rPr>
        <w:t xml:space="preserve">support. Several clinic leaders expressed concerns about the stability of the program and what </w:t>
      </w:r>
      <w:r>
        <w:rPr>
          <w:rFonts w:eastAsia="Calibri" w:cstheme="minorHAnsi"/>
          <w:sz w:val="22"/>
          <w:szCs w:val="22"/>
        </w:rPr>
        <w:t>uncertainties</w:t>
      </w:r>
      <w:r w:rsidRPr="001B6A36">
        <w:rPr>
          <w:rFonts w:eastAsia="Calibri" w:cstheme="minorHAnsi"/>
          <w:sz w:val="22"/>
          <w:szCs w:val="22"/>
        </w:rPr>
        <w:t xml:space="preserve"> would mean for their clinic, given the magnitude of the commitment involved in becoming a CCBHC. </w:t>
      </w:r>
      <w:r>
        <w:rPr>
          <w:rFonts w:eastAsia="Calibri" w:cstheme="minorHAnsi"/>
          <w:sz w:val="22"/>
          <w:szCs w:val="22"/>
        </w:rPr>
        <w:t>One clinic leader said:</w:t>
      </w:r>
      <w:r w:rsidRPr="001B6A36">
        <w:rPr>
          <w:rFonts w:eastAsia="Calibri" w:cstheme="minorHAnsi"/>
          <w:sz w:val="22"/>
          <w:szCs w:val="22"/>
        </w:rPr>
        <w:t xml:space="preserve"> “</w:t>
      </w:r>
      <w:sdt>
        <w:sdtPr>
          <w:rPr>
            <w:rFonts w:cstheme="minorHAnsi"/>
            <w:sz w:val="22"/>
            <w:szCs w:val="22"/>
          </w:rPr>
          <w:tag w:val="goog_rdk_7"/>
          <w:id w:val="-913244926"/>
        </w:sdtPr>
        <w:sdtEndPr/>
        <w:sdtContent/>
      </w:sdt>
      <w:sdt>
        <w:sdtPr>
          <w:rPr>
            <w:rFonts w:cstheme="minorHAnsi"/>
            <w:sz w:val="22"/>
            <w:szCs w:val="22"/>
          </w:rPr>
          <w:tag w:val="goog_rdk_8"/>
          <w:id w:val="-1516530787"/>
        </w:sdtPr>
        <w:sdtEndPr/>
        <w:sdtContent/>
      </w:sdt>
      <w:sdt>
        <w:sdtPr>
          <w:rPr>
            <w:rFonts w:cstheme="minorHAnsi"/>
            <w:sz w:val="22"/>
            <w:szCs w:val="22"/>
          </w:rPr>
          <w:tag w:val="goog_rdk_9"/>
          <w:id w:val="1584644728"/>
        </w:sdtPr>
        <w:sdtEndPr/>
        <w:sdtContent/>
      </w:sdt>
      <w:sdt>
        <w:sdtPr>
          <w:rPr>
            <w:rFonts w:cstheme="minorHAnsi"/>
            <w:sz w:val="22"/>
            <w:szCs w:val="22"/>
          </w:rPr>
          <w:tag w:val="goog_rdk_10"/>
          <w:id w:val="-834297294"/>
        </w:sdtPr>
        <w:sdtEndPr/>
        <w:sdtContent/>
      </w:sdt>
      <w:sdt>
        <w:sdtPr>
          <w:rPr>
            <w:rFonts w:cstheme="minorHAnsi"/>
            <w:sz w:val="22"/>
            <w:szCs w:val="22"/>
          </w:rPr>
          <w:tag w:val="goog_rdk_11"/>
          <w:id w:val="-1035814759"/>
        </w:sdtPr>
        <w:sdtEndPr/>
        <w:sdtContent/>
      </w:sdt>
      <w:r w:rsidRPr="001B6A36">
        <w:rPr>
          <w:rFonts w:eastAsia="Calibri" w:cstheme="minorHAnsi"/>
          <w:i/>
          <w:sz w:val="22"/>
          <w:szCs w:val="22"/>
          <w:highlight w:val="white"/>
        </w:rPr>
        <w:t>It takes so much time and energy to start a program, whether you're hiring, training…if there were some kind of a guarantee that there was going to be some funding throughout, maybe beyond 5 or 10 years, that would create sustainability</w:t>
      </w:r>
      <w:r w:rsidRPr="001B6A36">
        <w:rPr>
          <w:rFonts w:eastAsia="Calibri" w:cstheme="minorHAnsi"/>
          <w:sz w:val="22"/>
          <w:szCs w:val="22"/>
          <w:highlight w:val="white"/>
        </w:rPr>
        <w:t xml:space="preserve">” (Lead Clinical 01). Another clinic leader described experiencing the disruption of their program </w:t>
      </w:r>
      <w:r>
        <w:rPr>
          <w:rFonts w:eastAsia="Calibri" w:cstheme="minorHAnsi"/>
          <w:sz w:val="22"/>
          <w:szCs w:val="22"/>
          <w:highlight w:val="white"/>
        </w:rPr>
        <w:t>implementation</w:t>
      </w:r>
      <w:r w:rsidRPr="001B6A36">
        <w:rPr>
          <w:rFonts w:eastAsia="Calibri" w:cstheme="minorHAnsi"/>
          <w:sz w:val="22"/>
          <w:szCs w:val="22"/>
          <w:highlight w:val="white"/>
        </w:rPr>
        <w:t>:</w:t>
      </w:r>
    </w:p>
    <w:p w14:paraId="61836EB9" w14:textId="77777777" w:rsidR="00C0146C" w:rsidRDefault="00C0146C" w:rsidP="00C0146C">
      <w:pPr>
        <w:ind w:left="720"/>
        <w:rPr>
          <w:rFonts w:eastAsia="Calibri" w:cstheme="minorHAnsi"/>
          <w:i/>
          <w:sz w:val="22"/>
          <w:szCs w:val="22"/>
          <w:highlight w:val="white"/>
        </w:rPr>
      </w:pPr>
    </w:p>
    <w:p w14:paraId="6447FB65" w14:textId="40002B21" w:rsidR="00C0146C" w:rsidRPr="00CE2178" w:rsidRDefault="00C0146C" w:rsidP="00C0146C">
      <w:pPr>
        <w:ind w:left="720"/>
        <w:rPr>
          <w:rFonts w:eastAsia="Calibri" w:cstheme="minorHAnsi"/>
          <w:i/>
          <w:sz w:val="22"/>
          <w:szCs w:val="22"/>
          <w:highlight w:val="white"/>
        </w:rPr>
      </w:pPr>
      <w:r w:rsidRPr="001B6A36">
        <w:rPr>
          <w:rFonts w:eastAsia="Calibri" w:cstheme="minorHAnsi"/>
          <w:i/>
          <w:sz w:val="22"/>
          <w:szCs w:val="22"/>
          <w:highlight w:val="white"/>
        </w:rPr>
        <w:t>We had the initial grant, always knowing that it could go away in three years. And then it did go away after three years. Everything that went in</w:t>
      </w:r>
      <w:r>
        <w:rPr>
          <w:rFonts w:eastAsia="Calibri" w:cstheme="minorHAnsi"/>
          <w:i/>
          <w:sz w:val="22"/>
          <w:szCs w:val="22"/>
          <w:highlight w:val="white"/>
        </w:rPr>
        <w:t xml:space="preserve"> </w:t>
      </w:r>
      <w:r w:rsidRPr="001B6A36">
        <w:rPr>
          <w:rFonts w:eastAsia="Calibri" w:cstheme="minorHAnsi"/>
          <w:i/>
          <w:sz w:val="22"/>
          <w:szCs w:val="22"/>
          <w:highlight w:val="white"/>
        </w:rPr>
        <w:t>to building it up and then having to dismantle it, that was pretty traumatic for everybody…You end up feeling like you're taking a lot of risks, if there's not that certainty or stability</w:t>
      </w:r>
      <w:r w:rsidRPr="001B6A36">
        <w:rPr>
          <w:rFonts w:eastAsia="Calibri" w:cstheme="minorHAnsi"/>
          <w:sz w:val="22"/>
          <w:szCs w:val="22"/>
          <w:highlight w:val="white"/>
        </w:rPr>
        <w:t xml:space="preserve"> (Lead </w:t>
      </w:r>
      <w:r>
        <w:rPr>
          <w:rFonts w:eastAsia="Calibri" w:cstheme="minorHAnsi"/>
          <w:sz w:val="22"/>
          <w:szCs w:val="22"/>
          <w:highlight w:val="white"/>
        </w:rPr>
        <w:t>Administrator</w:t>
      </w:r>
      <w:r w:rsidRPr="001B6A36">
        <w:rPr>
          <w:rFonts w:eastAsia="Calibri" w:cstheme="minorHAnsi"/>
          <w:sz w:val="22"/>
          <w:szCs w:val="22"/>
          <w:highlight w:val="white"/>
        </w:rPr>
        <w:t xml:space="preserve"> 08).</w:t>
      </w:r>
    </w:p>
    <w:p w14:paraId="388436FF" w14:textId="77777777" w:rsidR="00C0146C" w:rsidRDefault="00C0146C" w:rsidP="00C0146C">
      <w:pPr>
        <w:rPr>
          <w:rFonts w:eastAsia="Calibri" w:cstheme="minorHAnsi"/>
          <w:sz w:val="22"/>
          <w:szCs w:val="22"/>
        </w:rPr>
      </w:pPr>
    </w:p>
    <w:p w14:paraId="0CCDE910" w14:textId="77777777" w:rsidR="00FF1C55" w:rsidRPr="001B6A36" w:rsidRDefault="00FF1C55" w:rsidP="00FF1C55">
      <w:pPr>
        <w:rPr>
          <w:rFonts w:eastAsia="Calibri" w:cstheme="minorHAnsi"/>
          <w:sz w:val="22"/>
          <w:szCs w:val="22"/>
          <w:highlight w:val="white"/>
        </w:rPr>
      </w:pPr>
      <w:r w:rsidRPr="001B6A36">
        <w:rPr>
          <w:rFonts w:eastAsia="Calibri" w:cstheme="minorHAnsi"/>
          <w:sz w:val="22"/>
          <w:szCs w:val="22"/>
        </w:rPr>
        <w:t xml:space="preserve">Other clinic leaders emphasized the importance of updating </w:t>
      </w:r>
      <w:r>
        <w:rPr>
          <w:rFonts w:eastAsia="Calibri" w:cstheme="minorHAnsi"/>
          <w:sz w:val="22"/>
          <w:szCs w:val="22"/>
        </w:rPr>
        <w:t xml:space="preserve">the rates in the </w:t>
      </w:r>
      <w:r w:rsidRPr="001B6A36">
        <w:rPr>
          <w:rFonts w:eastAsia="Calibri" w:cstheme="minorHAnsi"/>
          <w:sz w:val="22"/>
          <w:szCs w:val="22"/>
        </w:rPr>
        <w:t xml:space="preserve">PPS </w:t>
      </w:r>
      <w:r>
        <w:rPr>
          <w:rFonts w:eastAsia="Calibri" w:cstheme="minorHAnsi"/>
          <w:sz w:val="22"/>
          <w:szCs w:val="22"/>
        </w:rPr>
        <w:t>payment model</w:t>
      </w:r>
      <w:r w:rsidRPr="001B6A36">
        <w:rPr>
          <w:rFonts w:eastAsia="Calibri" w:cstheme="minorHAnsi"/>
          <w:sz w:val="22"/>
          <w:szCs w:val="22"/>
        </w:rPr>
        <w:t xml:space="preserve"> regularly. </w:t>
      </w:r>
      <w:r w:rsidRPr="001B6A36">
        <w:rPr>
          <w:rFonts w:eastAsia="Calibri" w:cstheme="minorHAnsi"/>
          <w:sz w:val="22"/>
          <w:szCs w:val="22"/>
          <w:highlight w:val="white"/>
        </w:rPr>
        <w:t>As one clinic leader stated</w:t>
      </w:r>
      <w:r>
        <w:rPr>
          <w:rFonts w:eastAsia="Calibri" w:cstheme="minorHAnsi"/>
          <w:sz w:val="22"/>
          <w:szCs w:val="22"/>
          <w:highlight w:val="white"/>
        </w:rPr>
        <w:t>:</w:t>
      </w:r>
      <w:r w:rsidRPr="001B6A36">
        <w:rPr>
          <w:rFonts w:eastAsia="Calibri" w:cstheme="minorHAnsi"/>
          <w:sz w:val="22"/>
          <w:szCs w:val="22"/>
          <w:highlight w:val="white"/>
        </w:rPr>
        <w:t xml:space="preserve"> “</w:t>
      </w:r>
      <w:r w:rsidRPr="001B6A36">
        <w:rPr>
          <w:rFonts w:eastAsia="Calibri" w:cstheme="minorHAnsi"/>
          <w:i/>
          <w:sz w:val="22"/>
          <w:szCs w:val="22"/>
          <w:highlight w:val="white"/>
        </w:rPr>
        <w:t>Rate setting [is] hugely important. You can't increase Medicaid rates and not increase the CCBHC rates, because the CCBHCs will never see it</w:t>
      </w:r>
      <w:r w:rsidRPr="001B6A36">
        <w:rPr>
          <w:rFonts w:eastAsia="Calibri" w:cstheme="minorHAnsi"/>
          <w:sz w:val="22"/>
          <w:szCs w:val="22"/>
          <w:highlight w:val="white"/>
        </w:rPr>
        <w:t xml:space="preserve">.” (Lead </w:t>
      </w:r>
      <w:r>
        <w:rPr>
          <w:rFonts w:eastAsia="Calibri" w:cstheme="minorHAnsi"/>
          <w:sz w:val="22"/>
          <w:szCs w:val="22"/>
          <w:highlight w:val="white"/>
        </w:rPr>
        <w:t>Administrator</w:t>
      </w:r>
      <w:r w:rsidRPr="001B6A36">
        <w:rPr>
          <w:rFonts w:eastAsia="Calibri" w:cstheme="minorHAnsi"/>
          <w:sz w:val="22"/>
          <w:szCs w:val="22"/>
          <w:highlight w:val="white"/>
        </w:rPr>
        <w:t xml:space="preserve"> 01). </w:t>
      </w:r>
    </w:p>
    <w:p w14:paraId="544B6BED" w14:textId="77777777" w:rsidR="00C0146C" w:rsidRPr="001B6A36" w:rsidRDefault="00C0146C" w:rsidP="00C0146C">
      <w:pPr>
        <w:rPr>
          <w:rFonts w:eastAsia="Calibri" w:cstheme="minorHAnsi"/>
          <w:b/>
          <w:sz w:val="22"/>
          <w:szCs w:val="22"/>
        </w:rPr>
      </w:pPr>
    </w:p>
    <w:p w14:paraId="6C784447" w14:textId="37831841" w:rsidR="00C0146C" w:rsidRPr="00A17C4D" w:rsidRDefault="00C0146C" w:rsidP="00A17C4D">
      <w:pPr>
        <w:spacing w:after="120"/>
        <w:rPr>
          <w:b/>
          <w:bCs/>
          <w:i/>
          <w:iCs/>
          <w:color w:val="6A7F0F"/>
          <w:highlight w:val="white"/>
        </w:rPr>
      </w:pPr>
      <w:r w:rsidRPr="00A17C4D">
        <w:rPr>
          <w:b/>
          <w:bCs/>
          <w:i/>
          <w:iCs/>
          <w:color w:val="6A7F0F"/>
          <w:highlight w:val="white"/>
        </w:rPr>
        <w:t>Support Workforce Recruitment and Retention</w:t>
      </w:r>
    </w:p>
    <w:p w14:paraId="3977FA0A" w14:textId="77777777" w:rsidR="00FF1C55" w:rsidRPr="001B6A36" w:rsidRDefault="00FF1C55" w:rsidP="00FF1C55">
      <w:pPr>
        <w:rPr>
          <w:rFonts w:eastAsia="Calibri" w:cstheme="minorHAnsi"/>
          <w:sz w:val="22"/>
          <w:szCs w:val="22"/>
        </w:rPr>
      </w:pPr>
      <w:r w:rsidRPr="001B6A36">
        <w:rPr>
          <w:rFonts w:eastAsia="Calibri" w:cstheme="minorHAnsi"/>
          <w:sz w:val="22"/>
          <w:szCs w:val="22"/>
        </w:rPr>
        <w:t xml:space="preserve">Most clinic leaders reported that one of the most </w:t>
      </w:r>
      <w:r>
        <w:rPr>
          <w:rFonts w:eastAsia="Calibri" w:cstheme="minorHAnsi"/>
          <w:sz w:val="22"/>
          <w:szCs w:val="22"/>
        </w:rPr>
        <w:t>substantial</w:t>
      </w:r>
      <w:r w:rsidRPr="001B6A36">
        <w:rPr>
          <w:rFonts w:eastAsia="Calibri" w:cstheme="minorHAnsi"/>
          <w:sz w:val="22"/>
          <w:szCs w:val="22"/>
        </w:rPr>
        <w:t xml:space="preserve"> barriers they faced in terms of expanding and maintaining capacity was </w:t>
      </w:r>
      <w:r>
        <w:rPr>
          <w:rFonts w:eastAsia="Calibri" w:cstheme="minorHAnsi"/>
          <w:sz w:val="22"/>
          <w:szCs w:val="22"/>
        </w:rPr>
        <w:t>the workforce</w:t>
      </w:r>
      <w:r w:rsidRPr="001B6A36">
        <w:rPr>
          <w:rFonts w:eastAsia="Calibri" w:cstheme="minorHAnsi"/>
          <w:sz w:val="22"/>
          <w:szCs w:val="22"/>
        </w:rPr>
        <w:t xml:space="preserve"> shortage. Clinics leaders described struggling to recruit and retain staff, especially master’s level clinicians, and particularly in</w:t>
      </w:r>
      <w:r>
        <w:rPr>
          <w:rFonts w:eastAsia="Calibri" w:cstheme="minorHAnsi"/>
          <w:sz w:val="22"/>
          <w:szCs w:val="22"/>
        </w:rPr>
        <w:t xml:space="preserve"> </w:t>
      </w:r>
      <w:r w:rsidRPr="001B6A36">
        <w:rPr>
          <w:rFonts w:eastAsia="Calibri" w:cstheme="minorHAnsi"/>
          <w:sz w:val="22"/>
          <w:szCs w:val="22"/>
        </w:rPr>
        <w:t xml:space="preserve">rural communities. Clinic leaders largely attributed this challenge to lower pay compared to private practice, a high level of burnout, and fewer opportunities for telehealth work. There </w:t>
      </w:r>
      <w:r>
        <w:rPr>
          <w:rFonts w:eastAsia="Calibri" w:cstheme="minorHAnsi"/>
          <w:sz w:val="22"/>
          <w:szCs w:val="22"/>
        </w:rPr>
        <w:t>wa</w:t>
      </w:r>
      <w:r w:rsidRPr="001B6A36">
        <w:rPr>
          <w:rFonts w:eastAsia="Calibri" w:cstheme="minorHAnsi"/>
          <w:sz w:val="22"/>
          <w:szCs w:val="22"/>
        </w:rPr>
        <w:t xml:space="preserve">s also a general </w:t>
      </w:r>
      <w:r>
        <w:rPr>
          <w:rFonts w:eastAsia="Calibri" w:cstheme="minorHAnsi"/>
          <w:sz w:val="22"/>
          <w:szCs w:val="22"/>
        </w:rPr>
        <w:t>sentiment</w:t>
      </w:r>
      <w:r w:rsidRPr="001B6A36">
        <w:rPr>
          <w:rFonts w:eastAsia="Calibri" w:cstheme="minorHAnsi"/>
          <w:sz w:val="22"/>
          <w:szCs w:val="22"/>
        </w:rPr>
        <w:t xml:space="preserve"> that this workforce crisis was exacerbated by the COVID-19 pandemic.</w:t>
      </w:r>
    </w:p>
    <w:p w14:paraId="48481E87" w14:textId="77777777" w:rsidR="00FF1C55" w:rsidRPr="001B6A36" w:rsidRDefault="00FF1C55" w:rsidP="00FF1C55">
      <w:pPr>
        <w:rPr>
          <w:rFonts w:eastAsia="Calibri" w:cstheme="minorHAnsi"/>
          <w:sz w:val="22"/>
          <w:szCs w:val="22"/>
        </w:rPr>
      </w:pPr>
      <w:r w:rsidRPr="001B6A36">
        <w:rPr>
          <w:rFonts w:eastAsia="Calibri" w:cstheme="minorHAnsi"/>
          <w:sz w:val="22"/>
          <w:szCs w:val="22"/>
        </w:rPr>
        <w:t>Another clinic leader reflected on barriers to implementing plans for a new care coordination team within their primary care department, saying</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It's dependent on staffing. We're just struggling. We have some programs that are at 30, 40% staffed</w:t>
      </w:r>
      <w:r w:rsidRPr="001B6A36">
        <w:rPr>
          <w:rFonts w:eastAsia="Calibri" w:cstheme="minorHAnsi"/>
          <w:sz w:val="22"/>
          <w:szCs w:val="22"/>
        </w:rPr>
        <w:t>” (Lead Clinical 03). Overall, clinic leaders recognized that their staffing shortages will</w:t>
      </w:r>
      <w:r>
        <w:rPr>
          <w:rFonts w:eastAsia="Calibri" w:cstheme="minorHAnsi"/>
          <w:sz w:val="22"/>
          <w:szCs w:val="22"/>
        </w:rPr>
        <w:t xml:space="preserve"> eventually</w:t>
      </w:r>
      <w:r w:rsidRPr="001B6A36">
        <w:rPr>
          <w:rFonts w:eastAsia="Calibri" w:cstheme="minorHAnsi"/>
          <w:sz w:val="22"/>
          <w:szCs w:val="22"/>
        </w:rPr>
        <w:t xml:space="preserve"> impede their ability to fulfill the goals of the CCBHC program. One clinic leader described how they continue to see monthly increases in the number of new service users since becoming a CCBHC, attributing this growth to the “</w:t>
      </w:r>
      <w:r w:rsidRPr="001B6A36">
        <w:rPr>
          <w:rFonts w:eastAsia="Calibri" w:cstheme="minorHAnsi"/>
          <w:i/>
          <w:sz w:val="22"/>
          <w:szCs w:val="22"/>
        </w:rPr>
        <w:t>core CCBHC rule that you can't turn anyone away</w:t>
      </w:r>
      <w:r w:rsidRPr="001B6A36">
        <w:rPr>
          <w:rFonts w:eastAsia="Calibri" w:cstheme="minorHAnsi"/>
          <w:sz w:val="22"/>
          <w:szCs w:val="22"/>
        </w:rPr>
        <w:t xml:space="preserve">.” </w:t>
      </w:r>
      <w:r>
        <w:rPr>
          <w:rFonts w:eastAsia="Calibri" w:cstheme="minorHAnsi"/>
          <w:sz w:val="22"/>
          <w:szCs w:val="22"/>
        </w:rPr>
        <w:t>T</w:t>
      </w:r>
      <w:r w:rsidRPr="001B6A36">
        <w:rPr>
          <w:rFonts w:eastAsia="Calibri" w:cstheme="minorHAnsi"/>
          <w:sz w:val="22"/>
          <w:szCs w:val="22"/>
        </w:rPr>
        <w:t xml:space="preserve">hey </w:t>
      </w:r>
      <w:r>
        <w:rPr>
          <w:rFonts w:eastAsia="Calibri" w:cstheme="minorHAnsi"/>
          <w:sz w:val="22"/>
          <w:szCs w:val="22"/>
        </w:rPr>
        <w:t xml:space="preserve">also </w:t>
      </w:r>
      <w:r w:rsidRPr="001B6A36">
        <w:rPr>
          <w:rFonts w:eastAsia="Calibri" w:cstheme="minorHAnsi"/>
          <w:sz w:val="22"/>
          <w:szCs w:val="22"/>
        </w:rPr>
        <w:t>reflected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At some point, we're going to have to figure out a way to deal with the capacity problems because there's not enough workforce</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04). </w:t>
      </w:r>
    </w:p>
    <w:p w14:paraId="11C7F5F1" w14:textId="77777777" w:rsidR="00FF1C55" w:rsidRPr="001B6A36" w:rsidRDefault="00FF1C55" w:rsidP="00FF1C55">
      <w:pPr>
        <w:rPr>
          <w:rFonts w:eastAsia="Calibri" w:cstheme="minorHAnsi"/>
          <w:sz w:val="22"/>
          <w:szCs w:val="22"/>
        </w:rPr>
      </w:pPr>
    </w:p>
    <w:p w14:paraId="3F32CA4F" w14:textId="77777777" w:rsidR="00FF1C55" w:rsidRPr="001B6A36" w:rsidRDefault="00FF1C55" w:rsidP="00FF1C55">
      <w:pPr>
        <w:rPr>
          <w:rFonts w:eastAsia="Calibri" w:cstheme="minorHAnsi"/>
          <w:sz w:val="22"/>
          <w:szCs w:val="22"/>
        </w:rPr>
      </w:pPr>
      <w:r w:rsidRPr="001B6A36">
        <w:rPr>
          <w:rFonts w:eastAsia="Calibri" w:cstheme="minorHAnsi"/>
          <w:sz w:val="22"/>
          <w:szCs w:val="22"/>
        </w:rPr>
        <w:t>Clinic leaders, particularly in rural communities, expressed difficulty retaining clinicians. One clinic leader described their area as a “clinician desert”; they elaborated</w:t>
      </w:r>
      <w:r>
        <w:rPr>
          <w:rFonts w:eastAsia="Calibri" w:cstheme="minorHAnsi"/>
          <w:sz w:val="22"/>
          <w:szCs w:val="22"/>
        </w:rPr>
        <w:t xml:space="preserve"> saying:</w:t>
      </w:r>
      <w:r w:rsidRPr="001B6A36">
        <w:rPr>
          <w:rFonts w:eastAsia="Calibri" w:cstheme="minorHAnsi"/>
          <w:sz w:val="22"/>
          <w:szCs w:val="22"/>
        </w:rPr>
        <w:t xml:space="preserve"> “</w:t>
      </w:r>
      <w:r w:rsidRPr="001B6A36">
        <w:rPr>
          <w:rFonts w:eastAsia="Calibri" w:cstheme="minorHAnsi"/>
          <w:i/>
          <w:sz w:val="22"/>
          <w:szCs w:val="22"/>
        </w:rPr>
        <w:t>There's not a lot of professionals… It's one of those areas where it's really hard to recruit, especially to get a master's level. And then, once you get somebody there, if they come from [elsewhere], they don't stay long</w:t>
      </w:r>
      <w:r w:rsidRPr="001B6A36">
        <w:rPr>
          <w:rFonts w:eastAsia="Calibri" w:cstheme="minorHAnsi"/>
          <w:sz w:val="22"/>
          <w:szCs w:val="22"/>
        </w:rPr>
        <w:t xml:space="preserve">” (Lead Clinical 01). Other clinic leaders indicated that young providers view their clinic as a stepping stone on their way to private practice, where they </w:t>
      </w:r>
      <w:r>
        <w:rPr>
          <w:rFonts w:eastAsia="Calibri" w:cstheme="minorHAnsi"/>
          <w:sz w:val="22"/>
          <w:szCs w:val="22"/>
        </w:rPr>
        <w:t>will</w:t>
      </w:r>
      <w:r w:rsidRPr="001B6A36">
        <w:rPr>
          <w:rFonts w:eastAsia="Calibri" w:cstheme="minorHAnsi"/>
          <w:sz w:val="22"/>
          <w:szCs w:val="22"/>
        </w:rPr>
        <w:t xml:space="preserve"> generally </w:t>
      </w:r>
      <w:r>
        <w:rPr>
          <w:rFonts w:eastAsia="Calibri" w:cstheme="minorHAnsi"/>
          <w:sz w:val="22"/>
          <w:szCs w:val="22"/>
        </w:rPr>
        <w:t xml:space="preserve">experience </w:t>
      </w:r>
      <w:r w:rsidRPr="001B6A36">
        <w:rPr>
          <w:rFonts w:eastAsia="Calibri" w:cstheme="minorHAnsi"/>
          <w:sz w:val="22"/>
          <w:szCs w:val="22"/>
        </w:rPr>
        <w:t xml:space="preserve">higher compensation and less complex work. Additionally, clinic leaders shared that some clinicians discovered the appeal of telehealth during the pandemic, which does not always lend itself well to the complex needs of service users with </w:t>
      </w:r>
      <w:r>
        <w:rPr>
          <w:rFonts w:eastAsia="Calibri" w:cstheme="minorHAnsi"/>
          <w:sz w:val="22"/>
          <w:szCs w:val="22"/>
        </w:rPr>
        <w:t>serious behavioral health needs</w:t>
      </w:r>
      <w:r w:rsidRPr="001B6A36">
        <w:rPr>
          <w:rFonts w:eastAsia="Calibri" w:cstheme="minorHAnsi"/>
          <w:sz w:val="22"/>
          <w:szCs w:val="22"/>
        </w:rPr>
        <w:t xml:space="preserve">. Reflecting on the workforce shortage, one clinic leader </w:t>
      </w:r>
      <w:r>
        <w:rPr>
          <w:rFonts w:eastAsia="Calibri" w:cstheme="minorHAnsi"/>
          <w:sz w:val="22"/>
          <w:szCs w:val="22"/>
        </w:rPr>
        <w:t>explained:</w:t>
      </w:r>
      <w:r w:rsidRPr="001B6A36">
        <w:rPr>
          <w:rFonts w:eastAsia="Calibri" w:cstheme="minorHAnsi"/>
          <w:sz w:val="22"/>
          <w:szCs w:val="22"/>
        </w:rPr>
        <w:t xml:space="preserve"> “</w:t>
      </w:r>
      <w:r w:rsidRPr="001B6A36">
        <w:rPr>
          <w:rFonts w:eastAsia="Calibri" w:cstheme="minorHAnsi"/>
          <w:i/>
          <w:sz w:val="22"/>
          <w:szCs w:val="22"/>
        </w:rPr>
        <w:t>Our work isn't telehealth. This is work largely that needs to be done in person, but our telehealth physicians fill up like that</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11).</w:t>
      </w:r>
    </w:p>
    <w:p w14:paraId="1A88158A" w14:textId="77777777" w:rsidR="00FF1C55" w:rsidRPr="001B6A36" w:rsidRDefault="00FF1C55" w:rsidP="00FF1C55">
      <w:pPr>
        <w:rPr>
          <w:rFonts w:eastAsia="Calibri" w:cstheme="minorHAnsi"/>
          <w:sz w:val="22"/>
          <w:szCs w:val="22"/>
        </w:rPr>
      </w:pPr>
    </w:p>
    <w:p w14:paraId="7E9B6F8E" w14:textId="273B4F9E" w:rsidR="00C0146C" w:rsidRDefault="00FF1C55" w:rsidP="00C0146C">
      <w:pPr>
        <w:rPr>
          <w:rFonts w:eastAsia="Calibri" w:cstheme="minorHAnsi"/>
          <w:sz w:val="22"/>
          <w:szCs w:val="22"/>
        </w:rPr>
      </w:pPr>
      <w:r w:rsidRPr="001B6A36">
        <w:rPr>
          <w:rFonts w:eastAsia="Calibri" w:cstheme="minorHAnsi"/>
          <w:sz w:val="22"/>
          <w:szCs w:val="22"/>
        </w:rPr>
        <w:t xml:space="preserve">These concerns about Oregon’s workforce shortage were widely echoed by service users, many of whom were aware of ongoing CCBHC challenges in staffing and retention. Some service users reported that while their CCBHCs were understaffed, the clinic was able to work around workforce challenges, while others reported being highly affected by the statewide shortage of behavioral health providers and stress created by COVID-19. One service user </w:t>
      </w:r>
      <w:r>
        <w:rPr>
          <w:rFonts w:eastAsia="Calibri" w:cstheme="minorHAnsi"/>
          <w:sz w:val="22"/>
          <w:szCs w:val="22"/>
        </w:rPr>
        <w:t>sta</w:t>
      </w:r>
      <w:r w:rsidRPr="001B6A36">
        <w:rPr>
          <w:rFonts w:eastAsia="Calibri" w:cstheme="minorHAnsi"/>
          <w:sz w:val="22"/>
          <w:szCs w:val="22"/>
        </w:rPr>
        <w:t xml:space="preserve">ted: </w:t>
      </w:r>
    </w:p>
    <w:p w14:paraId="296A1945" w14:textId="77777777" w:rsidR="009055CF" w:rsidRPr="001B6A36" w:rsidRDefault="009055CF" w:rsidP="00C0146C">
      <w:pPr>
        <w:rPr>
          <w:rFonts w:eastAsia="Calibri" w:cstheme="minorHAnsi"/>
          <w:sz w:val="22"/>
          <w:szCs w:val="22"/>
        </w:rPr>
      </w:pPr>
    </w:p>
    <w:p w14:paraId="2C138FB3" w14:textId="15DD6A14" w:rsidR="00C0146C" w:rsidRPr="001B6A36" w:rsidRDefault="00C0146C" w:rsidP="00C0146C">
      <w:pPr>
        <w:ind w:left="720"/>
        <w:rPr>
          <w:rFonts w:eastAsia="Calibri" w:cstheme="minorHAnsi"/>
          <w:sz w:val="22"/>
          <w:szCs w:val="22"/>
        </w:rPr>
      </w:pPr>
      <w:r w:rsidRPr="001B6A36">
        <w:rPr>
          <w:rFonts w:eastAsia="Calibri" w:cstheme="minorHAnsi"/>
          <w:i/>
          <w:sz w:val="22"/>
          <w:szCs w:val="22"/>
        </w:rPr>
        <w:t>My counselor ended up leaving and it was just really frustrating; I feel like the care I was getting was better than nothing, but it wasn't great. Now I have another person who I'm meeting with until a new counselor is hired. With the pandemic happening we lost a lot of people, and people move on to different jobs, and well, that's good for them, but what about the clients that are here?</w:t>
      </w:r>
      <w:r w:rsidRPr="001B6A36">
        <w:rPr>
          <w:rFonts w:eastAsia="Calibri" w:cstheme="minorHAnsi"/>
          <w:sz w:val="22"/>
          <w:szCs w:val="22"/>
        </w:rPr>
        <w:t xml:space="preserve"> (Service User 04)</w:t>
      </w:r>
    </w:p>
    <w:p w14:paraId="057C9C46" w14:textId="77777777" w:rsidR="00C0146C" w:rsidRPr="001B6A36" w:rsidRDefault="00C0146C" w:rsidP="00C0146C">
      <w:pPr>
        <w:rPr>
          <w:rFonts w:eastAsia="Calibri" w:cstheme="minorHAnsi"/>
          <w:sz w:val="22"/>
          <w:szCs w:val="22"/>
        </w:rPr>
      </w:pPr>
    </w:p>
    <w:p w14:paraId="58371974" w14:textId="77777777" w:rsidR="00FF1C55" w:rsidRPr="001B6A36" w:rsidRDefault="00FF1C55" w:rsidP="00FF1C55">
      <w:pPr>
        <w:rPr>
          <w:rFonts w:eastAsia="Calibri" w:cstheme="minorHAnsi"/>
          <w:sz w:val="22"/>
          <w:szCs w:val="22"/>
        </w:rPr>
      </w:pPr>
      <w:r w:rsidRPr="001B6A36">
        <w:rPr>
          <w:rFonts w:eastAsia="Calibri" w:cstheme="minorHAnsi"/>
          <w:sz w:val="22"/>
          <w:szCs w:val="22"/>
        </w:rPr>
        <w:t>Both urban</w:t>
      </w:r>
      <w:r>
        <w:rPr>
          <w:rFonts w:eastAsia="Calibri" w:cstheme="minorHAnsi"/>
          <w:sz w:val="22"/>
          <w:szCs w:val="22"/>
        </w:rPr>
        <w:t xml:space="preserve"> </w:t>
      </w:r>
      <w:r w:rsidRPr="001B6A36">
        <w:rPr>
          <w:rFonts w:eastAsia="Calibri" w:cstheme="minorHAnsi"/>
          <w:sz w:val="22"/>
          <w:szCs w:val="22"/>
        </w:rPr>
        <w:t xml:space="preserve">and rural service users expressed similar challenges </w:t>
      </w:r>
      <w:r>
        <w:rPr>
          <w:rFonts w:eastAsia="Calibri" w:cstheme="minorHAnsi"/>
          <w:sz w:val="22"/>
          <w:szCs w:val="22"/>
        </w:rPr>
        <w:t xml:space="preserve">in </w:t>
      </w:r>
      <w:r w:rsidRPr="001B6A36">
        <w:rPr>
          <w:rFonts w:eastAsia="Calibri" w:cstheme="minorHAnsi"/>
          <w:sz w:val="22"/>
          <w:szCs w:val="22"/>
        </w:rPr>
        <w:t xml:space="preserve">receiving care due to workforce shortages. Service users in urban areas spoke more to their care team balancing high caseloads that diminished </w:t>
      </w:r>
      <w:r>
        <w:rPr>
          <w:rFonts w:eastAsia="Calibri" w:cstheme="minorHAnsi"/>
          <w:sz w:val="22"/>
          <w:szCs w:val="22"/>
        </w:rPr>
        <w:t>the service users’</w:t>
      </w:r>
      <w:r w:rsidRPr="001B6A36">
        <w:rPr>
          <w:rFonts w:eastAsia="Calibri" w:cstheme="minorHAnsi"/>
          <w:sz w:val="22"/>
          <w:szCs w:val="22"/>
        </w:rPr>
        <w:t xml:space="preserve"> ability to receive timely care and contributed to provider burnout and departure. Rural service users were limited by the workforce shortage in a similar way, except they had fewer options for counselors if their</w:t>
      </w:r>
      <w:r>
        <w:rPr>
          <w:rFonts w:eastAsia="Calibri" w:cstheme="minorHAnsi"/>
          <w:sz w:val="22"/>
          <w:szCs w:val="22"/>
        </w:rPr>
        <w:t xml:space="preserve"> counselor</w:t>
      </w:r>
      <w:r w:rsidRPr="001B6A36">
        <w:rPr>
          <w:rFonts w:eastAsia="Calibri" w:cstheme="minorHAnsi"/>
          <w:sz w:val="22"/>
          <w:szCs w:val="22"/>
        </w:rPr>
        <w:t xml:space="preserve"> left the CCBHC or they did not get along with the staff available to them. Staff departures were particularly difficult for service users with </w:t>
      </w:r>
      <w:r>
        <w:rPr>
          <w:rFonts w:eastAsia="Calibri" w:cstheme="minorHAnsi"/>
          <w:sz w:val="22"/>
          <w:szCs w:val="22"/>
        </w:rPr>
        <w:t>serious behavioral health needs</w:t>
      </w:r>
      <w:r w:rsidRPr="001B6A36">
        <w:rPr>
          <w:rFonts w:eastAsia="Calibri" w:cstheme="minorHAnsi"/>
          <w:sz w:val="22"/>
          <w:szCs w:val="22"/>
        </w:rPr>
        <w:t xml:space="preserve"> who struggled to develop relationships </w:t>
      </w:r>
      <w:r>
        <w:rPr>
          <w:rFonts w:eastAsia="Calibri" w:cstheme="minorHAnsi"/>
          <w:sz w:val="22"/>
          <w:szCs w:val="22"/>
        </w:rPr>
        <w:t>and</w:t>
      </w:r>
      <w:r w:rsidRPr="001B6A36">
        <w:rPr>
          <w:rFonts w:eastAsia="Calibri" w:cstheme="minorHAnsi"/>
          <w:sz w:val="22"/>
          <w:szCs w:val="22"/>
        </w:rPr>
        <w:t xml:space="preserve"> build trust, causing feelings of abandonment and frustration at needing to “start over” </w:t>
      </w:r>
      <w:r>
        <w:rPr>
          <w:rFonts w:eastAsia="Calibri" w:cstheme="minorHAnsi"/>
          <w:sz w:val="22"/>
          <w:szCs w:val="22"/>
        </w:rPr>
        <w:t>with multiple staff. O</w:t>
      </w:r>
      <w:r w:rsidRPr="001B6A36">
        <w:rPr>
          <w:rFonts w:eastAsia="Calibri" w:cstheme="minorHAnsi"/>
          <w:sz w:val="22"/>
          <w:szCs w:val="22"/>
        </w:rPr>
        <w:t>ne service user</w:t>
      </w:r>
      <w:r>
        <w:rPr>
          <w:rFonts w:eastAsia="Calibri" w:cstheme="minorHAnsi"/>
          <w:sz w:val="22"/>
          <w:szCs w:val="22"/>
        </w:rPr>
        <w:t xml:space="preserve"> said</w:t>
      </w:r>
      <w:r w:rsidRPr="001B6A36">
        <w:rPr>
          <w:rFonts w:eastAsia="Calibri" w:cstheme="minorHAnsi"/>
          <w:sz w:val="22"/>
          <w:szCs w:val="22"/>
        </w:rPr>
        <w:t>:</w:t>
      </w:r>
    </w:p>
    <w:p w14:paraId="255149FF" w14:textId="77777777" w:rsidR="00C0146C" w:rsidRDefault="00C0146C" w:rsidP="00C0146C">
      <w:pPr>
        <w:ind w:left="720"/>
        <w:rPr>
          <w:rFonts w:eastAsia="Calibri" w:cstheme="minorHAnsi"/>
          <w:i/>
          <w:sz w:val="22"/>
          <w:szCs w:val="22"/>
        </w:rPr>
      </w:pPr>
    </w:p>
    <w:p w14:paraId="16231D6E" w14:textId="7D6BA2CB" w:rsidR="00C0146C" w:rsidRPr="001B6A36" w:rsidRDefault="00C0146C" w:rsidP="00C0146C">
      <w:pPr>
        <w:ind w:left="720"/>
        <w:rPr>
          <w:rFonts w:eastAsia="Calibri" w:cstheme="minorHAnsi"/>
          <w:sz w:val="22"/>
          <w:szCs w:val="22"/>
        </w:rPr>
      </w:pPr>
      <w:r w:rsidRPr="001B6A36">
        <w:rPr>
          <w:rFonts w:eastAsia="Calibri" w:cstheme="minorHAnsi"/>
          <w:i/>
          <w:sz w:val="22"/>
          <w:szCs w:val="22"/>
        </w:rPr>
        <w:t>That was one of my concerns about moving counselors, I knew that if I started with a new counselor, it's back to square one. When you make progress, you don't want to go back. One of the things the state really needs to look at is how to entice new people into the field, because there is a scary shortage in this field of counselors and support people for these centers. And I know counselors probably have between 150 and 160</w:t>
      </w:r>
      <w:r>
        <w:rPr>
          <w:rFonts w:eastAsia="Calibri" w:cstheme="minorHAnsi"/>
          <w:i/>
          <w:sz w:val="22"/>
          <w:szCs w:val="22"/>
        </w:rPr>
        <w:t xml:space="preserve"> [patients]</w:t>
      </w:r>
      <w:r w:rsidRPr="001B6A36">
        <w:rPr>
          <w:rFonts w:eastAsia="Calibri" w:cstheme="minorHAnsi"/>
          <w:i/>
          <w:sz w:val="22"/>
          <w:szCs w:val="22"/>
        </w:rPr>
        <w:t>, because I know my social service person has that. I have yet to see the [social service person].</w:t>
      </w:r>
      <w:r w:rsidRPr="001B6A36">
        <w:rPr>
          <w:rFonts w:eastAsia="Calibri" w:cstheme="minorHAnsi"/>
          <w:sz w:val="22"/>
          <w:szCs w:val="22"/>
        </w:rPr>
        <w:t xml:space="preserve"> (Service User 05)</w:t>
      </w:r>
    </w:p>
    <w:p w14:paraId="5C2CC134" w14:textId="77777777" w:rsidR="00C0146C" w:rsidRPr="001B6A36" w:rsidRDefault="00C0146C" w:rsidP="00C0146C">
      <w:pPr>
        <w:rPr>
          <w:rFonts w:eastAsia="Calibri" w:cstheme="minorHAnsi"/>
          <w:sz w:val="22"/>
          <w:szCs w:val="22"/>
        </w:rPr>
      </w:pPr>
    </w:p>
    <w:p w14:paraId="1BD47975" w14:textId="77777777" w:rsidR="00FF1C55" w:rsidRPr="001B6A36" w:rsidRDefault="00FF1C55" w:rsidP="00FF1C55">
      <w:pPr>
        <w:rPr>
          <w:rFonts w:eastAsia="Calibri" w:cstheme="minorHAnsi"/>
          <w:sz w:val="22"/>
          <w:szCs w:val="22"/>
        </w:rPr>
      </w:pPr>
      <w:r w:rsidRPr="001B6A36">
        <w:rPr>
          <w:rFonts w:eastAsia="Calibri" w:cstheme="minorHAnsi"/>
          <w:sz w:val="22"/>
          <w:szCs w:val="22"/>
        </w:rPr>
        <w:t xml:space="preserve">While many clinic leaders reported that </w:t>
      </w:r>
      <w:r>
        <w:rPr>
          <w:rFonts w:eastAsia="Calibri" w:cstheme="minorHAnsi"/>
          <w:sz w:val="22"/>
          <w:szCs w:val="22"/>
        </w:rPr>
        <w:t xml:space="preserve">the </w:t>
      </w:r>
      <w:r w:rsidRPr="001B6A36">
        <w:rPr>
          <w:rFonts w:eastAsia="Calibri" w:cstheme="minorHAnsi"/>
          <w:sz w:val="22"/>
          <w:szCs w:val="22"/>
        </w:rPr>
        <w:t xml:space="preserve">PPS </w:t>
      </w:r>
      <w:r>
        <w:rPr>
          <w:rFonts w:eastAsia="Calibri" w:cstheme="minorHAnsi"/>
          <w:sz w:val="22"/>
          <w:szCs w:val="22"/>
        </w:rPr>
        <w:t xml:space="preserve">payment </w:t>
      </w:r>
      <w:r w:rsidRPr="001B6A36">
        <w:rPr>
          <w:rFonts w:eastAsia="Calibri" w:cstheme="minorHAnsi"/>
          <w:sz w:val="22"/>
          <w:szCs w:val="22"/>
        </w:rPr>
        <w:t>model enabled them to expand staffing significantly, it did</w:t>
      </w:r>
      <w:r>
        <w:rPr>
          <w:rFonts w:eastAsia="Calibri" w:cstheme="minorHAnsi"/>
          <w:sz w:val="22"/>
          <w:szCs w:val="22"/>
        </w:rPr>
        <w:t xml:space="preserve"> </w:t>
      </w:r>
      <w:r w:rsidRPr="001B6A36">
        <w:rPr>
          <w:rFonts w:eastAsia="Calibri" w:cstheme="minorHAnsi"/>
          <w:sz w:val="22"/>
          <w:szCs w:val="22"/>
        </w:rPr>
        <w:t>n</w:t>
      </w:r>
      <w:r>
        <w:rPr>
          <w:rFonts w:eastAsia="Calibri" w:cstheme="minorHAnsi"/>
          <w:sz w:val="22"/>
          <w:szCs w:val="22"/>
        </w:rPr>
        <w:t>o</w:t>
      </w:r>
      <w:r w:rsidRPr="001B6A36">
        <w:rPr>
          <w:rFonts w:eastAsia="Calibri" w:cstheme="minorHAnsi"/>
          <w:sz w:val="22"/>
          <w:szCs w:val="22"/>
        </w:rPr>
        <w:t xml:space="preserve">t </w:t>
      </w:r>
      <w:r>
        <w:rPr>
          <w:rFonts w:eastAsia="Calibri" w:cstheme="minorHAnsi"/>
          <w:sz w:val="22"/>
          <w:szCs w:val="22"/>
        </w:rPr>
        <w:t xml:space="preserve">provide sufficient funding to </w:t>
      </w:r>
      <w:r w:rsidRPr="001B6A36">
        <w:rPr>
          <w:rFonts w:eastAsia="Calibri" w:cstheme="minorHAnsi"/>
          <w:sz w:val="22"/>
          <w:szCs w:val="22"/>
        </w:rPr>
        <w:t>eliminate recruitment and retention challenges. They noted that competitive wages were potentially an important strategy to address these challenges. For example, one clinic leader s</w:t>
      </w:r>
      <w:r>
        <w:rPr>
          <w:rFonts w:eastAsia="Calibri" w:cstheme="minorHAnsi"/>
          <w:sz w:val="22"/>
          <w:szCs w:val="22"/>
        </w:rPr>
        <w:t>t</w:t>
      </w:r>
      <w:r w:rsidRPr="001B6A36">
        <w:rPr>
          <w:rFonts w:eastAsia="Calibri" w:cstheme="minorHAnsi"/>
          <w:sz w:val="22"/>
          <w:szCs w:val="22"/>
        </w:rPr>
        <w:t>a</w:t>
      </w:r>
      <w:r>
        <w:rPr>
          <w:rFonts w:eastAsia="Calibri" w:cstheme="minorHAnsi"/>
          <w:sz w:val="22"/>
          <w:szCs w:val="22"/>
        </w:rPr>
        <w:t>t</w:t>
      </w:r>
      <w:r w:rsidRPr="001B6A36">
        <w:rPr>
          <w:rFonts w:eastAsia="Calibri" w:cstheme="minorHAnsi"/>
          <w:sz w:val="22"/>
          <w:szCs w:val="22"/>
        </w:rPr>
        <w:t>ed:</w:t>
      </w:r>
    </w:p>
    <w:p w14:paraId="557315A2" w14:textId="77777777" w:rsidR="00C0146C" w:rsidRDefault="00C0146C" w:rsidP="00C0146C">
      <w:pPr>
        <w:ind w:left="720"/>
        <w:rPr>
          <w:rFonts w:eastAsia="Calibri" w:cstheme="minorHAnsi"/>
          <w:i/>
          <w:sz w:val="22"/>
          <w:szCs w:val="22"/>
        </w:rPr>
      </w:pPr>
    </w:p>
    <w:p w14:paraId="6ADA7204" w14:textId="3A90860B" w:rsidR="00C0146C" w:rsidRPr="003E4AD8" w:rsidRDefault="00C0146C" w:rsidP="00C0146C">
      <w:pPr>
        <w:ind w:left="720"/>
        <w:rPr>
          <w:rFonts w:eastAsia="Calibri" w:cstheme="minorHAnsi"/>
          <w:iCs/>
          <w:sz w:val="22"/>
          <w:szCs w:val="22"/>
        </w:rPr>
      </w:pPr>
      <w:r w:rsidRPr="001B6A36">
        <w:rPr>
          <w:rFonts w:eastAsia="Calibri" w:cstheme="minorHAnsi"/>
          <w:i/>
          <w:sz w:val="22"/>
          <w:szCs w:val="22"/>
        </w:rPr>
        <w:t xml:space="preserve">There are a lot of opportunities for additional funding coming out from OHA, which is exceptional. It’s also terrible timing because most of what we want to do with funding is hire staff to expand capacity. We are faced with opportunities for increased funding, and it just adds more vacancies. We're not often able to fill those positions. The sustainability of [the CCBHC] is in part tied to the workforce and whether or not there is a rate or amount that allows us to be more competitive in the recruitment of people. </w:t>
      </w:r>
      <w:r w:rsidRPr="003E4AD8">
        <w:rPr>
          <w:rFonts w:eastAsia="Calibri" w:cstheme="minorHAnsi"/>
          <w:iCs/>
          <w:sz w:val="22"/>
          <w:szCs w:val="22"/>
        </w:rPr>
        <w:t>(Lead Clinical 02)</w:t>
      </w:r>
    </w:p>
    <w:p w14:paraId="5954FD83" w14:textId="77777777" w:rsidR="00C0146C" w:rsidRDefault="00C0146C" w:rsidP="00C0146C">
      <w:pPr>
        <w:rPr>
          <w:rFonts w:eastAsia="Calibri" w:cstheme="minorHAnsi"/>
          <w:i/>
          <w:sz w:val="22"/>
          <w:szCs w:val="22"/>
        </w:rPr>
      </w:pPr>
    </w:p>
    <w:p w14:paraId="5B2A2EFA" w14:textId="77777777" w:rsidR="00FF1C55" w:rsidRDefault="00FF1C55" w:rsidP="00FF1C55">
      <w:pPr>
        <w:rPr>
          <w:rFonts w:eastAsia="Calibri" w:cstheme="minorHAnsi"/>
          <w:sz w:val="22"/>
          <w:szCs w:val="22"/>
        </w:rPr>
      </w:pPr>
      <w:r w:rsidRPr="001B6A36">
        <w:rPr>
          <w:rFonts w:eastAsia="Calibri" w:cstheme="minorHAnsi"/>
          <w:sz w:val="22"/>
          <w:szCs w:val="22"/>
        </w:rPr>
        <w:t xml:space="preserve">Other clinic leaders sympathize with workers who avoid or leave the field, recognizing that there must be financial incentives for them to remain in a challenging work environment. </w:t>
      </w:r>
      <w:r>
        <w:rPr>
          <w:rFonts w:eastAsia="Calibri" w:cstheme="minorHAnsi"/>
          <w:sz w:val="22"/>
          <w:szCs w:val="22"/>
        </w:rPr>
        <w:t>O</w:t>
      </w:r>
      <w:r w:rsidRPr="001B6A36">
        <w:rPr>
          <w:rFonts w:eastAsia="Calibri" w:cstheme="minorHAnsi"/>
          <w:sz w:val="22"/>
          <w:szCs w:val="22"/>
        </w:rPr>
        <w:t>ne clinic leader concluded: “</w:t>
      </w:r>
      <w:r w:rsidRPr="001B6A36">
        <w:rPr>
          <w:rFonts w:eastAsia="Calibri" w:cstheme="minorHAnsi"/>
          <w:i/>
          <w:sz w:val="22"/>
          <w:szCs w:val="22"/>
        </w:rPr>
        <w:t>We’re in dire need of greater stratification in the pay ranges across our workforce. [There is a need] to think differently about incentivizing additional certifications and qualifications. That would help in terms of the draw of staying in what is…really a high acuity, really stressful, intensive work</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12).</w:t>
      </w:r>
    </w:p>
    <w:p w14:paraId="7C5922C1" w14:textId="77777777" w:rsidR="00FF1C55" w:rsidRPr="001B6A36" w:rsidRDefault="00FF1C55" w:rsidP="00FF1C55">
      <w:pPr>
        <w:rPr>
          <w:rFonts w:eastAsia="Calibri" w:cstheme="minorHAnsi"/>
          <w:i/>
          <w:sz w:val="22"/>
          <w:szCs w:val="22"/>
        </w:rPr>
      </w:pPr>
    </w:p>
    <w:p w14:paraId="02974293" w14:textId="77777777" w:rsidR="00FF1C55" w:rsidRDefault="00FF1C55" w:rsidP="00FF1C55">
      <w:pPr>
        <w:rPr>
          <w:rFonts w:eastAsia="Calibri" w:cstheme="minorHAnsi"/>
          <w:sz w:val="22"/>
          <w:szCs w:val="22"/>
        </w:rPr>
      </w:pPr>
      <w:r w:rsidRPr="001B6A36">
        <w:rPr>
          <w:rFonts w:eastAsia="Calibri" w:cstheme="minorHAnsi"/>
          <w:sz w:val="22"/>
          <w:szCs w:val="22"/>
        </w:rPr>
        <w:t xml:space="preserve">In addition, some clinic leaders suggested exploring creative interventions within the education system that could be designed to encourage or incentivize students to pursue a career in public behavioral health at all levels of the workforce. </w:t>
      </w:r>
      <w:r>
        <w:rPr>
          <w:rFonts w:eastAsia="Calibri" w:cstheme="minorHAnsi"/>
          <w:sz w:val="22"/>
          <w:szCs w:val="22"/>
        </w:rPr>
        <w:t>O</w:t>
      </w:r>
      <w:r w:rsidRPr="001B6A36">
        <w:rPr>
          <w:rFonts w:eastAsia="Calibri" w:cstheme="minorHAnsi"/>
          <w:sz w:val="22"/>
          <w:szCs w:val="22"/>
        </w:rPr>
        <w:t>ne clinic leader reflected</w:t>
      </w:r>
      <w:r>
        <w:rPr>
          <w:rFonts w:eastAsia="Calibri" w:cstheme="minorHAnsi"/>
          <w:sz w:val="22"/>
          <w:szCs w:val="22"/>
        </w:rPr>
        <w:t>:</w:t>
      </w:r>
      <w:r w:rsidRPr="001B6A36">
        <w:rPr>
          <w:rFonts w:eastAsia="Calibri" w:cstheme="minorHAnsi"/>
          <w:sz w:val="22"/>
          <w:szCs w:val="22"/>
        </w:rPr>
        <w:t xml:space="preserve"> </w:t>
      </w:r>
    </w:p>
    <w:p w14:paraId="33ECED37" w14:textId="77777777" w:rsidR="00C0146C" w:rsidRDefault="00C0146C" w:rsidP="00C0146C">
      <w:pPr>
        <w:ind w:left="720"/>
        <w:rPr>
          <w:rFonts w:eastAsia="Calibri" w:cstheme="minorHAnsi"/>
          <w:i/>
          <w:sz w:val="22"/>
          <w:szCs w:val="22"/>
        </w:rPr>
      </w:pPr>
    </w:p>
    <w:p w14:paraId="79D20072" w14:textId="3B11C630" w:rsidR="00C0146C" w:rsidRDefault="00C0146C" w:rsidP="00C0146C">
      <w:pPr>
        <w:ind w:left="720"/>
        <w:rPr>
          <w:rFonts w:eastAsia="Calibri" w:cstheme="minorHAnsi"/>
          <w:sz w:val="22"/>
          <w:szCs w:val="22"/>
        </w:rPr>
      </w:pPr>
      <w:r w:rsidRPr="001B6A36">
        <w:rPr>
          <w:rFonts w:eastAsia="Calibri" w:cstheme="minorHAnsi"/>
          <w:i/>
          <w:sz w:val="22"/>
          <w:szCs w:val="22"/>
        </w:rPr>
        <w:t>The peer workforce and the multidisciplinary care team allow for some entry-level positions for people from communities that have really struggled to access higher education, but if we're going to make a real difference there, we have to get into community colleges and public universities and talk to people about the value of doing community mental health work</w:t>
      </w:r>
      <w:r>
        <w:rPr>
          <w:rFonts w:eastAsia="Calibri" w:cstheme="minorHAnsi"/>
          <w:sz w:val="22"/>
          <w:szCs w:val="22"/>
        </w:rPr>
        <w:t>.</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09) </w:t>
      </w:r>
    </w:p>
    <w:p w14:paraId="25852B36" w14:textId="77777777" w:rsidR="00C0146C" w:rsidRPr="00C0146C" w:rsidRDefault="00C0146C" w:rsidP="00C0146C">
      <w:pPr>
        <w:ind w:left="720"/>
        <w:rPr>
          <w:rFonts w:eastAsia="Calibri" w:cstheme="minorHAnsi"/>
          <w:sz w:val="22"/>
          <w:szCs w:val="22"/>
        </w:rPr>
      </w:pPr>
    </w:p>
    <w:p w14:paraId="086803CA" w14:textId="77777777" w:rsidR="00C0146C" w:rsidRPr="00A17C4D" w:rsidRDefault="00C0146C" w:rsidP="00A17C4D">
      <w:pPr>
        <w:spacing w:after="120"/>
        <w:rPr>
          <w:b/>
          <w:bCs/>
          <w:i/>
          <w:iCs/>
          <w:color w:val="6A7F0F"/>
          <w:highlight w:val="white"/>
        </w:rPr>
      </w:pPr>
      <w:r w:rsidRPr="00A17C4D">
        <w:rPr>
          <w:b/>
          <w:bCs/>
          <w:i/>
          <w:iCs/>
          <w:color w:val="6A7F0F"/>
          <w:highlight w:val="white"/>
        </w:rPr>
        <w:t xml:space="preserve">Strengthen and Diversify Community Partnerships </w:t>
      </w:r>
    </w:p>
    <w:p w14:paraId="01F66990" w14:textId="77777777" w:rsidR="00FF1C55" w:rsidRPr="001B6A36" w:rsidRDefault="00FF1C55" w:rsidP="00FF1C55">
      <w:pPr>
        <w:rPr>
          <w:rFonts w:cstheme="minorHAnsi"/>
          <w:sz w:val="22"/>
          <w:szCs w:val="22"/>
          <w:lang w:bidi="th-TH"/>
        </w:rPr>
      </w:pPr>
      <w:r w:rsidRPr="001B6A36">
        <w:rPr>
          <w:rFonts w:cstheme="minorHAnsi"/>
          <w:sz w:val="22"/>
          <w:szCs w:val="22"/>
          <w:lang w:bidi="th-TH"/>
        </w:rPr>
        <w:t xml:space="preserve">CCBHC leaders and service users provided some evidence of creative cross-organization work where the CCBHC also served as a hub for service users to access information and services </w:t>
      </w:r>
      <w:r>
        <w:rPr>
          <w:rFonts w:cstheme="minorHAnsi"/>
          <w:sz w:val="22"/>
          <w:szCs w:val="22"/>
          <w:lang w:bidi="th-TH"/>
        </w:rPr>
        <w:t>such as</w:t>
      </w:r>
      <w:r w:rsidRPr="001B6A36">
        <w:rPr>
          <w:rFonts w:cstheme="minorHAnsi"/>
          <w:sz w:val="22"/>
          <w:szCs w:val="22"/>
          <w:lang w:bidi="th-TH"/>
        </w:rPr>
        <w:t xml:space="preserve"> housing, job training and placement, tax preparation, peer support, classes (cooking</w:t>
      </w:r>
      <w:r>
        <w:rPr>
          <w:rFonts w:cstheme="minorHAnsi"/>
          <w:sz w:val="22"/>
          <w:szCs w:val="22"/>
          <w:lang w:bidi="th-TH"/>
        </w:rPr>
        <w:t>, for example</w:t>
      </w:r>
      <w:r w:rsidRPr="001B6A36">
        <w:rPr>
          <w:rFonts w:cstheme="minorHAnsi"/>
          <w:sz w:val="22"/>
          <w:szCs w:val="22"/>
          <w:lang w:bidi="th-TH"/>
        </w:rPr>
        <w:t xml:space="preserve">), </w:t>
      </w:r>
      <w:r>
        <w:rPr>
          <w:rFonts w:cstheme="minorHAnsi"/>
          <w:sz w:val="22"/>
          <w:szCs w:val="22"/>
          <w:lang w:bidi="th-TH"/>
        </w:rPr>
        <w:t xml:space="preserve">and </w:t>
      </w:r>
      <w:r w:rsidRPr="001B6A36">
        <w:rPr>
          <w:rFonts w:cstheme="minorHAnsi"/>
          <w:sz w:val="22"/>
          <w:szCs w:val="22"/>
          <w:lang w:bidi="th-TH"/>
        </w:rPr>
        <w:t>field trips. As one service user noted</w:t>
      </w:r>
      <w:r>
        <w:rPr>
          <w:rFonts w:cstheme="minorHAnsi"/>
          <w:sz w:val="22"/>
          <w:szCs w:val="22"/>
          <w:lang w:bidi="th-TH"/>
        </w:rPr>
        <w:t>:</w:t>
      </w:r>
      <w:r w:rsidRPr="001B6A36">
        <w:rPr>
          <w:rFonts w:cstheme="minorHAnsi"/>
          <w:sz w:val="22"/>
          <w:szCs w:val="22"/>
          <w:lang w:bidi="th-TH"/>
        </w:rPr>
        <w:t xml:space="preserve"> “</w:t>
      </w:r>
      <w:r w:rsidRPr="001B6A36">
        <w:rPr>
          <w:rFonts w:cstheme="minorHAnsi"/>
          <w:i/>
          <w:sz w:val="22"/>
          <w:szCs w:val="22"/>
          <w:lang w:bidi="th-TH"/>
        </w:rPr>
        <w:t xml:space="preserve">I've been set up with </w:t>
      </w:r>
      <w:r>
        <w:rPr>
          <w:rFonts w:cstheme="minorHAnsi"/>
          <w:i/>
          <w:sz w:val="22"/>
          <w:szCs w:val="22"/>
          <w:lang w:bidi="th-TH"/>
        </w:rPr>
        <w:t>V</w:t>
      </w:r>
      <w:r w:rsidRPr="001B6A36">
        <w:rPr>
          <w:rFonts w:cstheme="minorHAnsi"/>
          <w:i/>
          <w:sz w:val="22"/>
          <w:szCs w:val="22"/>
          <w:lang w:bidi="th-TH"/>
        </w:rPr>
        <w:t xml:space="preserve">ocational </w:t>
      </w:r>
      <w:r>
        <w:rPr>
          <w:rFonts w:cstheme="minorHAnsi"/>
          <w:i/>
          <w:sz w:val="22"/>
          <w:szCs w:val="22"/>
          <w:lang w:bidi="th-TH"/>
        </w:rPr>
        <w:t>R</w:t>
      </w:r>
      <w:r w:rsidRPr="001B6A36">
        <w:rPr>
          <w:rFonts w:cstheme="minorHAnsi"/>
          <w:i/>
          <w:sz w:val="22"/>
          <w:szCs w:val="22"/>
          <w:lang w:bidi="th-TH"/>
        </w:rPr>
        <w:t>ehab and Developmental Disability Services through [CCBHC]. This has helped me greatly towards my personal goal of becoming more independent, which in turn has helped break me out of my shell of self-isolation. I couldn't be more thankful!</w:t>
      </w:r>
      <w:r w:rsidRPr="001B6A36">
        <w:rPr>
          <w:rFonts w:cstheme="minorHAnsi"/>
          <w:sz w:val="22"/>
          <w:szCs w:val="22"/>
          <w:lang w:bidi="th-TH"/>
        </w:rPr>
        <w:t xml:space="preserve">” (Service User 35). Where such collaborations were present, service users were very satisfied with them and their ability to access these services. Where they were not present, service users expressed interest and wondered what would be necessary </w:t>
      </w:r>
      <w:r>
        <w:rPr>
          <w:rFonts w:cstheme="minorHAnsi"/>
          <w:sz w:val="22"/>
          <w:szCs w:val="22"/>
          <w:lang w:bidi="th-TH"/>
        </w:rPr>
        <w:t xml:space="preserve">for the CCBHCs </w:t>
      </w:r>
      <w:r w:rsidRPr="001B6A36">
        <w:rPr>
          <w:rFonts w:cstheme="minorHAnsi"/>
          <w:sz w:val="22"/>
          <w:szCs w:val="22"/>
          <w:lang w:bidi="th-TH"/>
        </w:rPr>
        <w:t xml:space="preserve">to </w:t>
      </w:r>
      <w:r>
        <w:rPr>
          <w:rFonts w:cstheme="minorHAnsi"/>
          <w:sz w:val="22"/>
          <w:szCs w:val="22"/>
          <w:lang w:bidi="th-TH"/>
        </w:rPr>
        <w:t>expand</w:t>
      </w:r>
      <w:r w:rsidRPr="001B6A36">
        <w:rPr>
          <w:rFonts w:cstheme="minorHAnsi"/>
          <w:sz w:val="22"/>
          <w:szCs w:val="22"/>
          <w:lang w:bidi="th-TH"/>
        </w:rPr>
        <w:t xml:space="preserve"> opportunities </w:t>
      </w:r>
      <w:r>
        <w:rPr>
          <w:rFonts w:cstheme="minorHAnsi"/>
          <w:sz w:val="22"/>
          <w:szCs w:val="22"/>
          <w:lang w:bidi="th-TH"/>
        </w:rPr>
        <w:t>and</w:t>
      </w:r>
      <w:r w:rsidRPr="001B6A36">
        <w:rPr>
          <w:rFonts w:cstheme="minorHAnsi"/>
          <w:sz w:val="22"/>
          <w:szCs w:val="22"/>
          <w:lang w:bidi="th-TH"/>
        </w:rPr>
        <w:t xml:space="preserve"> engage </w:t>
      </w:r>
      <w:r>
        <w:rPr>
          <w:rFonts w:cstheme="minorHAnsi"/>
          <w:sz w:val="22"/>
          <w:szCs w:val="22"/>
          <w:lang w:bidi="th-TH"/>
        </w:rPr>
        <w:t>service users</w:t>
      </w:r>
      <w:r w:rsidRPr="001B6A36">
        <w:rPr>
          <w:rFonts w:cstheme="minorHAnsi"/>
          <w:sz w:val="22"/>
          <w:szCs w:val="22"/>
          <w:lang w:bidi="th-TH"/>
        </w:rPr>
        <w:t xml:space="preserve"> </w:t>
      </w:r>
      <w:r>
        <w:rPr>
          <w:rFonts w:cstheme="minorHAnsi"/>
          <w:sz w:val="22"/>
          <w:szCs w:val="22"/>
          <w:lang w:bidi="th-TH"/>
        </w:rPr>
        <w:t>by</w:t>
      </w:r>
      <w:r w:rsidRPr="001B6A36">
        <w:rPr>
          <w:rFonts w:cstheme="minorHAnsi"/>
          <w:sz w:val="22"/>
          <w:szCs w:val="22"/>
          <w:lang w:bidi="th-TH"/>
        </w:rPr>
        <w:t xml:space="preserve"> provid</w:t>
      </w:r>
      <w:r>
        <w:rPr>
          <w:rFonts w:cstheme="minorHAnsi"/>
          <w:sz w:val="22"/>
          <w:szCs w:val="22"/>
          <w:lang w:bidi="th-TH"/>
        </w:rPr>
        <w:t>ing</w:t>
      </w:r>
      <w:r w:rsidRPr="001B6A36">
        <w:rPr>
          <w:rFonts w:cstheme="minorHAnsi"/>
          <w:sz w:val="22"/>
          <w:szCs w:val="22"/>
          <w:lang w:bidi="th-TH"/>
        </w:rPr>
        <w:t xml:space="preserve"> life enrichment </w:t>
      </w:r>
      <w:r>
        <w:rPr>
          <w:rFonts w:cstheme="minorHAnsi"/>
          <w:sz w:val="22"/>
          <w:szCs w:val="22"/>
          <w:lang w:bidi="th-TH"/>
        </w:rPr>
        <w:t xml:space="preserve">activities </w:t>
      </w:r>
      <w:r w:rsidRPr="001B6A36">
        <w:rPr>
          <w:rFonts w:cstheme="minorHAnsi"/>
          <w:sz w:val="22"/>
          <w:szCs w:val="22"/>
          <w:lang w:bidi="th-TH"/>
        </w:rPr>
        <w:t>that would complement and support their behavioral health journey.</w:t>
      </w:r>
      <w:r>
        <w:rPr>
          <w:rFonts w:cstheme="minorHAnsi"/>
          <w:sz w:val="22"/>
          <w:szCs w:val="22"/>
          <w:lang w:bidi="th-TH"/>
        </w:rPr>
        <w:t xml:space="preserve"> As one service user noted: “</w:t>
      </w:r>
      <w:r w:rsidRPr="009B138D">
        <w:rPr>
          <w:rFonts w:cstheme="minorHAnsi"/>
          <w:i/>
          <w:sz w:val="22"/>
          <w:szCs w:val="22"/>
          <w:lang w:bidi="th-TH"/>
        </w:rPr>
        <w:t>Not only do they do the social group, but then we would meet up with one of the case managers</w:t>
      </w:r>
      <w:r>
        <w:rPr>
          <w:rFonts w:cstheme="minorHAnsi"/>
          <w:i/>
          <w:sz w:val="22"/>
          <w:szCs w:val="22"/>
          <w:lang w:bidi="th-TH"/>
        </w:rPr>
        <w:t>… W</w:t>
      </w:r>
      <w:r w:rsidRPr="009B138D">
        <w:rPr>
          <w:rFonts w:cstheme="minorHAnsi"/>
          <w:i/>
          <w:sz w:val="22"/>
          <w:szCs w:val="22"/>
          <w:lang w:bidi="th-TH"/>
        </w:rPr>
        <w:t xml:space="preserve">e take out about an hour </w:t>
      </w:r>
      <w:r>
        <w:rPr>
          <w:rFonts w:cstheme="minorHAnsi"/>
          <w:i/>
          <w:sz w:val="22"/>
          <w:szCs w:val="22"/>
          <w:lang w:bidi="th-TH"/>
        </w:rPr>
        <w:t>of</w:t>
      </w:r>
      <w:r w:rsidRPr="009B138D">
        <w:rPr>
          <w:rFonts w:cstheme="minorHAnsi"/>
          <w:i/>
          <w:sz w:val="22"/>
          <w:szCs w:val="22"/>
          <w:lang w:bidi="th-TH"/>
        </w:rPr>
        <w:t xml:space="preserve"> time a week and we go fishing.</w:t>
      </w:r>
      <w:r>
        <w:rPr>
          <w:rFonts w:cstheme="minorHAnsi"/>
          <w:i/>
          <w:sz w:val="22"/>
          <w:szCs w:val="22"/>
          <w:lang w:bidi="th-TH"/>
        </w:rPr>
        <w:t xml:space="preserve"> I</w:t>
      </w:r>
      <w:r w:rsidRPr="009B138D">
        <w:rPr>
          <w:rFonts w:cstheme="minorHAnsi"/>
          <w:i/>
          <w:sz w:val="22"/>
          <w:szCs w:val="22"/>
          <w:lang w:bidi="th-TH"/>
        </w:rPr>
        <w:t>t's something real</w:t>
      </w:r>
      <w:r>
        <w:rPr>
          <w:rFonts w:cstheme="minorHAnsi"/>
          <w:i/>
          <w:sz w:val="22"/>
          <w:szCs w:val="22"/>
          <w:lang w:bidi="th-TH"/>
        </w:rPr>
        <w:t>”</w:t>
      </w:r>
      <w:r>
        <w:rPr>
          <w:rFonts w:cstheme="minorHAnsi"/>
          <w:sz w:val="22"/>
          <w:szCs w:val="22"/>
          <w:lang w:bidi="th-TH"/>
        </w:rPr>
        <w:t xml:space="preserve"> (Service User 18).</w:t>
      </w:r>
    </w:p>
    <w:p w14:paraId="5ACD0B8E" w14:textId="77777777" w:rsidR="00FF1C55" w:rsidRDefault="00FF1C55" w:rsidP="00FF1C55">
      <w:pPr>
        <w:rPr>
          <w:rFonts w:cstheme="minorHAnsi"/>
          <w:sz w:val="22"/>
          <w:szCs w:val="22"/>
        </w:rPr>
      </w:pPr>
      <w:r w:rsidRPr="001B6A36">
        <w:rPr>
          <w:rFonts w:cstheme="minorHAnsi"/>
          <w:sz w:val="22"/>
          <w:szCs w:val="22"/>
        </w:rPr>
        <w:t>Many clinic leaders reported developing effective relationships with key local partners</w:t>
      </w:r>
      <w:r>
        <w:rPr>
          <w:rFonts w:cstheme="minorHAnsi"/>
          <w:sz w:val="22"/>
          <w:szCs w:val="22"/>
        </w:rPr>
        <w:t>,</w:t>
      </w:r>
      <w:r w:rsidRPr="001B6A36">
        <w:rPr>
          <w:rFonts w:cstheme="minorHAnsi"/>
          <w:sz w:val="22"/>
          <w:szCs w:val="22"/>
        </w:rPr>
        <w:t xml:space="preserve"> such as various county services, health systems, behavioral and physical health providers, law enforcement, schools, and others who might facilitate care coordination and service integration.</w:t>
      </w:r>
      <w:r w:rsidRPr="001B6A36">
        <w:rPr>
          <w:rFonts w:cstheme="minorHAnsi"/>
          <w:sz w:val="22"/>
          <w:szCs w:val="22"/>
          <w:lang w:bidi="th-TH"/>
        </w:rPr>
        <w:t xml:space="preserve"> These partners were </w:t>
      </w:r>
      <w:r>
        <w:rPr>
          <w:rFonts w:cstheme="minorHAnsi"/>
          <w:sz w:val="22"/>
          <w:szCs w:val="22"/>
          <w:lang w:bidi="th-TH"/>
        </w:rPr>
        <w:t>essential</w:t>
      </w:r>
      <w:r w:rsidRPr="001B6A36">
        <w:rPr>
          <w:rFonts w:cstheme="minorHAnsi"/>
          <w:sz w:val="22"/>
          <w:szCs w:val="22"/>
          <w:lang w:bidi="th-TH"/>
        </w:rPr>
        <w:t xml:space="preserve"> for expanding access to behavioral health in the community. </w:t>
      </w:r>
      <w:r>
        <w:rPr>
          <w:rFonts w:cstheme="minorHAnsi"/>
          <w:sz w:val="22"/>
          <w:szCs w:val="22"/>
          <w:lang w:bidi="th-TH"/>
        </w:rPr>
        <w:t>Yet,</w:t>
      </w:r>
      <w:r w:rsidRPr="001B6A36">
        <w:rPr>
          <w:rFonts w:cstheme="minorHAnsi"/>
          <w:sz w:val="22"/>
          <w:szCs w:val="22"/>
          <w:lang w:bidi="th-TH"/>
        </w:rPr>
        <w:t xml:space="preserve"> many clinic leaders noted that their community partners were </w:t>
      </w:r>
      <w:r>
        <w:rPr>
          <w:rFonts w:cstheme="minorHAnsi"/>
          <w:sz w:val="22"/>
          <w:szCs w:val="22"/>
          <w:lang w:bidi="th-TH"/>
        </w:rPr>
        <w:t>often</w:t>
      </w:r>
      <w:r w:rsidRPr="001B6A36">
        <w:rPr>
          <w:rFonts w:cstheme="minorHAnsi"/>
          <w:sz w:val="22"/>
          <w:szCs w:val="22"/>
          <w:lang w:bidi="th-TH"/>
        </w:rPr>
        <w:t xml:space="preserve"> unaware of their CCBHC status. Elevating awareness of CCBHCs and their unique attributes, particularly the integration of primary care and the requirement to accept anyone regardless of insurance status, could help communities better leverage the CCBHCs. In addition, diversifying the</w:t>
      </w:r>
      <w:r>
        <w:rPr>
          <w:rFonts w:cstheme="minorHAnsi"/>
          <w:sz w:val="22"/>
          <w:szCs w:val="22"/>
          <w:lang w:bidi="th-TH"/>
        </w:rPr>
        <w:t xml:space="preserve"> number and nature of</w:t>
      </w:r>
      <w:r w:rsidRPr="001B6A36">
        <w:rPr>
          <w:rFonts w:cstheme="minorHAnsi"/>
          <w:sz w:val="22"/>
          <w:szCs w:val="22"/>
          <w:lang w:bidi="th-TH"/>
        </w:rPr>
        <w:t xml:space="preserve"> community partners may help clinics develop a better understanding of </w:t>
      </w:r>
      <w:r>
        <w:rPr>
          <w:rFonts w:cstheme="minorHAnsi"/>
          <w:sz w:val="22"/>
          <w:szCs w:val="22"/>
          <w:lang w:bidi="th-TH"/>
        </w:rPr>
        <w:t xml:space="preserve">local </w:t>
      </w:r>
      <w:r w:rsidRPr="001B6A36">
        <w:rPr>
          <w:rFonts w:cstheme="minorHAnsi"/>
          <w:sz w:val="22"/>
          <w:szCs w:val="22"/>
          <w:lang w:bidi="th-TH"/>
        </w:rPr>
        <w:t>service gaps and provide opportunit</w:t>
      </w:r>
      <w:r>
        <w:rPr>
          <w:rFonts w:cstheme="minorHAnsi"/>
          <w:sz w:val="22"/>
          <w:szCs w:val="22"/>
          <w:lang w:bidi="th-TH"/>
        </w:rPr>
        <w:t>ies</w:t>
      </w:r>
      <w:r w:rsidRPr="001B6A36">
        <w:rPr>
          <w:rFonts w:cstheme="minorHAnsi"/>
          <w:sz w:val="22"/>
          <w:szCs w:val="22"/>
          <w:lang w:bidi="th-TH"/>
        </w:rPr>
        <w:t xml:space="preserve"> to </w:t>
      </w:r>
      <w:r>
        <w:rPr>
          <w:rFonts w:cstheme="minorHAnsi"/>
          <w:sz w:val="22"/>
          <w:szCs w:val="22"/>
          <w:lang w:bidi="th-TH"/>
        </w:rPr>
        <w:t>invite</w:t>
      </w:r>
      <w:r w:rsidRPr="001B6A36">
        <w:rPr>
          <w:rFonts w:cstheme="minorHAnsi"/>
          <w:sz w:val="22"/>
          <w:szCs w:val="22"/>
          <w:lang w:bidi="th-TH"/>
        </w:rPr>
        <w:t xml:space="preserve"> essential feedback and guidance on culturally specific outreach and services.</w:t>
      </w:r>
      <w:r>
        <w:rPr>
          <w:rFonts w:cstheme="minorHAnsi"/>
          <w:sz w:val="22"/>
          <w:szCs w:val="22"/>
          <w:lang w:bidi="th-TH"/>
        </w:rPr>
        <w:t xml:space="preserve"> O</w:t>
      </w:r>
      <w:r w:rsidRPr="001B6A36">
        <w:rPr>
          <w:rFonts w:cstheme="minorHAnsi"/>
          <w:sz w:val="22"/>
          <w:szCs w:val="22"/>
          <w:lang w:bidi="th-TH"/>
        </w:rPr>
        <w:t>ne interested party noted the unique challenges that youth encounter and suggested</w:t>
      </w:r>
      <w:r>
        <w:rPr>
          <w:rFonts w:cstheme="minorHAnsi"/>
          <w:sz w:val="22"/>
          <w:szCs w:val="22"/>
          <w:lang w:bidi="th-TH"/>
        </w:rPr>
        <w:t>:</w:t>
      </w:r>
      <w:r w:rsidRPr="001B6A36">
        <w:rPr>
          <w:rFonts w:cstheme="minorHAnsi"/>
          <w:sz w:val="22"/>
          <w:szCs w:val="22"/>
          <w:lang w:bidi="th-TH"/>
        </w:rPr>
        <w:t xml:space="preserve"> “</w:t>
      </w:r>
      <w:r w:rsidRPr="001B6A36">
        <w:rPr>
          <w:rFonts w:cstheme="minorHAnsi"/>
          <w:i/>
          <w:sz w:val="22"/>
          <w:szCs w:val="22"/>
          <w:lang w:bidi="th-TH"/>
        </w:rPr>
        <w:t>I don't know how much space there is within the CCBHC model for this, but [having] some way for youth to inform the development or the ongoing oversight.</w:t>
      </w:r>
      <w:r w:rsidRPr="001B6A36">
        <w:rPr>
          <w:rFonts w:cstheme="minorHAnsi"/>
          <w:i/>
          <w:sz w:val="22"/>
          <w:szCs w:val="22"/>
        </w:rPr>
        <w:t xml:space="preserve"> </w:t>
      </w:r>
      <w:r w:rsidRPr="001B6A36">
        <w:rPr>
          <w:rFonts w:cstheme="minorHAnsi"/>
          <w:i/>
          <w:sz w:val="22"/>
          <w:szCs w:val="22"/>
          <w:lang w:bidi="th-TH"/>
        </w:rPr>
        <w:t>Maybe a consumer advisory council specifically for young people, to provide oversight and ongoing feedback to reduce barriers and improve engagement</w:t>
      </w:r>
      <w:r w:rsidRPr="001B6A36">
        <w:rPr>
          <w:rFonts w:cstheme="minorHAnsi"/>
          <w:sz w:val="22"/>
          <w:szCs w:val="22"/>
          <w:lang w:bidi="th-TH"/>
        </w:rPr>
        <w:t>” (I</w:t>
      </w:r>
      <w:r>
        <w:rPr>
          <w:rFonts w:cstheme="minorHAnsi"/>
          <w:sz w:val="22"/>
          <w:szCs w:val="22"/>
          <w:lang w:bidi="th-TH"/>
        </w:rPr>
        <w:t xml:space="preserve">nterested Party </w:t>
      </w:r>
      <w:r w:rsidRPr="001B6A36">
        <w:rPr>
          <w:rFonts w:cstheme="minorHAnsi"/>
          <w:sz w:val="22"/>
          <w:szCs w:val="22"/>
          <w:lang w:bidi="th-TH"/>
        </w:rPr>
        <w:t xml:space="preserve">26). </w:t>
      </w:r>
      <w:r w:rsidRPr="001B6A36">
        <w:rPr>
          <w:rFonts w:cstheme="minorHAnsi"/>
          <w:sz w:val="22"/>
          <w:szCs w:val="22"/>
        </w:rPr>
        <w:t>Centralized efforts from OHA</w:t>
      </w:r>
      <w:r w:rsidRPr="001B6A36">
        <w:rPr>
          <w:rFonts w:cstheme="minorHAnsi"/>
          <w:sz w:val="22"/>
          <w:szCs w:val="22"/>
          <w:lang w:bidi="th-TH"/>
        </w:rPr>
        <w:t>, drawing upon other OHA initiatives to identify and partner with CBOs and engage communit</w:t>
      </w:r>
      <w:r>
        <w:rPr>
          <w:rFonts w:cstheme="minorHAnsi"/>
          <w:sz w:val="22"/>
          <w:szCs w:val="22"/>
          <w:lang w:bidi="th-TH"/>
        </w:rPr>
        <w:t>ies</w:t>
      </w:r>
      <w:r w:rsidRPr="001B6A36">
        <w:rPr>
          <w:rFonts w:cstheme="minorHAnsi"/>
          <w:sz w:val="22"/>
          <w:szCs w:val="22"/>
          <w:lang w:bidi="th-TH"/>
        </w:rPr>
        <w:t xml:space="preserve">, </w:t>
      </w:r>
      <w:r w:rsidRPr="001B6A36">
        <w:rPr>
          <w:rFonts w:cstheme="minorHAnsi"/>
          <w:sz w:val="22"/>
          <w:szCs w:val="22"/>
        </w:rPr>
        <w:t xml:space="preserve">could help CCBHCs adapt </w:t>
      </w:r>
      <w:r>
        <w:rPr>
          <w:rFonts w:cstheme="minorHAnsi"/>
          <w:sz w:val="22"/>
          <w:szCs w:val="22"/>
        </w:rPr>
        <w:t xml:space="preserve">promising practices from other community-based initiatives and implement </w:t>
      </w:r>
      <w:r w:rsidRPr="001B6A36">
        <w:rPr>
          <w:rFonts w:cstheme="minorHAnsi"/>
          <w:sz w:val="22"/>
          <w:szCs w:val="22"/>
        </w:rPr>
        <w:t xml:space="preserve">strategies to identify potential partners </w:t>
      </w:r>
      <w:r>
        <w:rPr>
          <w:rFonts w:cstheme="minorHAnsi"/>
          <w:sz w:val="22"/>
          <w:szCs w:val="22"/>
        </w:rPr>
        <w:t>that would</w:t>
      </w:r>
      <w:r w:rsidRPr="001B6A36">
        <w:rPr>
          <w:rFonts w:cstheme="minorHAnsi"/>
          <w:sz w:val="22"/>
          <w:szCs w:val="22"/>
        </w:rPr>
        <w:t xml:space="preserve"> build effective relationships for mutual benefit.</w:t>
      </w:r>
    </w:p>
    <w:p w14:paraId="61023292" w14:textId="77777777" w:rsidR="00C81486" w:rsidRDefault="00C81486" w:rsidP="00C0146C">
      <w:pPr>
        <w:rPr>
          <w:rFonts w:cstheme="minorHAnsi"/>
          <w:sz w:val="22"/>
          <w:szCs w:val="22"/>
          <w:lang w:bidi="th-TH"/>
        </w:rPr>
      </w:pPr>
    </w:p>
    <w:p w14:paraId="1C8D83CA" w14:textId="77777777" w:rsidR="00C0146C" w:rsidRPr="00A17C4D" w:rsidRDefault="00C0146C" w:rsidP="00A17C4D">
      <w:pPr>
        <w:spacing w:after="120"/>
        <w:rPr>
          <w:b/>
          <w:bCs/>
          <w:i/>
          <w:iCs/>
          <w:color w:val="6A7F0F"/>
          <w:highlight w:val="white"/>
        </w:rPr>
      </w:pPr>
      <w:r w:rsidRPr="00A17C4D">
        <w:rPr>
          <w:b/>
          <w:bCs/>
          <w:i/>
          <w:iCs/>
          <w:color w:val="6A7F0F"/>
          <w:highlight w:val="white"/>
        </w:rPr>
        <w:t>Address Administrative Burden</w:t>
      </w:r>
    </w:p>
    <w:p w14:paraId="6F020F53" w14:textId="49D53F6B" w:rsidR="00FF1C55" w:rsidRPr="001B6A36" w:rsidRDefault="00FF1C55" w:rsidP="00FF1C55">
      <w:pPr>
        <w:rPr>
          <w:rFonts w:eastAsia="Calibri" w:cstheme="minorHAnsi"/>
          <w:sz w:val="22"/>
          <w:szCs w:val="22"/>
        </w:rPr>
      </w:pPr>
      <w:r w:rsidRPr="001B6A36">
        <w:rPr>
          <w:rFonts w:eastAsia="Calibri" w:cstheme="minorHAnsi"/>
          <w:sz w:val="22"/>
          <w:szCs w:val="22"/>
        </w:rPr>
        <w:t>Many clinic leaders described a high administrative burden from the metrics and reporting requirements</w:t>
      </w:r>
      <w:r>
        <w:rPr>
          <w:rFonts w:eastAsia="Calibri" w:cstheme="minorHAnsi"/>
          <w:sz w:val="22"/>
          <w:szCs w:val="22"/>
        </w:rPr>
        <w:t>; they observed a need for better alignment of required metrics with CCBHC goals</w:t>
      </w:r>
      <w:r w:rsidRPr="001B6A36">
        <w:rPr>
          <w:rFonts w:eastAsia="Calibri" w:cstheme="minorHAnsi"/>
          <w:sz w:val="22"/>
          <w:szCs w:val="22"/>
        </w:rPr>
        <w:t xml:space="preserve">. Clinic leaders generally believed that relieving some of the administrative burden would be a practical step toward reducing burnout among staff. </w:t>
      </w:r>
      <w:r>
        <w:rPr>
          <w:rFonts w:eastAsia="Calibri" w:cstheme="minorHAnsi"/>
          <w:sz w:val="22"/>
          <w:szCs w:val="22"/>
        </w:rPr>
        <w:t xml:space="preserve">One clinic leader </w:t>
      </w:r>
      <w:r w:rsidRPr="001B6A36">
        <w:rPr>
          <w:rFonts w:eastAsia="Calibri" w:cstheme="minorHAnsi"/>
          <w:sz w:val="22"/>
          <w:szCs w:val="22"/>
        </w:rPr>
        <w:t>stated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My request is fewer hoops to jump through so that clinical staff can focus more on client care. That would be really valuable. I know there have to be checks and balances. However, sometimes I think it’s not necessary to do as many as are required</w:t>
      </w:r>
      <w:r w:rsidRPr="001B6A36">
        <w:rPr>
          <w:rFonts w:eastAsia="Calibri" w:cstheme="minorHAnsi"/>
          <w:sz w:val="22"/>
          <w:szCs w:val="22"/>
        </w:rPr>
        <w:t>”</w:t>
      </w:r>
      <w:r>
        <w:rPr>
          <w:rFonts w:eastAsia="Calibri" w:cstheme="minorHAnsi"/>
          <w:sz w:val="22"/>
          <w:szCs w:val="22"/>
        </w:rPr>
        <w:t xml:space="preserve"> (</w:t>
      </w:r>
      <w:r w:rsidRPr="001B6A36">
        <w:rPr>
          <w:rFonts w:eastAsia="Calibri" w:cstheme="minorHAnsi"/>
          <w:sz w:val="22"/>
          <w:szCs w:val="22"/>
        </w:rPr>
        <w:t>Lead Clinical 04</w:t>
      </w:r>
      <w:r>
        <w:rPr>
          <w:rFonts w:eastAsia="Calibri" w:cstheme="minorHAnsi"/>
          <w:sz w:val="22"/>
          <w:szCs w:val="22"/>
        </w:rPr>
        <w:t>).</w:t>
      </w:r>
      <w:r w:rsidRPr="001B6A36">
        <w:rPr>
          <w:rFonts w:eastAsia="Calibri" w:cstheme="minorHAnsi"/>
          <w:sz w:val="22"/>
          <w:szCs w:val="22"/>
        </w:rPr>
        <w:t xml:space="preserve"> This sentiment was echoed by many interested parties, who noted that rules governing behavioral health are </w:t>
      </w:r>
      <w:r>
        <w:rPr>
          <w:rFonts w:eastAsia="Calibri" w:cstheme="minorHAnsi"/>
          <w:sz w:val="22"/>
          <w:szCs w:val="22"/>
        </w:rPr>
        <w:t xml:space="preserve">perceived to </w:t>
      </w:r>
      <w:r w:rsidRPr="001B6A36">
        <w:rPr>
          <w:rFonts w:eastAsia="Calibri" w:cstheme="minorHAnsi"/>
          <w:sz w:val="22"/>
          <w:szCs w:val="22"/>
        </w:rPr>
        <w:t xml:space="preserve">sometimes </w:t>
      </w:r>
      <w:r>
        <w:rPr>
          <w:rFonts w:eastAsia="Calibri" w:cstheme="minorHAnsi"/>
          <w:sz w:val="22"/>
          <w:szCs w:val="22"/>
        </w:rPr>
        <w:t xml:space="preserve">be </w:t>
      </w:r>
      <w:r w:rsidRPr="001B6A36">
        <w:rPr>
          <w:rFonts w:eastAsia="Calibri" w:cstheme="minorHAnsi"/>
          <w:sz w:val="22"/>
          <w:szCs w:val="22"/>
        </w:rPr>
        <w:t xml:space="preserve">too </w:t>
      </w:r>
      <w:r>
        <w:rPr>
          <w:rFonts w:eastAsia="Calibri" w:cstheme="minorHAnsi"/>
          <w:sz w:val="22"/>
          <w:szCs w:val="22"/>
        </w:rPr>
        <w:t>rigid and burdensome as compared to the rules governing primary care.</w:t>
      </w:r>
    </w:p>
    <w:p w14:paraId="3D12C862" w14:textId="77777777" w:rsidR="00FF1C55" w:rsidRPr="001B6A36" w:rsidRDefault="00FF1C55" w:rsidP="00FF1C55">
      <w:pPr>
        <w:rPr>
          <w:rFonts w:eastAsia="Calibri" w:cstheme="minorHAnsi"/>
          <w:sz w:val="22"/>
          <w:szCs w:val="22"/>
        </w:rPr>
      </w:pPr>
    </w:p>
    <w:p w14:paraId="149E1A5E" w14:textId="77777777" w:rsidR="00FF1C55" w:rsidRPr="001B6A36" w:rsidRDefault="00FF1C55" w:rsidP="00FF1C55">
      <w:pPr>
        <w:rPr>
          <w:rFonts w:eastAsia="Calibri" w:cstheme="minorHAnsi"/>
          <w:sz w:val="22"/>
          <w:szCs w:val="22"/>
        </w:rPr>
      </w:pPr>
      <w:r>
        <w:rPr>
          <w:rFonts w:eastAsia="Calibri" w:cstheme="minorHAnsi"/>
          <w:sz w:val="22"/>
          <w:szCs w:val="22"/>
        </w:rPr>
        <w:t>S</w:t>
      </w:r>
      <w:r w:rsidRPr="001B6A36">
        <w:rPr>
          <w:rFonts w:eastAsia="Calibri" w:cstheme="minorHAnsi"/>
          <w:sz w:val="22"/>
          <w:szCs w:val="22"/>
        </w:rPr>
        <w:t xml:space="preserve">ome clinic leaders suggested that consolidating the requirements for various contracts within the state, where possible, could help reduce the administrative burden </w:t>
      </w:r>
      <w:r>
        <w:rPr>
          <w:rFonts w:eastAsia="Calibri" w:cstheme="minorHAnsi"/>
          <w:sz w:val="22"/>
          <w:szCs w:val="22"/>
        </w:rPr>
        <w:t>experienced by</w:t>
      </w:r>
      <w:r w:rsidRPr="001B6A36">
        <w:rPr>
          <w:rFonts w:eastAsia="Calibri" w:cstheme="minorHAnsi"/>
          <w:sz w:val="22"/>
          <w:szCs w:val="22"/>
        </w:rPr>
        <w:t xml:space="preserve"> clinics. Referring to state contracts for being a CMHP and CCBHC, and their CCO contract, one clinic leader </w:t>
      </w:r>
      <w:r>
        <w:rPr>
          <w:rFonts w:eastAsia="Calibri" w:cstheme="minorHAnsi"/>
          <w:sz w:val="22"/>
          <w:szCs w:val="22"/>
        </w:rPr>
        <w:t>said</w:t>
      </w:r>
      <w:r w:rsidRPr="001B6A36">
        <w:rPr>
          <w:rFonts w:eastAsia="Calibri" w:cstheme="minorHAnsi"/>
          <w:sz w:val="22"/>
          <w:szCs w:val="22"/>
        </w:rPr>
        <w:t xml:space="preserve">: </w:t>
      </w:r>
    </w:p>
    <w:p w14:paraId="2DF3F633" w14:textId="1066358F" w:rsidR="00C0146C" w:rsidRDefault="00C0146C" w:rsidP="00FF1C55">
      <w:pPr>
        <w:rPr>
          <w:rFonts w:eastAsia="Calibri" w:cstheme="minorHAnsi"/>
          <w:i/>
          <w:sz w:val="22"/>
          <w:szCs w:val="22"/>
        </w:rPr>
      </w:pPr>
    </w:p>
    <w:p w14:paraId="727BC274" w14:textId="313734DE" w:rsidR="00C0146C" w:rsidRPr="001B6A36" w:rsidRDefault="00C0146C" w:rsidP="00C0146C">
      <w:pPr>
        <w:ind w:left="720"/>
        <w:rPr>
          <w:rFonts w:eastAsia="Calibri" w:cstheme="minorHAnsi"/>
          <w:sz w:val="22"/>
          <w:szCs w:val="22"/>
        </w:rPr>
      </w:pPr>
      <w:r w:rsidRPr="001B6A36">
        <w:rPr>
          <w:rFonts w:eastAsia="Calibri" w:cstheme="minorHAnsi"/>
          <w:i/>
          <w:sz w:val="22"/>
          <w:szCs w:val="22"/>
        </w:rPr>
        <w:t>There are three major systems that are separate, all with different requirements… Aligning those funding sources better and aligning the requirements and the metrics and the auditing and the certifications and all of that would be huge to better sustain us. Just pick the highest bar that we're going for here and go with that one. Don't have three different bars that are all at different levels</w:t>
      </w:r>
      <w:r w:rsidRPr="001B6A36">
        <w:rPr>
          <w:rFonts w:eastAsia="Calibri" w:cstheme="minorHAnsi"/>
          <w:sz w:val="22"/>
          <w:szCs w:val="22"/>
        </w:rPr>
        <w:t xml:space="preserve">. (Lead Clinical 07) </w:t>
      </w:r>
    </w:p>
    <w:p w14:paraId="10DFCFAF" w14:textId="77777777" w:rsidR="00C0146C" w:rsidRPr="001B6A36" w:rsidRDefault="00C0146C" w:rsidP="00C0146C">
      <w:pPr>
        <w:rPr>
          <w:rFonts w:eastAsia="Calibri" w:cstheme="minorHAnsi"/>
          <w:sz w:val="22"/>
          <w:szCs w:val="22"/>
        </w:rPr>
      </w:pPr>
    </w:p>
    <w:p w14:paraId="28573AF4" w14:textId="77777777" w:rsidR="00C233F0" w:rsidRPr="001B6A36" w:rsidRDefault="00C233F0" w:rsidP="00C233F0">
      <w:pPr>
        <w:rPr>
          <w:rFonts w:eastAsia="Calibri" w:cstheme="minorHAnsi"/>
          <w:sz w:val="22"/>
          <w:szCs w:val="22"/>
        </w:rPr>
      </w:pPr>
      <w:r w:rsidRPr="001B6A36">
        <w:rPr>
          <w:rFonts w:eastAsia="Calibri" w:cstheme="minorHAnsi"/>
          <w:sz w:val="22"/>
          <w:szCs w:val="22"/>
        </w:rPr>
        <w:t>Other clinic leaders raised questions about the suitability of some current metrics and wondered if they could be better aligned with the inten</w:t>
      </w:r>
      <w:r>
        <w:rPr>
          <w:rFonts w:eastAsia="Calibri" w:cstheme="minorHAnsi"/>
          <w:sz w:val="22"/>
          <w:szCs w:val="22"/>
        </w:rPr>
        <w:t>tion</w:t>
      </w:r>
      <w:r w:rsidRPr="001B6A36">
        <w:rPr>
          <w:rFonts w:eastAsia="Calibri" w:cstheme="minorHAnsi"/>
          <w:sz w:val="22"/>
          <w:szCs w:val="22"/>
        </w:rPr>
        <w:t xml:space="preserve">s of the CCBHC program. </w:t>
      </w:r>
      <w:r>
        <w:rPr>
          <w:rFonts w:eastAsia="Calibri" w:cstheme="minorHAnsi"/>
          <w:sz w:val="22"/>
          <w:szCs w:val="22"/>
        </w:rPr>
        <w:t>T</w:t>
      </w:r>
      <w:r w:rsidRPr="001B6A36">
        <w:rPr>
          <w:rFonts w:eastAsia="Calibri" w:cstheme="minorHAnsi"/>
          <w:sz w:val="22"/>
          <w:szCs w:val="22"/>
        </w:rPr>
        <w:t>hey recognized the difficulty in developing appropriate metrics, especially because of the perspective, shared by many clinic leaders, that “</w:t>
      </w:r>
      <w:r w:rsidRPr="001B6A36">
        <w:rPr>
          <w:rFonts w:eastAsia="Calibri" w:cstheme="minorHAnsi"/>
          <w:i/>
          <w:sz w:val="22"/>
          <w:szCs w:val="22"/>
        </w:rPr>
        <w:t>so much of CCBHC isn’t easily measurable</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06). Clinic leaders held varied opinions on how the metrics could be improved. </w:t>
      </w:r>
      <w:r>
        <w:rPr>
          <w:rFonts w:eastAsia="Calibri" w:cstheme="minorHAnsi"/>
          <w:sz w:val="22"/>
          <w:szCs w:val="22"/>
        </w:rPr>
        <w:t>A</w:t>
      </w:r>
      <w:r w:rsidRPr="001B6A36">
        <w:rPr>
          <w:rFonts w:eastAsia="Calibri" w:cstheme="minorHAnsi"/>
          <w:sz w:val="22"/>
          <w:szCs w:val="22"/>
        </w:rPr>
        <w:t xml:space="preserve"> few </w:t>
      </w:r>
      <w:r>
        <w:rPr>
          <w:rFonts w:eastAsia="Calibri" w:cstheme="minorHAnsi"/>
          <w:sz w:val="22"/>
          <w:szCs w:val="22"/>
        </w:rPr>
        <w:t>observed</w:t>
      </w:r>
      <w:r w:rsidRPr="001B6A36">
        <w:rPr>
          <w:rFonts w:eastAsia="Calibri" w:cstheme="minorHAnsi"/>
          <w:sz w:val="22"/>
          <w:szCs w:val="22"/>
        </w:rPr>
        <w:t xml:space="preserve"> that the current metrics for CCBHCs are generally process-oriented, whereas they would prefer to see </w:t>
      </w:r>
      <w:r>
        <w:rPr>
          <w:rFonts w:eastAsia="Calibri" w:cstheme="minorHAnsi"/>
          <w:sz w:val="22"/>
          <w:szCs w:val="22"/>
        </w:rPr>
        <w:t xml:space="preserve">clear </w:t>
      </w:r>
      <w:r w:rsidRPr="001B6A36">
        <w:rPr>
          <w:rFonts w:eastAsia="Calibri" w:cstheme="minorHAnsi"/>
          <w:sz w:val="22"/>
          <w:szCs w:val="22"/>
        </w:rPr>
        <w:t xml:space="preserve">outcome-oriented metrics. Others noted that outcomes that are appropriate for urban areas </w:t>
      </w:r>
      <w:r>
        <w:rPr>
          <w:rFonts w:eastAsia="Calibri" w:cstheme="minorHAnsi"/>
          <w:sz w:val="22"/>
          <w:szCs w:val="22"/>
        </w:rPr>
        <w:t>are</w:t>
      </w:r>
      <w:r w:rsidRPr="001B6A36">
        <w:rPr>
          <w:rFonts w:eastAsia="Calibri" w:cstheme="minorHAnsi"/>
          <w:sz w:val="22"/>
          <w:szCs w:val="22"/>
        </w:rPr>
        <w:t xml:space="preserve"> not necessarily the most relevant for rural counties</w:t>
      </w:r>
      <w:r>
        <w:rPr>
          <w:rFonts w:eastAsia="Calibri" w:cstheme="minorHAnsi"/>
          <w:sz w:val="22"/>
          <w:szCs w:val="22"/>
        </w:rPr>
        <w:t>,</w:t>
      </w:r>
      <w:r w:rsidRPr="001B6A36">
        <w:rPr>
          <w:rFonts w:eastAsia="Calibri" w:cstheme="minorHAnsi"/>
          <w:sz w:val="22"/>
          <w:szCs w:val="22"/>
        </w:rPr>
        <w:t xml:space="preserve"> and vice versa. Overall, clinic leaders support</w:t>
      </w:r>
      <w:r>
        <w:rPr>
          <w:rFonts w:eastAsia="Calibri" w:cstheme="minorHAnsi"/>
          <w:sz w:val="22"/>
          <w:szCs w:val="22"/>
        </w:rPr>
        <w:t>ed</w:t>
      </w:r>
      <w:r w:rsidRPr="001B6A36">
        <w:rPr>
          <w:rFonts w:eastAsia="Calibri" w:cstheme="minorHAnsi"/>
          <w:sz w:val="22"/>
          <w:szCs w:val="22"/>
        </w:rPr>
        <w:t xml:space="preserve"> rigorous data collection for evaluation but want</w:t>
      </w:r>
      <w:r>
        <w:rPr>
          <w:rFonts w:eastAsia="Calibri" w:cstheme="minorHAnsi"/>
          <w:sz w:val="22"/>
          <w:szCs w:val="22"/>
        </w:rPr>
        <w:t>ed</w:t>
      </w:r>
      <w:r w:rsidRPr="001B6A36">
        <w:rPr>
          <w:rFonts w:eastAsia="Calibri" w:cstheme="minorHAnsi"/>
          <w:sz w:val="22"/>
          <w:szCs w:val="22"/>
        </w:rPr>
        <w:t xml:space="preserve"> to ensure metrics are meaningful and actionable and not unnecessarily burdensome.</w:t>
      </w:r>
    </w:p>
    <w:p w14:paraId="2C775E30" w14:textId="77777777" w:rsidR="00C0146C" w:rsidRPr="001B6A36" w:rsidRDefault="00C0146C" w:rsidP="00C0146C">
      <w:pPr>
        <w:rPr>
          <w:rFonts w:eastAsia="Calibri" w:cstheme="minorHAnsi"/>
          <w:sz w:val="22"/>
          <w:szCs w:val="22"/>
          <w:highlight w:val="white"/>
        </w:rPr>
      </w:pPr>
    </w:p>
    <w:p w14:paraId="7A652AFB" w14:textId="77777777" w:rsidR="00C0146C" w:rsidRPr="00A17C4D" w:rsidRDefault="00C0146C" w:rsidP="00A17C4D">
      <w:pPr>
        <w:spacing w:after="120"/>
        <w:rPr>
          <w:b/>
          <w:bCs/>
          <w:i/>
          <w:iCs/>
          <w:color w:val="6A7F0F"/>
          <w:highlight w:val="white"/>
        </w:rPr>
      </w:pPr>
      <w:r w:rsidRPr="00A17C4D">
        <w:rPr>
          <w:b/>
          <w:bCs/>
          <w:i/>
          <w:iCs/>
          <w:color w:val="6A7F0F"/>
          <w:highlight w:val="white"/>
        </w:rPr>
        <w:t xml:space="preserve">Invest in Data Infrastructure </w:t>
      </w:r>
    </w:p>
    <w:p w14:paraId="61E02854" w14:textId="3C23C79D" w:rsidR="00C233F0" w:rsidRDefault="00C233F0" w:rsidP="00C233F0">
      <w:pPr>
        <w:rPr>
          <w:rFonts w:eastAsia="Calibri" w:cstheme="minorHAnsi"/>
          <w:sz w:val="22"/>
          <w:szCs w:val="22"/>
        </w:rPr>
      </w:pPr>
      <w:r w:rsidRPr="001B6A36">
        <w:rPr>
          <w:rFonts w:eastAsia="Calibri" w:cstheme="minorHAnsi"/>
          <w:sz w:val="22"/>
          <w:szCs w:val="22"/>
        </w:rPr>
        <w:t xml:space="preserve">Many clinic </w:t>
      </w:r>
      <w:r>
        <w:rPr>
          <w:rFonts w:eastAsia="Calibri" w:cstheme="minorHAnsi"/>
          <w:sz w:val="22"/>
          <w:szCs w:val="22"/>
        </w:rPr>
        <w:t>leaders</w:t>
      </w:r>
      <w:r w:rsidRPr="001B6A36">
        <w:rPr>
          <w:rFonts w:eastAsia="Calibri" w:cstheme="minorHAnsi"/>
          <w:sz w:val="22"/>
          <w:szCs w:val="22"/>
        </w:rPr>
        <w:t xml:space="preserve"> reported their data systems were not capable of the data collection </w:t>
      </w:r>
      <w:r w:rsidR="00D353E7">
        <w:rPr>
          <w:rFonts w:eastAsia="Calibri" w:cstheme="minorHAnsi"/>
          <w:sz w:val="22"/>
          <w:szCs w:val="22"/>
        </w:rPr>
        <w:t>for</w:t>
      </w:r>
      <w:r w:rsidRPr="001B6A36">
        <w:rPr>
          <w:rFonts w:eastAsia="Calibri" w:cstheme="minorHAnsi"/>
          <w:sz w:val="22"/>
          <w:szCs w:val="22"/>
        </w:rPr>
        <w:t xml:space="preserve"> state reporting requirements for CCBHCs. Several behavioral health EHRs did not integrate well with primary care or were not capable of incorporating data from physical health screenings. The experience of clinic leaders suggests that the administrative burden for staff could be mitigated by </w:t>
      </w:r>
      <w:r>
        <w:rPr>
          <w:rFonts w:eastAsia="Calibri" w:cstheme="minorHAnsi"/>
          <w:sz w:val="22"/>
          <w:szCs w:val="22"/>
        </w:rPr>
        <w:t xml:space="preserve">higher </w:t>
      </w:r>
      <w:r w:rsidRPr="001B6A36">
        <w:rPr>
          <w:rFonts w:eastAsia="Calibri" w:cstheme="minorHAnsi"/>
          <w:sz w:val="22"/>
          <w:szCs w:val="22"/>
        </w:rPr>
        <w:t>quality data systems</w:t>
      </w:r>
      <w:r>
        <w:rPr>
          <w:rFonts w:eastAsia="Calibri" w:cstheme="minorHAnsi"/>
          <w:sz w:val="22"/>
          <w:szCs w:val="22"/>
        </w:rPr>
        <w:t xml:space="preserve"> that are interoperable</w:t>
      </w:r>
      <w:r w:rsidRPr="001B6A36">
        <w:rPr>
          <w:rFonts w:eastAsia="Calibri" w:cstheme="minorHAnsi"/>
          <w:sz w:val="22"/>
          <w:szCs w:val="22"/>
        </w:rPr>
        <w:t>. As one clinic leader stated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You can have the best clinicians in the world, but you've got to have the infrastructure to do the things like data collection and have it integrated into your EHR, so people aren't doing double charting and double work with documentation</w:t>
      </w:r>
      <w:r w:rsidRPr="001B6A36">
        <w:rPr>
          <w:rFonts w:eastAsia="Calibri" w:cstheme="minorHAnsi"/>
          <w:sz w:val="22"/>
          <w:szCs w:val="22"/>
        </w:rPr>
        <w:t xml:space="preserve">” (Lead Clinical 07). </w:t>
      </w:r>
    </w:p>
    <w:p w14:paraId="6C92FDC8" w14:textId="77777777" w:rsidR="00C233F0" w:rsidRDefault="00C233F0" w:rsidP="00C233F0">
      <w:pPr>
        <w:rPr>
          <w:rFonts w:eastAsia="Calibri" w:cstheme="minorHAnsi"/>
          <w:sz w:val="22"/>
          <w:szCs w:val="22"/>
        </w:rPr>
      </w:pPr>
    </w:p>
    <w:p w14:paraId="5B353147" w14:textId="6F78138D" w:rsidR="00C0146C" w:rsidRPr="00C233F0" w:rsidRDefault="00C233F0" w:rsidP="00C233F0">
      <w:pPr>
        <w:rPr>
          <w:rFonts w:eastAsia="Calibri" w:cstheme="minorHAnsi"/>
          <w:sz w:val="22"/>
          <w:szCs w:val="22"/>
        </w:rPr>
      </w:pPr>
      <w:r w:rsidRPr="001B6A36">
        <w:rPr>
          <w:rFonts w:cstheme="minorHAnsi"/>
          <w:sz w:val="22"/>
          <w:szCs w:val="22"/>
        </w:rPr>
        <w:t xml:space="preserve">Interested parties also highlighted the importance of adequate data infrastructure. One noted that Oregon’s antiquated </w:t>
      </w:r>
      <w:r>
        <w:rPr>
          <w:rFonts w:cstheme="minorHAnsi"/>
          <w:sz w:val="22"/>
          <w:szCs w:val="22"/>
        </w:rPr>
        <w:t xml:space="preserve">data </w:t>
      </w:r>
      <w:r w:rsidRPr="001B6A36">
        <w:rPr>
          <w:rFonts w:cstheme="minorHAnsi"/>
          <w:sz w:val="22"/>
          <w:szCs w:val="22"/>
        </w:rPr>
        <w:t>systems were a barrier to increasing access to behavioral health</w:t>
      </w:r>
      <w:r>
        <w:rPr>
          <w:rFonts w:cstheme="minorHAnsi"/>
          <w:sz w:val="22"/>
          <w:szCs w:val="22"/>
        </w:rPr>
        <w:t>:</w:t>
      </w:r>
    </w:p>
    <w:p w14:paraId="5A48C03C" w14:textId="77777777" w:rsidR="00C233F0" w:rsidRDefault="00C233F0" w:rsidP="00C233F0">
      <w:pPr>
        <w:ind w:left="720"/>
        <w:rPr>
          <w:rFonts w:cstheme="minorHAnsi"/>
          <w:i/>
          <w:color w:val="000000"/>
          <w:sz w:val="22"/>
          <w:szCs w:val="22"/>
        </w:rPr>
      </w:pPr>
    </w:p>
    <w:p w14:paraId="67EB4372" w14:textId="599599AC" w:rsidR="00C0146C" w:rsidRPr="001B6A36" w:rsidRDefault="00C0146C" w:rsidP="00C0146C">
      <w:pPr>
        <w:ind w:left="720"/>
        <w:rPr>
          <w:rFonts w:cstheme="minorHAnsi"/>
          <w:color w:val="000000"/>
          <w:sz w:val="22"/>
          <w:szCs w:val="22"/>
        </w:rPr>
      </w:pPr>
      <w:r w:rsidRPr="001B6A36">
        <w:rPr>
          <w:rFonts w:cstheme="minorHAnsi"/>
          <w:i/>
          <w:color w:val="000000"/>
          <w:sz w:val="22"/>
          <w:szCs w:val="22"/>
        </w:rPr>
        <w:t>Other states have implemented…data warehouses that push and pull data to create dashboards…</w:t>
      </w:r>
      <w:r>
        <w:rPr>
          <w:rFonts w:cstheme="minorHAnsi"/>
          <w:i/>
          <w:color w:val="000000"/>
          <w:sz w:val="22"/>
          <w:szCs w:val="22"/>
        </w:rPr>
        <w:t xml:space="preserve"> </w:t>
      </w:r>
      <w:r w:rsidRPr="001B6A36">
        <w:rPr>
          <w:rFonts w:cstheme="minorHAnsi"/>
          <w:i/>
          <w:color w:val="000000"/>
          <w:sz w:val="22"/>
          <w:szCs w:val="22"/>
        </w:rPr>
        <w:t>We have none of that in the state of Oregon. The systems we have, they're old and they don't work…</w:t>
      </w:r>
      <w:r>
        <w:rPr>
          <w:rFonts w:cstheme="minorHAnsi"/>
          <w:i/>
          <w:color w:val="000000"/>
          <w:sz w:val="22"/>
          <w:szCs w:val="22"/>
        </w:rPr>
        <w:t xml:space="preserve"> </w:t>
      </w:r>
      <w:r w:rsidRPr="001B6A36">
        <w:rPr>
          <w:rFonts w:cstheme="minorHAnsi"/>
          <w:i/>
          <w:color w:val="000000"/>
          <w:sz w:val="22"/>
          <w:szCs w:val="22"/>
        </w:rPr>
        <w:t>We can't even identify what we need to invest in [because] we have such poor data because we have not invested [in it]</w:t>
      </w:r>
      <w:r>
        <w:rPr>
          <w:rFonts w:cstheme="minorHAnsi"/>
          <w:i/>
          <w:color w:val="000000"/>
          <w:sz w:val="22"/>
          <w:szCs w:val="22"/>
        </w:rPr>
        <w:t>.</w:t>
      </w:r>
      <w:r w:rsidRPr="001B6A36">
        <w:rPr>
          <w:rFonts w:cstheme="minorHAnsi"/>
          <w:color w:val="000000"/>
          <w:sz w:val="22"/>
          <w:szCs w:val="22"/>
        </w:rPr>
        <w:t xml:space="preserve"> (</w:t>
      </w:r>
      <w:r>
        <w:rPr>
          <w:rFonts w:cstheme="minorHAnsi"/>
          <w:color w:val="000000"/>
          <w:sz w:val="22"/>
          <w:szCs w:val="22"/>
        </w:rPr>
        <w:t>Interested Party</w:t>
      </w:r>
      <w:r w:rsidRPr="001B6A36">
        <w:rPr>
          <w:rFonts w:cstheme="minorHAnsi"/>
          <w:color w:val="000000"/>
          <w:sz w:val="22"/>
          <w:szCs w:val="22"/>
        </w:rPr>
        <w:t xml:space="preserve"> 23)</w:t>
      </w:r>
    </w:p>
    <w:p w14:paraId="47876400" w14:textId="77777777" w:rsidR="00C0146C" w:rsidRPr="001B6A36" w:rsidRDefault="00C0146C" w:rsidP="00C0146C">
      <w:pPr>
        <w:rPr>
          <w:rFonts w:cstheme="minorHAnsi"/>
          <w:color w:val="000000"/>
          <w:sz w:val="22"/>
          <w:szCs w:val="22"/>
        </w:rPr>
      </w:pPr>
    </w:p>
    <w:p w14:paraId="5C290337" w14:textId="77777777" w:rsidR="00C233F0" w:rsidRDefault="00C233F0" w:rsidP="00C233F0">
      <w:pPr>
        <w:rPr>
          <w:rFonts w:cstheme="minorHAnsi"/>
          <w:color w:val="000000"/>
          <w:sz w:val="22"/>
          <w:szCs w:val="22"/>
          <w:shd w:val="clear" w:color="auto" w:fill="FFFFFF"/>
        </w:rPr>
      </w:pPr>
      <w:r w:rsidRPr="001B6A36">
        <w:rPr>
          <w:rFonts w:cstheme="minorHAnsi"/>
          <w:color w:val="000000"/>
          <w:sz w:val="22"/>
          <w:szCs w:val="22"/>
          <w:shd w:val="clear" w:color="auto" w:fill="FFFFFF"/>
        </w:rPr>
        <w:t xml:space="preserve">Another interested party indicated that inadequate data </w:t>
      </w:r>
      <w:r>
        <w:rPr>
          <w:rFonts w:cstheme="minorHAnsi"/>
          <w:color w:val="000000"/>
          <w:sz w:val="22"/>
          <w:szCs w:val="22"/>
          <w:shd w:val="clear" w:color="auto" w:fill="FFFFFF"/>
        </w:rPr>
        <w:t xml:space="preserve">capabilities </w:t>
      </w:r>
      <w:r w:rsidRPr="001B6A36">
        <w:rPr>
          <w:rFonts w:cstheme="minorHAnsi"/>
          <w:color w:val="000000"/>
          <w:sz w:val="22"/>
          <w:szCs w:val="22"/>
          <w:shd w:val="clear" w:color="auto" w:fill="FFFFFF"/>
        </w:rPr>
        <w:t>impeded the ability of CCBHCs to identify underserved populations</w:t>
      </w:r>
      <w:r>
        <w:rPr>
          <w:rFonts w:cstheme="minorHAnsi"/>
          <w:color w:val="000000"/>
          <w:sz w:val="22"/>
          <w:szCs w:val="22"/>
          <w:shd w:val="clear" w:color="auto" w:fill="FFFFFF"/>
        </w:rPr>
        <w:t>:</w:t>
      </w:r>
      <w:r w:rsidRPr="001B6A36">
        <w:rPr>
          <w:rFonts w:cstheme="minorHAnsi"/>
          <w:color w:val="000000"/>
          <w:sz w:val="22"/>
          <w:szCs w:val="22"/>
          <w:shd w:val="clear" w:color="auto" w:fill="FFFFFF"/>
        </w:rPr>
        <w:t xml:space="preserve"> “</w:t>
      </w:r>
      <w:r w:rsidRPr="001B6A36">
        <w:rPr>
          <w:rFonts w:cstheme="minorHAnsi"/>
          <w:i/>
          <w:color w:val="000000"/>
          <w:sz w:val="22"/>
          <w:szCs w:val="22"/>
          <w:shd w:val="clear" w:color="auto" w:fill="FFFFFF"/>
        </w:rPr>
        <w:t>They don</w:t>
      </w:r>
      <w:r>
        <w:rPr>
          <w:rFonts w:cstheme="minorHAnsi"/>
          <w:i/>
          <w:color w:val="000000"/>
          <w:sz w:val="22"/>
          <w:szCs w:val="22"/>
          <w:shd w:val="clear" w:color="auto" w:fill="FFFFFF"/>
        </w:rPr>
        <w:t>’</w:t>
      </w:r>
      <w:r w:rsidRPr="001B6A36">
        <w:rPr>
          <w:rFonts w:cstheme="minorHAnsi"/>
          <w:i/>
          <w:color w:val="000000"/>
          <w:sz w:val="22"/>
          <w:szCs w:val="22"/>
          <w:shd w:val="clear" w:color="auto" w:fill="FFFFFF"/>
        </w:rPr>
        <w:t>t know who their underserved populations are because they don</w:t>
      </w:r>
      <w:r>
        <w:rPr>
          <w:rFonts w:cstheme="minorHAnsi"/>
          <w:i/>
          <w:color w:val="000000"/>
          <w:sz w:val="22"/>
          <w:szCs w:val="22"/>
          <w:shd w:val="clear" w:color="auto" w:fill="FFFFFF"/>
        </w:rPr>
        <w:t>’</w:t>
      </w:r>
      <w:r w:rsidRPr="001B6A36">
        <w:rPr>
          <w:rFonts w:cstheme="minorHAnsi"/>
          <w:i/>
          <w:color w:val="000000"/>
          <w:sz w:val="22"/>
          <w:szCs w:val="22"/>
          <w:shd w:val="clear" w:color="auto" w:fill="FFFFFF"/>
        </w:rPr>
        <w:t>t have the data infrastructure</w:t>
      </w:r>
      <w:r w:rsidRPr="001B6A36">
        <w:rPr>
          <w:rFonts w:cstheme="minorHAnsi"/>
          <w:color w:val="000000"/>
          <w:sz w:val="22"/>
          <w:szCs w:val="22"/>
          <w:shd w:val="clear" w:color="auto" w:fill="FFFFFF"/>
        </w:rPr>
        <w:t>” (I</w:t>
      </w:r>
      <w:r>
        <w:rPr>
          <w:rFonts w:cstheme="minorHAnsi"/>
          <w:color w:val="000000"/>
          <w:sz w:val="22"/>
          <w:szCs w:val="22"/>
          <w:shd w:val="clear" w:color="auto" w:fill="FFFFFF"/>
        </w:rPr>
        <w:t>nterested Party</w:t>
      </w:r>
      <w:r w:rsidRPr="001B6A36">
        <w:rPr>
          <w:rFonts w:cstheme="minorHAnsi"/>
          <w:color w:val="000000"/>
          <w:sz w:val="22"/>
          <w:szCs w:val="22"/>
          <w:shd w:val="clear" w:color="auto" w:fill="FFFFFF"/>
        </w:rPr>
        <w:t xml:space="preserve"> 03). This was also a theme that arose in multiple community health </w:t>
      </w:r>
      <w:r>
        <w:rPr>
          <w:rFonts w:cstheme="minorHAnsi"/>
          <w:color w:val="000000"/>
          <w:sz w:val="22"/>
          <w:szCs w:val="22"/>
          <w:shd w:val="clear" w:color="auto" w:fill="FFFFFF"/>
        </w:rPr>
        <w:t>repor</w:t>
      </w:r>
      <w:r w:rsidRPr="001B6A36">
        <w:rPr>
          <w:rFonts w:cstheme="minorHAnsi"/>
          <w:color w:val="000000"/>
          <w:sz w:val="22"/>
          <w:szCs w:val="22"/>
          <w:shd w:val="clear" w:color="auto" w:fill="FFFFFF"/>
        </w:rPr>
        <w:t xml:space="preserve">ts. </w:t>
      </w:r>
      <w:r>
        <w:rPr>
          <w:rFonts w:cstheme="minorHAnsi"/>
          <w:color w:val="000000"/>
          <w:sz w:val="22"/>
          <w:szCs w:val="22"/>
          <w:shd w:val="clear" w:color="auto" w:fill="FFFFFF"/>
        </w:rPr>
        <w:t xml:space="preserve">Some clinic leaders were able to hire a data analyst as a part of their staff expansion, which allowed the CCBHC to understand and utilize the data they collect much more effectively. Other clinic leaders expressed hope for an increased focus on data analysis in the future.  </w:t>
      </w:r>
    </w:p>
    <w:p w14:paraId="2C6D4EF8" w14:textId="77777777" w:rsidR="00C233F0" w:rsidRDefault="00C233F0" w:rsidP="00C233F0">
      <w:pPr>
        <w:rPr>
          <w:rFonts w:cstheme="minorHAnsi"/>
          <w:color w:val="000000"/>
          <w:sz w:val="22"/>
          <w:szCs w:val="22"/>
          <w:shd w:val="clear" w:color="auto" w:fill="FFFFFF"/>
        </w:rPr>
      </w:pPr>
    </w:p>
    <w:p w14:paraId="787B3F7B" w14:textId="77777777" w:rsidR="00C233F0" w:rsidRDefault="00C233F0" w:rsidP="00C233F0">
      <w:pPr>
        <w:rPr>
          <w:rFonts w:cstheme="minorHAnsi"/>
          <w:i/>
          <w:sz w:val="22"/>
          <w:szCs w:val="22"/>
        </w:rPr>
      </w:pPr>
      <w:r w:rsidRPr="007456F8">
        <w:rPr>
          <w:rFonts w:cstheme="minorHAnsi"/>
          <w:sz w:val="22"/>
          <w:szCs w:val="22"/>
        </w:rPr>
        <w:t xml:space="preserve">Several clinic leaders mentioned </w:t>
      </w:r>
      <w:r>
        <w:rPr>
          <w:rFonts w:cstheme="minorHAnsi"/>
          <w:sz w:val="22"/>
          <w:szCs w:val="22"/>
        </w:rPr>
        <w:t>the potential value of</w:t>
      </w:r>
      <w:r w:rsidRPr="007456F8">
        <w:rPr>
          <w:rFonts w:cstheme="minorHAnsi"/>
          <w:sz w:val="22"/>
          <w:szCs w:val="22"/>
        </w:rPr>
        <w:t xml:space="preserve"> </w:t>
      </w:r>
      <w:r>
        <w:rPr>
          <w:rFonts w:cstheme="minorHAnsi"/>
          <w:sz w:val="22"/>
          <w:szCs w:val="22"/>
        </w:rPr>
        <w:t xml:space="preserve">being asked to report on </w:t>
      </w:r>
      <w:r w:rsidRPr="007456F8">
        <w:rPr>
          <w:rFonts w:cstheme="minorHAnsi"/>
          <w:sz w:val="22"/>
          <w:szCs w:val="22"/>
        </w:rPr>
        <w:t xml:space="preserve">metrics that </w:t>
      </w:r>
      <w:r>
        <w:rPr>
          <w:rFonts w:cstheme="minorHAnsi"/>
          <w:sz w:val="22"/>
          <w:szCs w:val="22"/>
        </w:rPr>
        <w:t>reflect</w:t>
      </w:r>
      <w:r w:rsidRPr="007456F8">
        <w:rPr>
          <w:rFonts w:cstheme="minorHAnsi"/>
          <w:sz w:val="22"/>
          <w:szCs w:val="22"/>
        </w:rPr>
        <w:t xml:space="preserve"> quality of life or well-being, rather than </w:t>
      </w:r>
      <w:r>
        <w:rPr>
          <w:rFonts w:cstheme="minorHAnsi"/>
          <w:sz w:val="22"/>
          <w:szCs w:val="22"/>
        </w:rPr>
        <w:t xml:space="preserve">being asked to report </w:t>
      </w:r>
      <w:r w:rsidRPr="007456F8">
        <w:rPr>
          <w:rFonts w:cstheme="minorHAnsi"/>
          <w:sz w:val="22"/>
          <w:szCs w:val="22"/>
        </w:rPr>
        <w:t xml:space="preserve">on specific measurements or </w:t>
      </w:r>
      <w:r>
        <w:rPr>
          <w:rFonts w:cstheme="minorHAnsi"/>
          <w:sz w:val="22"/>
          <w:szCs w:val="22"/>
        </w:rPr>
        <w:t xml:space="preserve">more </w:t>
      </w:r>
      <w:r w:rsidRPr="00995C96">
        <w:rPr>
          <w:rFonts w:cstheme="minorHAnsi"/>
          <w:sz w:val="22"/>
          <w:szCs w:val="22"/>
        </w:rPr>
        <w:t xml:space="preserve">generally on cost-saving outcomes. They suggested such modifications in metrics would reinforce the CCBHC program’s goal of person-centered care. They would like to </w:t>
      </w:r>
      <w:r w:rsidRPr="009D5C5D">
        <w:rPr>
          <w:rFonts w:eastAsia="Calibri" w:cstheme="minorHAnsi"/>
          <w:sz w:val="22"/>
          <w:szCs w:val="22"/>
        </w:rPr>
        <w:t>collect meaningful data that are aligned with state equity goals</w:t>
      </w:r>
      <w:r w:rsidRPr="00995C96">
        <w:rPr>
          <w:rFonts w:cstheme="minorHAnsi"/>
          <w:sz w:val="22"/>
          <w:szCs w:val="22"/>
        </w:rPr>
        <w:t xml:space="preserve"> and help the clinics to better understand </w:t>
      </w:r>
      <w:r w:rsidRPr="009D5C5D">
        <w:rPr>
          <w:rFonts w:eastAsia="Calibri" w:cstheme="minorHAnsi"/>
          <w:sz w:val="22"/>
          <w:szCs w:val="22"/>
        </w:rPr>
        <w:t>outcomes</w:t>
      </w:r>
      <w:r w:rsidRPr="00995C96">
        <w:rPr>
          <w:rFonts w:eastAsia="Calibri" w:cstheme="minorHAnsi"/>
          <w:sz w:val="22"/>
          <w:szCs w:val="22"/>
        </w:rPr>
        <w:t xml:space="preserve"> for service users and community health improvement.</w:t>
      </w:r>
    </w:p>
    <w:p w14:paraId="2B3F4526" w14:textId="77777777" w:rsidR="00C233F0" w:rsidRDefault="00C233F0" w:rsidP="00C233F0">
      <w:pPr>
        <w:rPr>
          <w:sz w:val="22"/>
          <w:szCs w:val="22"/>
        </w:rPr>
      </w:pPr>
    </w:p>
    <w:p w14:paraId="354C9933" w14:textId="77777777" w:rsidR="00C233F0" w:rsidRPr="001B6A36" w:rsidRDefault="00C233F0" w:rsidP="00C233F0">
      <w:pPr>
        <w:rPr>
          <w:rFonts w:eastAsia="Calibri" w:cstheme="minorHAnsi"/>
          <w:sz w:val="22"/>
          <w:szCs w:val="22"/>
        </w:rPr>
      </w:pPr>
      <w:r w:rsidRPr="001B6A36">
        <w:rPr>
          <w:rFonts w:eastAsia="Calibri" w:cstheme="minorHAnsi"/>
          <w:sz w:val="22"/>
          <w:szCs w:val="22"/>
        </w:rPr>
        <w:t xml:space="preserve">Data and analytics are critical success factors </w:t>
      </w:r>
      <w:r>
        <w:rPr>
          <w:rFonts w:eastAsia="Calibri" w:cstheme="minorHAnsi"/>
          <w:sz w:val="22"/>
          <w:szCs w:val="22"/>
        </w:rPr>
        <w:t>for</w:t>
      </w:r>
      <w:r w:rsidRPr="001B6A36">
        <w:rPr>
          <w:rFonts w:eastAsia="Calibri" w:cstheme="minorHAnsi"/>
          <w:sz w:val="22"/>
          <w:szCs w:val="22"/>
        </w:rPr>
        <w:t xml:space="preserve"> the CCBHC program. Better data systems</w:t>
      </w:r>
      <w:r>
        <w:rPr>
          <w:rFonts w:eastAsia="Calibri" w:cstheme="minorHAnsi"/>
          <w:sz w:val="22"/>
          <w:szCs w:val="22"/>
        </w:rPr>
        <w:t>, training in</w:t>
      </w:r>
      <w:r>
        <w:rPr>
          <w:rFonts w:ascii="Calibri" w:eastAsia="Calibri" w:hAnsi="Calibri" w:cs="Calibri"/>
          <w:sz w:val="22"/>
          <w:szCs w:val="22"/>
        </w:rPr>
        <w:t xml:space="preserve"> collecting and using disaggregated data, and</w:t>
      </w:r>
      <w:r>
        <w:rPr>
          <w:rFonts w:eastAsia="Calibri" w:cstheme="minorHAnsi"/>
          <w:sz w:val="22"/>
          <w:szCs w:val="22"/>
        </w:rPr>
        <w:t xml:space="preserve"> staff</w:t>
      </w:r>
      <w:r w:rsidRPr="001B6A36">
        <w:rPr>
          <w:rFonts w:eastAsia="Calibri" w:cstheme="minorHAnsi"/>
          <w:sz w:val="22"/>
          <w:szCs w:val="22"/>
        </w:rPr>
        <w:t xml:space="preserve"> who can make sense of th</w:t>
      </w:r>
      <w:r>
        <w:rPr>
          <w:rFonts w:eastAsia="Calibri" w:cstheme="minorHAnsi"/>
          <w:sz w:val="22"/>
          <w:szCs w:val="22"/>
        </w:rPr>
        <w:t>ose</w:t>
      </w:r>
      <w:r w:rsidRPr="001B6A36">
        <w:rPr>
          <w:rFonts w:eastAsia="Calibri" w:cstheme="minorHAnsi"/>
          <w:sz w:val="22"/>
          <w:szCs w:val="22"/>
        </w:rPr>
        <w:t xml:space="preserve"> data could improve efforts to center equity and coordinate care. </w:t>
      </w:r>
      <w:r>
        <w:rPr>
          <w:rFonts w:eastAsia="Calibri" w:cstheme="minorHAnsi"/>
          <w:sz w:val="22"/>
          <w:szCs w:val="22"/>
        </w:rPr>
        <w:t>O</w:t>
      </w:r>
      <w:r w:rsidRPr="001B6A36">
        <w:rPr>
          <w:rFonts w:eastAsia="Calibri" w:cstheme="minorHAnsi"/>
          <w:sz w:val="22"/>
          <w:szCs w:val="22"/>
        </w:rPr>
        <w:t>ne clinic leader stressed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Sharing data is still one of our biggest challenges. We still have lots of data gaps and have different systems that don't communicate well with each other…</w:t>
      </w:r>
      <w:r>
        <w:rPr>
          <w:rFonts w:eastAsia="Calibri" w:cstheme="minorHAnsi"/>
          <w:i/>
          <w:sz w:val="22"/>
          <w:szCs w:val="22"/>
        </w:rPr>
        <w:t xml:space="preserve"> </w:t>
      </w:r>
      <w:r w:rsidRPr="001B6A36">
        <w:rPr>
          <w:rFonts w:eastAsia="Calibri" w:cstheme="minorHAnsi"/>
          <w:i/>
          <w:sz w:val="22"/>
          <w:szCs w:val="22"/>
        </w:rPr>
        <w:t>I think there are opportunities to have better systems that share data and also have people who can really look at the data</w:t>
      </w:r>
      <w:r w:rsidRPr="001B6A36">
        <w:rPr>
          <w:rFonts w:eastAsia="Calibri" w:cstheme="minorHAnsi"/>
          <w:sz w:val="22"/>
          <w:szCs w:val="22"/>
        </w:rPr>
        <w:t xml:space="preserve">” (Lead Clinical 09). </w:t>
      </w:r>
    </w:p>
    <w:p w14:paraId="3C10B1EA" w14:textId="77777777" w:rsidR="00C0146C" w:rsidRPr="001B6A36" w:rsidRDefault="00C0146C" w:rsidP="00C0146C">
      <w:pPr>
        <w:rPr>
          <w:rFonts w:eastAsia="Calibri" w:cstheme="minorHAnsi"/>
          <w:sz w:val="22"/>
          <w:szCs w:val="22"/>
        </w:rPr>
      </w:pPr>
    </w:p>
    <w:p w14:paraId="67862A5C" w14:textId="77777777" w:rsidR="00C0146C" w:rsidRPr="00A17C4D" w:rsidRDefault="00C0146C" w:rsidP="00A17C4D">
      <w:pPr>
        <w:spacing w:after="120"/>
        <w:rPr>
          <w:b/>
          <w:bCs/>
          <w:i/>
          <w:iCs/>
          <w:color w:val="6A7F0F"/>
          <w:highlight w:val="white"/>
        </w:rPr>
      </w:pPr>
      <w:r w:rsidRPr="00A17C4D">
        <w:rPr>
          <w:b/>
          <w:bCs/>
          <w:i/>
          <w:iCs/>
          <w:color w:val="6A7F0F"/>
          <w:highlight w:val="white"/>
        </w:rPr>
        <w:t xml:space="preserve">Provide State-Level Training, Technical Assistance, and Other Resources </w:t>
      </w:r>
    </w:p>
    <w:p w14:paraId="544319B2" w14:textId="77777777" w:rsidR="00C233F0" w:rsidRDefault="00C233F0" w:rsidP="00C233F0">
      <w:pPr>
        <w:rPr>
          <w:rFonts w:eastAsia="Calibri" w:cstheme="minorHAnsi"/>
          <w:sz w:val="22"/>
          <w:szCs w:val="22"/>
        </w:rPr>
      </w:pPr>
      <w:r w:rsidRPr="001B6A36">
        <w:rPr>
          <w:rFonts w:eastAsia="Calibri" w:cstheme="minorHAnsi"/>
          <w:sz w:val="22"/>
          <w:szCs w:val="22"/>
        </w:rPr>
        <w:t xml:space="preserve">Several clinic leaders remarked on limited OHA involvement at the beginning of the demonstration program, while expressing gratitude for recent increases in OHA communication and support. During the CCBHC implementation, some clinic leaders shared that they would have preferred more training and technical assistance, especially with some of the administrative functions, including billing, data collection and reporting, and setting up data infrastructure to best facilitate these processes. </w:t>
      </w:r>
      <w:r>
        <w:rPr>
          <w:rFonts w:eastAsia="Calibri" w:cstheme="minorHAnsi"/>
          <w:sz w:val="22"/>
          <w:szCs w:val="22"/>
        </w:rPr>
        <w:t>One clinic leader</w:t>
      </w:r>
      <w:r w:rsidRPr="001B6A36">
        <w:rPr>
          <w:rFonts w:eastAsia="Calibri" w:cstheme="minorHAnsi"/>
          <w:sz w:val="22"/>
          <w:szCs w:val="22"/>
        </w:rPr>
        <w:t xml:space="preserve"> shared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The more training we do, the more guidance is given [from OHA]</w:t>
      </w:r>
      <w:r>
        <w:rPr>
          <w:rFonts w:eastAsia="Calibri" w:cstheme="minorHAnsi"/>
          <w:i/>
          <w:sz w:val="22"/>
          <w:szCs w:val="22"/>
        </w:rPr>
        <w:t xml:space="preserve"> </w:t>
      </w:r>
      <w:r w:rsidRPr="001B6A36">
        <w:rPr>
          <w:rFonts w:eastAsia="Calibri" w:cstheme="minorHAnsi"/>
          <w:i/>
          <w:sz w:val="22"/>
          <w:szCs w:val="22"/>
        </w:rPr>
        <w:t>… it’s really valuable to make sure we're heading in the right direction</w:t>
      </w:r>
      <w:r w:rsidRPr="001B6A36">
        <w:rPr>
          <w:rFonts w:eastAsia="Calibri" w:cstheme="minorHAnsi"/>
          <w:sz w:val="22"/>
          <w:szCs w:val="22"/>
        </w:rPr>
        <w:t xml:space="preserve">” </w:t>
      </w:r>
      <w:r>
        <w:rPr>
          <w:rFonts w:eastAsia="Calibri" w:cstheme="minorHAnsi"/>
          <w:sz w:val="22"/>
          <w:szCs w:val="22"/>
        </w:rPr>
        <w:t>(</w:t>
      </w:r>
      <w:r w:rsidRPr="001B6A36">
        <w:rPr>
          <w:rFonts w:eastAsia="Calibri" w:cstheme="minorHAnsi"/>
          <w:sz w:val="22"/>
          <w:szCs w:val="22"/>
        </w:rPr>
        <w:t xml:space="preserve">Lead Clinical </w:t>
      </w:r>
      <w:r>
        <w:rPr>
          <w:rFonts w:eastAsia="Calibri" w:cstheme="minorHAnsi"/>
          <w:sz w:val="22"/>
          <w:szCs w:val="22"/>
        </w:rPr>
        <w:t xml:space="preserve">04). </w:t>
      </w:r>
      <w:r w:rsidRPr="001B6A36">
        <w:rPr>
          <w:rFonts w:eastAsia="Calibri" w:cstheme="minorHAnsi"/>
          <w:sz w:val="22"/>
          <w:szCs w:val="22"/>
        </w:rPr>
        <w:t>Another expressed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I think having the technical assistance and support from the state is really important. And because there's a learning curve, I think it’s important to feel like it's a supportive process, rather than a punitive process</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08). </w:t>
      </w:r>
    </w:p>
    <w:p w14:paraId="2D3DA924" w14:textId="77777777" w:rsidR="00C233F0" w:rsidRDefault="00C233F0" w:rsidP="00C233F0">
      <w:pPr>
        <w:rPr>
          <w:rFonts w:eastAsia="Calibri" w:cstheme="minorHAnsi"/>
          <w:sz w:val="22"/>
          <w:szCs w:val="22"/>
        </w:rPr>
      </w:pPr>
    </w:p>
    <w:p w14:paraId="318E9E00" w14:textId="622ED6B2" w:rsidR="00C233F0" w:rsidRDefault="00C233F0" w:rsidP="00C233F0">
      <w:pPr>
        <w:rPr>
          <w:rFonts w:eastAsia="Calibri" w:cstheme="minorHAnsi"/>
          <w:sz w:val="22"/>
          <w:szCs w:val="22"/>
        </w:rPr>
      </w:pPr>
      <w:r>
        <w:rPr>
          <w:rFonts w:eastAsia="Calibri" w:cstheme="minorHAnsi"/>
          <w:sz w:val="22"/>
          <w:szCs w:val="22"/>
        </w:rPr>
        <w:t>S</w:t>
      </w:r>
      <w:r w:rsidRPr="001B6A36">
        <w:rPr>
          <w:rFonts w:eastAsia="Calibri" w:cstheme="minorHAnsi"/>
          <w:sz w:val="22"/>
          <w:szCs w:val="22"/>
        </w:rPr>
        <w:t>ome clinic leaders expressed hope that OHA will continue to provide more regular opportunities for Oregon’s CCBHCs to convene and learn from each other. One clinic leader explained</w:t>
      </w:r>
      <w:r>
        <w:rPr>
          <w:rFonts w:eastAsia="Calibri" w:cstheme="minorHAnsi"/>
          <w:sz w:val="22"/>
          <w:szCs w:val="22"/>
        </w:rPr>
        <w:t>:</w:t>
      </w:r>
      <w:r w:rsidRPr="001B6A36">
        <w:rPr>
          <w:rFonts w:eastAsia="Calibri" w:cstheme="minorHAnsi"/>
          <w:sz w:val="22"/>
          <w:szCs w:val="22"/>
        </w:rPr>
        <w:t xml:space="preserve"> “</w:t>
      </w:r>
      <w:r w:rsidRPr="001B6A36">
        <w:rPr>
          <w:rFonts w:eastAsia="Calibri" w:cstheme="minorHAnsi"/>
          <w:i/>
          <w:sz w:val="22"/>
          <w:szCs w:val="22"/>
        </w:rPr>
        <w:t>I get the most value from talking to my colleagues, the other community mental health programs, and CCBHCs</w:t>
      </w:r>
      <w:r w:rsidRPr="001B6A36">
        <w:rPr>
          <w:rFonts w:eastAsia="Calibri" w:cstheme="minorHAnsi"/>
          <w:sz w:val="22"/>
          <w:szCs w:val="22"/>
        </w:rPr>
        <w:t xml:space="preserve">” (Lead </w:t>
      </w:r>
      <w:r>
        <w:rPr>
          <w:rFonts w:eastAsia="Calibri" w:cstheme="minorHAnsi"/>
          <w:sz w:val="22"/>
          <w:szCs w:val="22"/>
        </w:rPr>
        <w:t>Administrator</w:t>
      </w:r>
      <w:r w:rsidRPr="001B6A36">
        <w:rPr>
          <w:rFonts w:eastAsia="Calibri" w:cstheme="minorHAnsi"/>
          <w:sz w:val="22"/>
          <w:szCs w:val="22"/>
        </w:rPr>
        <w:t xml:space="preserve"> 07). While clinic leaders spoke generally about the importance of OHA guidance and support, there is an opportunity for OHA to specifically provide more guidance to CCBHCs on all facets of the program, including using data for quality improvement, identifying service gaps in the community, and engaging community </w:t>
      </w:r>
      <w:r w:rsidR="00324B1C">
        <w:rPr>
          <w:rFonts w:eastAsia="Calibri" w:cstheme="minorHAnsi"/>
          <w:sz w:val="22"/>
          <w:szCs w:val="22"/>
        </w:rPr>
        <w:t xml:space="preserve">members </w:t>
      </w:r>
      <w:r w:rsidRPr="001B6A36">
        <w:rPr>
          <w:rFonts w:eastAsia="Calibri" w:cstheme="minorHAnsi"/>
          <w:sz w:val="22"/>
          <w:szCs w:val="22"/>
        </w:rPr>
        <w:t xml:space="preserve">and service users to develop and implement culturally specific outreach and services. </w:t>
      </w:r>
      <w:r>
        <w:rPr>
          <w:rFonts w:eastAsia="Calibri" w:cstheme="minorHAnsi"/>
          <w:sz w:val="22"/>
          <w:szCs w:val="22"/>
        </w:rPr>
        <w:t xml:space="preserve">This could be achieved through creation of an </w:t>
      </w:r>
      <w:r w:rsidRPr="0020648C">
        <w:rPr>
          <w:rFonts w:eastAsia="Calibri" w:cstheme="minorHAnsi"/>
          <w:sz w:val="22"/>
          <w:szCs w:val="22"/>
        </w:rPr>
        <w:t xml:space="preserve">explicit learning community among the CCBHC leaders, such as has been successfully used in multiple previous OHA collaborative projects. </w:t>
      </w:r>
      <w:r>
        <w:rPr>
          <w:rFonts w:eastAsia="Calibri" w:cstheme="minorHAnsi"/>
          <w:sz w:val="22"/>
          <w:szCs w:val="22"/>
        </w:rPr>
        <w:t xml:space="preserve">It should be noted that clinic leaders were interviewed in July 2022; </w:t>
      </w:r>
      <w:r w:rsidRPr="009D5C5D">
        <w:rPr>
          <w:rFonts w:cstheme="minorHAnsi"/>
          <w:sz w:val="22"/>
          <w:szCs w:val="22"/>
        </w:rPr>
        <w:t xml:space="preserve">CCBHC program staff </w:t>
      </w:r>
      <w:r>
        <w:rPr>
          <w:rFonts w:cstheme="minorHAnsi"/>
          <w:sz w:val="22"/>
          <w:szCs w:val="22"/>
        </w:rPr>
        <w:t xml:space="preserve">launched </w:t>
      </w:r>
      <w:r w:rsidRPr="009D5C5D">
        <w:rPr>
          <w:rFonts w:cstheme="minorHAnsi"/>
          <w:sz w:val="22"/>
          <w:szCs w:val="22"/>
        </w:rPr>
        <w:t>the All-Clinic CCBHC Learning Collaborative</w:t>
      </w:r>
      <w:r>
        <w:rPr>
          <w:rFonts w:cstheme="minorHAnsi"/>
          <w:sz w:val="22"/>
          <w:szCs w:val="22"/>
        </w:rPr>
        <w:t xml:space="preserve">, mentioned earlier in this report, </w:t>
      </w:r>
      <w:r w:rsidRPr="009D5C5D">
        <w:rPr>
          <w:rFonts w:cstheme="minorHAnsi"/>
          <w:sz w:val="22"/>
          <w:szCs w:val="22"/>
        </w:rPr>
        <w:t>in October 2022</w:t>
      </w:r>
      <w:r>
        <w:rPr>
          <w:rFonts w:cstheme="minorHAnsi"/>
          <w:sz w:val="22"/>
          <w:szCs w:val="22"/>
        </w:rPr>
        <w:t>.</w:t>
      </w:r>
      <w:r w:rsidRPr="009D5C5D">
        <w:rPr>
          <w:rFonts w:cstheme="minorHAnsi"/>
          <w:sz w:val="22"/>
          <w:szCs w:val="22"/>
        </w:rPr>
        <w:t xml:space="preserve"> </w:t>
      </w:r>
    </w:p>
    <w:p w14:paraId="47502A42" w14:textId="77777777" w:rsidR="00C233F0" w:rsidRDefault="00C233F0" w:rsidP="00C233F0">
      <w:pPr>
        <w:rPr>
          <w:rFonts w:eastAsia="Calibri" w:cstheme="minorHAnsi"/>
          <w:sz w:val="22"/>
          <w:szCs w:val="22"/>
        </w:rPr>
      </w:pPr>
    </w:p>
    <w:p w14:paraId="69721205" w14:textId="5868AA04" w:rsidR="00E82EAF" w:rsidRDefault="00C233F0" w:rsidP="00C233F0">
      <w:pPr>
        <w:rPr>
          <w:rFonts w:cstheme="minorHAnsi"/>
          <w:sz w:val="22"/>
          <w:szCs w:val="22"/>
        </w:rPr>
      </w:pPr>
      <w:r w:rsidRPr="0020648C">
        <w:rPr>
          <w:rFonts w:eastAsia="Calibri" w:cstheme="minorHAnsi"/>
          <w:sz w:val="22"/>
          <w:szCs w:val="22"/>
        </w:rPr>
        <w:t xml:space="preserve">The all-clinic data subgroup, </w:t>
      </w:r>
      <w:r>
        <w:rPr>
          <w:rFonts w:eastAsia="Calibri" w:cstheme="minorHAnsi"/>
          <w:sz w:val="22"/>
          <w:szCs w:val="22"/>
        </w:rPr>
        <w:t xml:space="preserve">which was </w:t>
      </w:r>
      <w:r w:rsidRPr="0020648C">
        <w:rPr>
          <w:rFonts w:eastAsia="Calibri" w:cstheme="minorHAnsi"/>
          <w:sz w:val="22"/>
          <w:szCs w:val="22"/>
        </w:rPr>
        <w:t>launched by the CCBHC program staff in December 2022</w:t>
      </w:r>
      <w:r>
        <w:rPr>
          <w:rFonts w:eastAsia="Calibri" w:cstheme="minorHAnsi"/>
          <w:sz w:val="22"/>
          <w:szCs w:val="22"/>
        </w:rPr>
        <w:t xml:space="preserve"> and reportedly is meeting every three weeks</w:t>
      </w:r>
      <w:r w:rsidRPr="0020648C">
        <w:rPr>
          <w:rFonts w:eastAsia="Calibri" w:cstheme="minorHAnsi"/>
          <w:sz w:val="22"/>
          <w:szCs w:val="22"/>
        </w:rPr>
        <w:t xml:space="preserve">, may help to advance discussions on how </w:t>
      </w:r>
      <w:r w:rsidRPr="0020648C">
        <w:rPr>
          <w:rFonts w:cstheme="minorHAnsi"/>
          <w:sz w:val="22"/>
          <w:szCs w:val="22"/>
        </w:rPr>
        <w:t xml:space="preserve">to standardize how metrics are </w:t>
      </w:r>
      <w:r w:rsidRPr="00385379">
        <w:rPr>
          <w:rFonts w:cstheme="minorHAnsi"/>
          <w:sz w:val="22"/>
          <w:szCs w:val="22"/>
        </w:rPr>
        <w:t xml:space="preserve">collected, develop </w:t>
      </w:r>
      <w:r>
        <w:rPr>
          <w:rFonts w:cstheme="minorHAnsi"/>
          <w:sz w:val="22"/>
          <w:szCs w:val="22"/>
        </w:rPr>
        <w:t>technical assistance</w:t>
      </w:r>
      <w:r w:rsidRPr="00385379">
        <w:rPr>
          <w:rFonts w:cstheme="minorHAnsi"/>
          <w:sz w:val="22"/>
          <w:szCs w:val="22"/>
        </w:rPr>
        <w:t xml:space="preserve"> on data collection, and assess the needs for data infrastructure for </w:t>
      </w:r>
      <w:r>
        <w:rPr>
          <w:rFonts w:cstheme="minorHAnsi"/>
          <w:sz w:val="22"/>
          <w:szCs w:val="22"/>
        </w:rPr>
        <w:t xml:space="preserve">the </w:t>
      </w:r>
      <w:r w:rsidRPr="00385379">
        <w:rPr>
          <w:rFonts w:cstheme="minorHAnsi"/>
          <w:sz w:val="22"/>
          <w:szCs w:val="22"/>
        </w:rPr>
        <w:t>CCBHC program. OHA’s Office of Health Policy and Analytics is developing dashboards for the clinics to understand their status on metric collection. The CCBHC program team is drafting a technical assistance manual to help standardize operations of CCBHC program, with a goal to publish the manual in the summer of 2023.</w:t>
      </w:r>
    </w:p>
    <w:p w14:paraId="424F2E06" w14:textId="51A4A45E" w:rsidR="00E82EAF" w:rsidRDefault="00E82EAF">
      <w:pPr>
        <w:rPr>
          <w:rFonts w:cstheme="minorHAnsi"/>
          <w:sz w:val="22"/>
          <w:szCs w:val="22"/>
        </w:rPr>
      </w:pPr>
      <w:r>
        <w:rPr>
          <w:rFonts w:cstheme="minorHAnsi"/>
          <w:noProof/>
          <w:sz w:val="22"/>
          <w:szCs w:val="22"/>
        </w:rPr>
        <mc:AlternateContent>
          <mc:Choice Requires="wps">
            <w:drawing>
              <wp:anchor distT="0" distB="0" distL="114300" distR="114300" simplePos="0" relativeHeight="251683840" behindDoc="0" locked="0" layoutInCell="1" allowOverlap="1" wp14:anchorId="34427A66" wp14:editId="74C72EA8">
                <wp:simplePos x="0" y="0"/>
                <wp:positionH relativeFrom="column">
                  <wp:posOffset>-1700</wp:posOffset>
                </wp:positionH>
                <wp:positionV relativeFrom="paragraph">
                  <wp:posOffset>217916</wp:posOffset>
                </wp:positionV>
                <wp:extent cx="5947200" cy="3169700"/>
                <wp:effectExtent l="12700" t="12700" r="22225" b="31115"/>
                <wp:wrapNone/>
                <wp:docPr id="10" name="Text Box 10"/>
                <wp:cNvGraphicFramePr/>
                <a:graphic xmlns:a="http://schemas.openxmlformats.org/drawingml/2006/main">
                  <a:graphicData uri="http://schemas.microsoft.com/office/word/2010/wordprocessingShape">
                    <wps:wsp>
                      <wps:cNvSpPr txBox="1"/>
                      <wps:spPr>
                        <a:xfrm>
                          <a:off x="0" y="0"/>
                          <a:ext cx="5947200" cy="3169700"/>
                        </a:xfrm>
                        <a:prstGeom prst="rect">
                          <a:avLst/>
                        </a:prstGeom>
                        <a:solidFill>
                          <a:schemeClr val="lt1"/>
                        </a:solidFill>
                        <a:ln w="38100">
                          <a:solidFill>
                            <a:schemeClr val="accent6">
                              <a:lumMod val="75000"/>
                            </a:schemeClr>
                          </a:solidFill>
                        </a:ln>
                      </wps:spPr>
                      <wps:txbx>
                        <w:txbxContent>
                          <w:p w14:paraId="3F059BC3" w14:textId="77777777" w:rsidR="00E82EAF" w:rsidRDefault="00E82EAF" w:rsidP="00E82EAF">
                            <w:pPr>
                              <w:jc w:val="center"/>
                              <w:rPr>
                                <w:b/>
                                <w:bCs/>
                                <w:color w:val="6A7F0F"/>
                              </w:rPr>
                            </w:pPr>
                            <w:r>
                              <w:rPr>
                                <w:b/>
                                <w:bCs/>
                                <w:color w:val="6A7F0F"/>
                              </w:rPr>
                              <w:t xml:space="preserve">Summary and Recommendations: </w:t>
                            </w:r>
                          </w:p>
                          <w:p w14:paraId="55356C2B" w14:textId="77777777" w:rsidR="00E82EAF" w:rsidRPr="00711A04" w:rsidRDefault="00E82EAF" w:rsidP="00E82EAF">
                            <w:pPr>
                              <w:spacing w:after="120"/>
                              <w:jc w:val="center"/>
                              <w:rPr>
                                <w:rFonts w:cstheme="minorHAnsi"/>
                              </w:rPr>
                            </w:pPr>
                            <w:r w:rsidRPr="00711A04">
                              <w:rPr>
                                <w:b/>
                                <w:bCs/>
                                <w:color w:val="6A7F0F"/>
                              </w:rPr>
                              <w:t>Sustainability and Potential Expansion of the CCBHC Model</w:t>
                            </w:r>
                          </w:p>
                          <w:p w14:paraId="7D838FC6" w14:textId="77777777" w:rsidR="00E82EAF" w:rsidRDefault="00E82EAF" w:rsidP="00E82EAF">
                            <w:pPr>
                              <w:rPr>
                                <w:rFonts w:cstheme="minorHAnsi"/>
                                <w:color w:val="000000" w:themeColor="text1"/>
                                <w:sz w:val="22"/>
                                <w:szCs w:val="22"/>
                              </w:rPr>
                            </w:pPr>
                            <w:r>
                              <w:rPr>
                                <w:rFonts w:cstheme="minorHAnsi"/>
                                <w:sz w:val="22"/>
                                <w:szCs w:val="22"/>
                              </w:rPr>
                              <w:t>Future</w:t>
                            </w:r>
                            <w:r w:rsidRPr="00744D63">
                              <w:rPr>
                                <w:rFonts w:cstheme="minorHAnsi"/>
                                <w:sz w:val="22"/>
                                <w:szCs w:val="22"/>
                              </w:rPr>
                              <w:t xml:space="preserve"> </w:t>
                            </w:r>
                            <w:r w:rsidRPr="009954F1">
                              <w:rPr>
                                <w:rFonts w:cstheme="minorHAnsi"/>
                                <w:color w:val="000000" w:themeColor="text1"/>
                                <w:sz w:val="22"/>
                                <w:szCs w:val="22"/>
                              </w:rPr>
                              <w:t xml:space="preserve">CCBHC sustainability and expansion </w:t>
                            </w:r>
                            <w:r>
                              <w:rPr>
                                <w:rFonts w:cstheme="minorHAnsi"/>
                                <w:sz w:val="22"/>
                                <w:szCs w:val="22"/>
                              </w:rPr>
                              <w:t xml:space="preserve">efforts need to build the capacity of CCBHCs to provide greater access, enhance the scope of services offered, and reduce administrative burden. </w:t>
                            </w:r>
                            <w:r w:rsidRPr="00A724D4">
                              <w:rPr>
                                <w:rFonts w:cstheme="minorHAnsi"/>
                                <w:iCs/>
                                <w:sz w:val="22"/>
                                <w:szCs w:val="22"/>
                              </w:rPr>
                              <w:t xml:space="preserve">CCBHC service users and clinic leaders </w:t>
                            </w:r>
                            <w:r>
                              <w:rPr>
                                <w:rFonts w:cstheme="minorHAnsi"/>
                                <w:iCs/>
                                <w:sz w:val="22"/>
                                <w:szCs w:val="22"/>
                              </w:rPr>
                              <w:t>recognized</w:t>
                            </w:r>
                            <w:r w:rsidRPr="00A724D4">
                              <w:rPr>
                                <w:rFonts w:cstheme="minorHAnsi"/>
                                <w:iCs/>
                                <w:sz w:val="22"/>
                                <w:szCs w:val="22"/>
                              </w:rPr>
                              <w:t xml:space="preserve"> the negative impact of underinvestment in behavioral health in Oregon and noted the importance of ensuring adequate</w:t>
                            </w:r>
                            <w:r>
                              <w:rPr>
                                <w:rFonts w:cstheme="minorHAnsi"/>
                                <w:iCs/>
                                <w:sz w:val="22"/>
                                <w:szCs w:val="22"/>
                              </w:rPr>
                              <w:t>, continuous</w:t>
                            </w:r>
                            <w:r w:rsidRPr="00A724D4">
                              <w:rPr>
                                <w:rFonts w:cstheme="minorHAnsi"/>
                                <w:iCs/>
                                <w:sz w:val="22"/>
                                <w:szCs w:val="22"/>
                              </w:rPr>
                              <w:t xml:space="preserve"> funding. </w:t>
                            </w:r>
                            <w:r>
                              <w:rPr>
                                <w:rFonts w:cstheme="minorHAnsi"/>
                                <w:iCs/>
                                <w:sz w:val="22"/>
                                <w:szCs w:val="22"/>
                              </w:rPr>
                              <w:t>W</w:t>
                            </w:r>
                            <w:r w:rsidRPr="00A724D4">
                              <w:rPr>
                                <w:rFonts w:cstheme="minorHAnsi"/>
                                <w:iCs/>
                                <w:sz w:val="22"/>
                                <w:szCs w:val="22"/>
                              </w:rPr>
                              <w:t xml:space="preserve">hile clinic leaders noted that the PPS model enabled CCBHCs to expand their staff, it did not eliminate challenges in recruitment and retention, and </w:t>
                            </w:r>
                            <w:r>
                              <w:rPr>
                                <w:rFonts w:cstheme="minorHAnsi"/>
                                <w:iCs/>
                                <w:sz w:val="22"/>
                                <w:szCs w:val="22"/>
                              </w:rPr>
                              <w:t xml:space="preserve">leaders </w:t>
                            </w:r>
                            <w:r w:rsidRPr="00A724D4">
                              <w:rPr>
                                <w:rFonts w:cstheme="minorHAnsi"/>
                                <w:iCs/>
                                <w:sz w:val="22"/>
                                <w:szCs w:val="22"/>
                              </w:rPr>
                              <w:t xml:space="preserve">suggested that creative solutions were needed to incentivize people to </w:t>
                            </w:r>
                            <w:r>
                              <w:rPr>
                                <w:rFonts w:cstheme="minorHAnsi"/>
                                <w:iCs/>
                                <w:sz w:val="22"/>
                                <w:szCs w:val="22"/>
                              </w:rPr>
                              <w:t xml:space="preserve">enter </w:t>
                            </w:r>
                            <w:r w:rsidRPr="00A724D4">
                              <w:rPr>
                                <w:rFonts w:cstheme="minorHAnsi"/>
                                <w:iCs/>
                                <w:sz w:val="22"/>
                                <w:szCs w:val="22"/>
                              </w:rPr>
                              <w:t xml:space="preserve">the </w:t>
                            </w:r>
                            <w:r>
                              <w:rPr>
                                <w:rFonts w:cstheme="minorHAnsi"/>
                                <w:iCs/>
                                <w:sz w:val="22"/>
                                <w:szCs w:val="22"/>
                              </w:rPr>
                              <w:t xml:space="preserve">behavioral health </w:t>
                            </w:r>
                            <w:r w:rsidRPr="00A724D4">
                              <w:rPr>
                                <w:rFonts w:cstheme="minorHAnsi"/>
                                <w:iCs/>
                                <w:sz w:val="22"/>
                                <w:szCs w:val="22"/>
                              </w:rPr>
                              <w:t xml:space="preserve">field. </w:t>
                            </w:r>
                            <w:r>
                              <w:rPr>
                                <w:rFonts w:cstheme="minorHAnsi"/>
                                <w:color w:val="000000" w:themeColor="text1"/>
                                <w:sz w:val="22"/>
                                <w:szCs w:val="22"/>
                              </w:rPr>
                              <w:t xml:space="preserve">In addition to continued investment in Oregon’s behavioral health system, </w:t>
                            </w:r>
                            <w:r w:rsidRPr="004D7197">
                              <w:rPr>
                                <w:rFonts w:cstheme="minorHAnsi"/>
                                <w:color w:val="000000" w:themeColor="text1"/>
                                <w:sz w:val="22"/>
                                <w:szCs w:val="22"/>
                              </w:rPr>
                              <w:t xml:space="preserve">future </w:t>
                            </w:r>
                            <w:r w:rsidRPr="004D7197">
                              <w:rPr>
                                <w:rFonts w:cstheme="minorHAnsi"/>
                                <w:bCs/>
                                <w:color w:val="000000" w:themeColor="text1"/>
                                <w:sz w:val="22"/>
                                <w:szCs w:val="22"/>
                              </w:rPr>
                              <w:t>CCBHC sustainability and expansion</w:t>
                            </w:r>
                            <w:r w:rsidRPr="004D7197">
                              <w:rPr>
                                <w:rFonts w:cstheme="minorHAnsi"/>
                                <w:color w:val="000000" w:themeColor="text1"/>
                                <w:sz w:val="22"/>
                                <w:szCs w:val="22"/>
                              </w:rPr>
                              <w:t xml:space="preserve"> efforts need to emphasize building the capacity of the CCBHCs to provide greater access and enhance the scope of services offered</w:t>
                            </w:r>
                            <w:r>
                              <w:rPr>
                                <w:rFonts w:cstheme="minorHAnsi"/>
                                <w:color w:val="000000" w:themeColor="text1"/>
                                <w:sz w:val="22"/>
                                <w:szCs w:val="22"/>
                              </w:rPr>
                              <w:t xml:space="preserve">, </w:t>
                            </w:r>
                            <w:r w:rsidRPr="007F78CE">
                              <w:rPr>
                                <w:rFonts w:cstheme="minorHAnsi"/>
                                <w:color w:val="000000" w:themeColor="text1"/>
                                <w:sz w:val="22"/>
                                <w:szCs w:val="22"/>
                              </w:rPr>
                              <w:t xml:space="preserve">by ensuring provision of </w:t>
                            </w:r>
                            <w:r w:rsidRPr="000E4C9B">
                              <w:rPr>
                                <w:rFonts w:cstheme="minorHAnsi"/>
                                <w:color w:val="000000" w:themeColor="text1"/>
                                <w:sz w:val="22"/>
                                <w:szCs w:val="22"/>
                              </w:rPr>
                              <w:t xml:space="preserve">consistent and reliable funding, delivering clinic-relevant technical assistance, and supporting the creation </w:t>
                            </w:r>
                            <w:r>
                              <w:rPr>
                                <w:rFonts w:cstheme="minorHAnsi"/>
                                <w:color w:val="000000" w:themeColor="text1"/>
                                <w:sz w:val="22"/>
                                <w:szCs w:val="22"/>
                              </w:rPr>
                              <w:t xml:space="preserve">or continuation </w:t>
                            </w:r>
                            <w:r w:rsidRPr="000E4C9B">
                              <w:rPr>
                                <w:rFonts w:cstheme="minorHAnsi"/>
                                <w:color w:val="000000" w:themeColor="text1"/>
                                <w:sz w:val="22"/>
                                <w:szCs w:val="22"/>
                              </w:rPr>
                              <w:t xml:space="preserve">of effective community collaborations. </w:t>
                            </w:r>
                            <w:r>
                              <w:rPr>
                                <w:rFonts w:cstheme="minorHAnsi"/>
                                <w:color w:val="000000" w:themeColor="text1"/>
                                <w:sz w:val="22"/>
                                <w:szCs w:val="22"/>
                              </w:rPr>
                              <w:t xml:space="preserve">An earlier recommendation addresses </w:t>
                            </w:r>
                            <w:r w:rsidRPr="003F6306">
                              <w:rPr>
                                <w:rFonts w:cstheme="minorHAnsi"/>
                                <w:color w:val="000000" w:themeColor="text1"/>
                                <w:sz w:val="22"/>
                                <w:szCs w:val="22"/>
                              </w:rPr>
                              <w:t>sustainable funding of CCBHCs.</w:t>
                            </w:r>
                          </w:p>
                          <w:p w14:paraId="3B2F9D2F" w14:textId="77777777" w:rsidR="00E82EAF" w:rsidRDefault="00E82EAF" w:rsidP="00E82EAF">
                            <w:pPr>
                              <w:rPr>
                                <w:rFonts w:cstheme="minorHAnsi"/>
                                <w:color w:val="000000" w:themeColor="text1"/>
                                <w:sz w:val="22"/>
                                <w:szCs w:val="22"/>
                              </w:rPr>
                            </w:pPr>
                          </w:p>
                          <w:p w14:paraId="410E0584" w14:textId="0BFA2BE3" w:rsidR="00E82EAF" w:rsidRDefault="00E82EAF">
                            <w:r w:rsidRPr="00A724D4">
                              <w:rPr>
                                <w:rFonts w:eastAsia="Calibri" w:cstheme="minorHAnsi"/>
                                <w:sz w:val="22"/>
                                <w:szCs w:val="22"/>
                              </w:rPr>
                              <w:t>B</w:t>
                            </w:r>
                            <w:r w:rsidRPr="00A724D4">
                              <w:rPr>
                                <w:rFonts w:cstheme="minorHAnsi"/>
                                <w:sz w:val="22"/>
                                <w:szCs w:val="22"/>
                              </w:rPr>
                              <w:t>etter alignment of required metrics with CCBHC goals could reduce administrative burden.</w:t>
                            </w:r>
                            <w:r>
                              <w:rPr>
                                <w:rFonts w:cstheme="minorHAnsi"/>
                                <w:sz w:val="22"/>
                                <w:szCs w:val="22"/>
                              </w:rPr>
                              <w:t xml:space="preserve"> While Oregon continues to participate in the federal demonstration program, there is a requirement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7A66" id="Text Box 10" o:spid="_x0000_s1036" type="#_x0000_t202" style="position:absolute;margin-left:-.15pt;margin-top:17.15pt;width:468.3pt;height:24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WRwIAAK4EAAAOAAAAZHJzL2Uyb0RvYy54bWysVNtuGjEQfa/Uf7D8XhZSIGHFElEiqko0&#10;iUSqPBuvl7Vke1zbsEu/vmMvt6aVKlV9MXPbuZw5w/S+1YrshfMSTEEHvT4lwnAopdkW9NvL8sMd&#10;JT4wUzIFRhT0IDy9n71/N21sLm6gBlUKRzCJ8XljC1qHYPMs87wWmvkeWGHQWYHTLKDqtlnpWIPZ&#10;tcpu+v1x1oArrQMuvEfrQ+eks5S/qgQPT1XlRSCqoNhbSK9L7ya+2WzK8q1jtpb82Ab7hy40kwaL&#10;nlM9sMDIzsnfUmnJHXioQo+DzqCqJBdpBpxm0H8zzbpmVqRZEBxvzzD5/5eWP+7X9tmR0H6CFhcY&#10;AWmszz0a4zxt5XT8xU4J+hHCwxk20QbC0TiaDG9xF5Rw9H0cjCe3qGCe7PK5dT58FqBJFArqcC8J&#10;LrZf+dCFnkJiNQ9KlkupVFIiF8RCObJnuEUVUpOY/JcoZUiD1e8GWPtvKRjnwoRxilM7/RXKLvXt&#10;qH/uPDEwVk1zXJXCwsqg8YJSlEK7aYksEcE0ejRtoDwgsg460nnLlxKnXzEfnplDliFieDnhCZ9K&#10;AXYPR4mSGtyPP9ljPC4fvZQ0yNqC+u875gQl6otBWkwGw2GkeVKGI1wLJe7as7n2mJ1eAEI6wBu1&#10;PIkxPqiTWDnQr3hg81gVXcxwrF3QcBIXobslPFAu5vMUhMS2LKzM2vKYOi4j7valfWXOHgkQkDuP&#10;cOI3y9/woIuNXxqY7wJUMpHkguoRfzyKtJ7jAceru9ZT1OVvZvYTAAD//wMAUEsDBBQABgAIAAAA&#10;IQBjqvD43wAAAA0BAAAPAAAAZHJzL2Rvd25yZXYueG1sTE/JTsMwEL0j8Q/WIHFrHTApJY1TIUKv&#10;VC2VytGOTRLwEsVulr9nOMFlFr2Zt+TbyRoy6D603nG4WyZAtKu8al3N4fS+W6yBhCicEsY7zWHW&#10;AbbF9VUuMuVHd9DDMdYESVzIBIcmxi6jNFSNtiIsfacdYp++tyLi2tdU9WJEcmvofZKsqBWtQ4VG&#10;dPql0dX38WKR5W1ffg3n1zkdPw6llEbu5vUj57c3U7nB8rwBEvUU/z7gNwP6hwKNSX9xKhDDYcHw&#10;kAN7wI7wE1vhIDmkjKVAi5z+T1H8AAAA//8DAFBLAQItABQABgAIAAAAIQC2gziS/gAAAOEBAAAT&#10;AAAAAAAAAAAAAAAAAAAAAABbQ29udGVudF9UeXBlc10ueG1sUEsBAi0AFAAGAAgAAAAhADj9If/W&#10;AAAAlAEAAAsAAAAAAAAAAAAAAAAALwEAAF9yZWxzLy5yZWxzUEsBAi0AFAAGAAgAAAAhAEdAuNZH&#10;AgAArgQAAA4AAAAAAAAAAAAAAAAALgIAAGRycy9lMm9Eb2MueG1sUEsBAi0AFAAGAAgAAAAhAGOq&#10;8PjfAAAADQEAAA8AAAAAAAAAAAAAAAAAoQQAAGRycy9kb3ducmV2LnhtbFBLBQYAAAAABAAEAPMA&#10;AACtBQAAAAA=&#10;" fillcolor="white [3201]" strokecolor="#538135 [2409]" strokeweight="3pt">
                <v:textbox>
                  <w:txbxContent>
                    <w:p w14:paraId="3F059BC3" w14:textId="77777777" w:rsidR="00E82EAF" w:rsidRDefault="00E82EAF" w:rsidP="00E82EAF">
                      <w:pPr>
                        <w:jc w:val="center"/>
                        <w:rPr>
                          <w:b/>
                          <w:bCs/>
                          <w:color w:val="6A7F0F"/>
                        </w:rPr>
                      </w:pPr>
                      <w:r>
                        <w:rPr>
                          <w:b/>
                          <w:bCs/>
                          <w:color w:val="6A7F0F"/>
                        </w:rPr>
                        <w:t xml:space="preserve">Summary and Recommendations: </w:t>
                      </w:r>
                    </w:p>
                    <w:p w14:paraId="55356C2B" w14:textId="77777777" w:rsidR="00E82EAF" w:rsidRPr="00711A04" w:rsidRDefault="00E82EAF" w:rsidP="00E82EAF">
                      <w:pPr>
                        <w:spacing w:after="120"/>
                        <w:jc w:val="center"/>
                        <w:rPr>
                          <w:rFonts w:cstheme="minorHAnsi"/>
                        </w:rPr>
                      </w:pPr>
                      <w:r w:rsidRPr="00711A04">
                        <w:rPr>
                          <w:b/>
                          <w:bCs/>
                          <w:color w:val="6A7F0F"/>
                        </w:rPr>
                        <w:t>Sustainability and Potential Expansion of the CCBHC Model</w:t>
                      </w:r>
                    </w:p>
                    <w:p w14:paraId="7D838FC6" w14:textId="77777777" w:rsidR="00E82EAF" w:rsidRDefault="00E82EAF" w:rsidP="00E82EAF">
                      <w:pPr>
                        <w:rPr>
                          <w:rFonts w:cstheme="minorHAnsi"/>
                          <w:color w:val="000000" w:themeColor="text1"/>
                          <w:sz w:val="22"/>
                          <w:szCs w:val="22"/>
                        </w:rPr>
                      </w:pPr>
                      <w:r>
                        <w:rPr>
                          <w:rFonts w:cstheme="minorHAnsi"/>
                          <w:sz w:val="22"/>
                          <w:szCs w:val="22"/>
                        </w:rPr>
                        <w:t>Future</w:t>
                      </w:r>
                      <w:r w:rsidRPr="00744D63">
                        <w:rPr>
                          <w:rFonts w:cstheme="minorHAnsi"/>
                          <w:sz w:val="22"/>
                          <w:szCs w:val="22"/>
                        </w:rPr>
                        <w:t xml:space="preserve"> </w:t>
                      </w:r>
                      <w:r w:rsidRPr="009954F1">
                        <w:rPr>
                          <w:rFonts w:cstheme="minorHAnsi"/>
                          <w:color w:val="000000" w:themeColor="text1"/>
                          <w:sz w:val="22"/>
                          <w:szCs w:val="22"/>
                        </w:rPr>
                        <w:t xml:space="preserve">CCBHC sustainability and expansion </w:t>
                      </w:r>
                      <w:r>
                        <w:rPr>
                          <w:rFonts w:cstheme="minorHAnsi"/>
                          <w:sz w:val="22"/>
                          <w:szCs w:val="22"/>
                        </w:rPr>
                        <w:t xml:space="preserve">efforts need to build the capacity of CCBHCs to provide greater access, enhance the scope of services offered, and reduce administrative burden. </w:t>
                      </w:r>
                      <w:r w:rsidRPr="00A724D4">
                        <w:rPr>
                          <w:rFonts w:cstheme="minorHAnsi"/>
                          <w:iCs/>
                          <w:sz w:val="22"/>
                          <w:szCs w:val="22"/>
                        </w:rPr>
                        <w:t xml:space="preserve">CCBHC service users and clinic leaders </w:t>
                      </w:r>
                      <w:r>
                        <w:rPr>
                          <w:rFonts w:cstheme="minorHAnsi"/>
                          <w:iCs/>
                          <w:sz w:val="22"/>
                          <w:szCs w:val="22"/>
                        </w:rPr>
                        <w:t>recognized</w:t>
                      </w:r>
                      <w:r w:rsidRPr="00A724D4">
                        <w:rPr>
                          <w:rFonts w:cstheme="minorHAnsi"/>
                          <w:iCs/>
                          <w:sz w:val="22"/>
                          <w:szCs w:val="22"/>
                        </w:rPr>
                        <w:t xml:space="preserve"> the negative impact of underinvestment in behavioral health in Oregon and noted the importance of ensuring adequate</w:t>
                      </w:r>
                      <w:r>
                        <w:rPr>
                          <w:rFonts w:cstheme="minorHAnsi"/>
                          <w:iCs/>
                          <w:sz w:val="22"/>
                          <w:szCs w:val="22"/>
                        </w:rPr>
                        <w:t>, continuous</w:t>
                      </w:r>
                      <w:r w:rsidRPr="00A724D4">
                        <w:rPr>
                          <w:rFonts w:cstheme="minorHAnsi"/>
                          <w:iCs/>
                          <w:sz w:val="22"/>
                          <w:szCs w:val="22"/>
                        </w:rPr>
                        <w:t xml:space="preserve"> funding. </w:t>
                      </w:r>
                      <w:r>
                        <w:rPr>
                          <w:rFonts w:cstheme="minorHAnsi"/>
                          <w:iCs/>
                          <w:sz w:val="22"/>
                          <w:szCs w:val="22"/>
                        </w:rPr>
                        <w:t>W</w:t>
                      </w:r>
                      <w:r w:rsidRPr="00A724D4">
                        <w:rPr>
                          <w:rFonts w:cstheme="minorHAnsi"/>
                          <w:iCs/>
                          <w:sz w:val="22"/>
                          <w:szCs w:val="22"/>
                        </w:rPr>
                        <w:t xml:space="preserve">hile clinic leaders noted that the PPS model enabled CCBHCs to expand their staff, it did not eliminate challenges in recruitment and retention, and </w:t>
                      </w:r>
                      <w:r>
                        <w:rPr>
                          <w:rFonts w:cstheme="minorHAnsi"/>
                          <w:iCs/>
                          <w:sz w:val="22"/>
                          <w:szCs w:val="22"/>
                        </w:rPr>
                        <w:t xml:space="preserve">leaders </w:t>
                      </w:r>
                      <w:r w:rsidRPr="00A724D4">
                        <w:rPr>
                          <w:rFonts w:cstheme="minorHAnsi"/>
                          <w:iCs/>
                          <w:sz w:val="22"/>
                          <w:szCs w:val="22"/>
                        </w:rPr>
                        <w:t xml:space="preserve">suggested that creative solutions were needed to incentivize people to </w:t>
                      </w:r>
                      <w:r>
                        <w:rPr>
                          <w:rFonts w:cstheme="minorHAnsi"/>
                          <w:iCs/>
                          <w:sz w:val="22"/>
                          <w:szCs w:val="22"/>
                        </w:rPr>
                        <w:t xml:space="preserve">enter </w:t>
                      </w:r>
                      <w:r w:rsidRPr="00A724D4">
                        <w:rPr>
                          <w:rFonts w:cstheme="minorHAnsi"/>
                          <w:iCs/>
                          <w:sz w:val="22"/>
                          <w:szCs w:val="22"/>
                        </w:rPr>
                        <w:t xml:space="preserve">the </w:t>
                      </w:r>
                      <w:r>
                        <w:rPr>
                          <w:rFonts w:cstheme="minorHAnsi"/>
                          <w:iCs/>
                          <w:sz w:val="22"/>
                          <w:szCs w:val="22"/>
                        </w:rPr>
                        <w:t xml:space="preserve">behavioral health </w:t>
                      </w:r>
                      <w:r w:rsidRPr="00A724D4">
                        <w:rPr>
                          <w:rFonts w:cstheme="minorHAnsi"/>
                          <w:iCs/>
                          <w:sz w:val="22"/>
                          <w:szCs w:val="22"/>
                        </w:rPr>
                        <w:t xml:space="preserve">field. </w:t>
                      </w:r>
                      <w:r>
                        <w:rPr>
                          <w:rFonts w:cstheme="minorHAnsi"/>
                          <w:color w:val="000000" w:themeColor="text1"/>
                          <w:sz w:val="22"/>
                          <w:szCs w:val="22"/>
                        </w:rPr>
                        <w:t xml:space="preserve">In addition to continued investment in Oregon’s behavioral health system, </w:t>
                      </w:r>
                      <w:r w:rsidRPr="004D7197">
                        <w:rPr>
                          <w:rFonts w:cstheme="minorHAnsi"/>
                          <w:color w:val="000000" w:themeColor="text1"/>
                          <w:sz w:val="22"/>
                          <w:szCs w:val="22"/>
                        </w:rPr>
                        <w:t xml:space="preserve">future </w:t>
                      </w:r>
                      <w:r w:rsidRPr="004D7197">
                        <w:rPr>
                          <w:rFonts w:cstheme="minorHAnsi"/>
                          <w:bCs/>
                          <w:color w:val="000000" w:themeColor="text1"/>
                          <w:sz w:val="22"/>
                          <w:szCs w:val="22"/>
                        </w:rPr>
                        <w:t>CCBHC sustainability and expansion</w:t>
                      </w:r>
                      <w:r w:rsidRPr="004D7197">
                        <w:rPr>
                          <w:rFonts w:cstheme="minorHAnsi"/>
                          <w:color w:val="000000" w:themeColor="text1"/>
                          <w:sz w:val="22"/>
                          <w:szCs w:val="22"/>
                        </w:rPr>
                        <w:t xml:space="preserve"> efforts need to emphasize building the capacity of the CCBHCs to provide greater access and enhance the scope of services offered</w:t>
                      </w:r>
                      <w:r>
                        <w:rPr>
                          <w:rFonts w:cstheme="minorHAnsi"/>
                          <w:color w:val="000000" w:themeColor="text1"/>
                          <w:sz w:val="22"/>
                          <w:szCs w:val="22"/>
                        </w:rPr>
                        <w:t xml:space="preserve">, </w:t>
                      </w:r>
                      <w:r w:rsidRPr="007F78CE">
                        <w:rPr>
                          <w:rFonts w:cstheme="minorHAnsi"/>
                          <w:color w:val="000000" w:themeColor="text1"/>
                          <w:sz w:val="22"/>
                          <w:szCs w:val="22"/>
                        </w:rPr>
                        <w:t xml:space="preserve">by ensuring provision of </w:t>
                      </w:r>
                      <w:r w:rsidRPr="000E4C9B">
                        <w:rPr>
                          <w:rFonts w:cstheme="minorHAnsi"/>
                          <w:color w:val="000000" w:themeColor="text1"/>
                          <w:sz w:val="22"/>
                          <w:szCs w:val="22"/>
                        </w:rPr>
                        <w:t xml:space="preserve">consistent and reliable funding, delivering clinic-relevant technical assistance, and supporting the creation </w:t>
                      </w:r>
                      <w:r>
                        <w:rPr>
                          <w:rFonts w:cstheme="minorHAnsi"/>
                          <w:color w:val="000000" w:themeColor="text1"/>
                          <w:sz w:val="22"/>
                          <w:szCs w:val="22"/>
                        </w:rPr>
                        <w:t xml:space="preserve">or continuation </w:t>
                      </w:r>
                      <w:r w:rsidRPr="000E4C9B">
                        <w:rPr>
                          <w:rFonts w:cstheme="minorHAnsi"/>
                          <w:color w:val="000000" w:themeColor="text1"/>
                          <w:sz w:val="22"/>
                          <w:szCs w:val="22"/>
                        </w:rPr>
                        <w:t xml:space="preserve">of effective community collaborations. </w:t>
                      </w:r>
                      <w:r>
                        <w:rPr>
                          <w:rFonts w:cstheme="minorHAnsi"/>
                          <w:color w:val="000000" w:themeColor="text1"/>
                          <w:sz w:val="22"/>
                          <w:szCs w:val="22"/>
                        </w:rPr>
                        <w:t xml:space="preserve">An earlier recommendation addresses </w:t>
                      </w:r>
                      <w:r w:rsidRPr="003F6306">
                        <w:rPr>
                          <w:rFonts w:cstheme="minorHAnsi"/>
                          <w:color w:val="000000" w:themeColor="text1"/>
                          <w:sz w:val="22"/>
                          <w:szCs w:val="22"/>
                        </w:rPr>
                        <w:t>sustainable funding of CCBHCs.</w:t>
                      </w:r>
                    </w:p>
                    <w:p w14:paraId="3B2F9D2F" w14:textId="77777777" w:rsidR="00E82EAF" w:rsidRDefault="00E82EAF" w:rsidP="00E82EAF">
                      <w:pPr>
                        <w:rPr>
                          <w:rFonts w:cstheme="minorHAnsi"/>
                          <w:color w:val="000000" w:themeColor="text1"/>
                          <w:sz w:val="22"/>
                          <w:szCs w:val="22"/>
                        </w:rPr>
                      </w:pPr>
                    </w:p>
                    <w:p w14:paraId="410E0584" w14:textId="0BFA2BE3" w:rsidR="00E82EAF" w:rsidRDefault="00E82EAF">
                      <w:r w:rsidRPr="00A724D4">
                        <w:rPr>
                          <w:rFonts w:eastAsia="Calibri" w:cstheme="minorHAnsi"/>
                          <w:sz w:val="22"/>
                          <w:szCs w:val="22"/>
                        </w:rPr>
                        <w:t>B</w:t>
                      </w:r>
                      <w:r w:rsidRPr="00A724D4">
                        <w:rPr>
                          <w:rFonts w:cstheme="minorHAnsi"/>
                          <w:sz w:val="22"/>
                          <w:szCs w:val="22"/>
                        </w:rPr>
                        <w:t>etter alignment of required metrics with CCBHC goals could reduce administrative burden.</w:t>
                      </w:r>
                      <w:r>
                        <w:rPr>
                          <w:rFonts w:cstheme="minorHAnsi"/>
                          <w:sz w:val="22"/>
                          <w:szCs w:val="22"/>
                        </w:rPr>
                        <w:t xml:space="preserve"> While Oregon continues to participate in the federal demonstration program, there is a requirement to</w:t>
                      </w:r>
                    </w:p>
                  </w:txbxContent>
                </v:textbox>
              </v:shape>
            </w:pict>
          </mc:Fallback>
        </mc:AlternateContent>
      </w:r>
      <w:r>
        <w:rPr>
          <w:rFonts w:cstheme="minorHAnsi"/>
          <w:sz w:val="22"/>
          <w:szCs w:val="22"/>
        </w:rPr>
        <w:br w:type="page"/>
      </w:r>
    </w:p>
    <w:p w14:paraId="30195F45" w14:textId="18E42ED2" w:rsidR="00C233F0" w:rsidRPr="00385379" w:rsidRDefault="00E82EAF" w:rsidP="00C233F0">
      <w:pPr>
        <w:rPr>
          <w:rFonts w:eastAsia="Calibri" w:cstheme="minorHAnsi"/>
          <w:sz w:val="22"/>
          <w:szCs w:val="22"/>
        </w:rPr>
      </w:pPr>
      <w:r>
        <w:rPr>
          <w:rFonts w:eastAsia="Calibri" w:cstheme="minorHAnsi"/>
          <w:noProof/>
          <w:sz w:val="22"/>
          <w:szCs w:val="22"/>
        </w:rPr>
        <mc:AlternateContent>
          <mc:Choice Requires="wps">
            <w:drawing>
              <wp:anchor distT="0" distB="0" distL="114300" distR="114300" simplePos="0" relativeHeight="251678720" behindDoc="0" locked="0" layoutInCell="1" allowOverlap="1" wp14:anchorId="4355141C" wp14:editId="70848C0E">
                <wp:simplePos x="0" y="0"/>
                <wp:positionH relativeFrom="column">
                  <wp:posOffset>19900</wp:posOffset>
                </wp:positionH>
                <wp:positionV relativeFrom="paragraph">
                  <wp:posOffset>70301</wp:posOffset>
                </wp:positionV>
                <wp:extent cx="5943600" cy="5821940"/>
                <wp:effectExtent l="12700" t="12700" r="25400" b="20320"/>
                <wp:wrapNone/>
                <wp:docPr id="21" name="Text Box 21"/>
                <wp:cNvGraphicFramePr/>
                <a:graphic xmlns:a="http://schemas.openxmlformats.org/drawingml/2006/main">
                  <a:graphicData uri="http://schemas.microsoft.com/office/word/2010/wordprocessingShape">
                    <wps:wsp>
                      <wps:cNvSpPr txBox="1"/>
                      <wps:spPr>
                        <a:xfrm>
                          <a:off x="0" y="0"/>
                          <a:ext cx="5943600" cy="5821940"/>
                        </a:xfrm>
                        <a:prstGeom prst="rect">
                          <a:avLst/>
                        </a:prstGeom>
                        <a:solidFill>
                          <a:schemeClr val="lt1"/>
                        </a:solidFill>
                        <a:ln w="38100">
                          <a:solidFill>
                            <a:schemeClr val="accent6">
                              <a:lumMod val="75000"/>
                            </a:schemeClr>
                          </a:solidFill>
                        </a:ln>
                      </wps:spPr>
                      <wps:txbx>
                        <w:txbxContent>
                          <w:p w14:paraId="28A439A1" w14:textId="483520C7" w:rsidR="00D353E7" w:rsidRPr="007D38C5" w:rsidRDefault="00D353E7" w:rsidP="00D353E7">
                            <w:pPr>
                              <w:rPr>
                                <w:rFonts w:cstheme="minorHAnsi"/>
                                <w:color w:val="000000" w:themeColor="text1"/>
                                <w:sz w:val="22"/>
                                <w:szCs w:val="22"/>
                              </w:rPr>
                            </w:pPr>
                            <w:r>
                              <w:rPr>
                                <w:rFonts w:cstheme="minorHAnsi"/>
                                <w:sz w:val="22"/>
                                <w:szCs w:val="22"/>
                              </w:rPr>
                              <w:t xml:space="preserve">report to CMS on the federal metrics. However, Oregon has demonstrated it can add metrics (the primary care requirement), thus there is evidence from this evaluation that metrics could be more focused on equity and the service user experience, in addition to the process measures prescribed federally. A concern identified by many contributors to this evaluation was the balance of the value of reporting on metrics as compared to the administrative burden to collect the required data, demonstrating limited return on </w:t>
                            </w:r>
                            <w:r w:rsidRPr="007D38C5">
                              <w:rPr>
                                <w:rFonts w:cstheme="minorHAnsi"/>
                                <w:sz w:val="22"/>
                                <w:szCs w:val="22"/>
                              </w:rPr>
                              <w:t>investment for the effort of reporting.</w:t>
                            </w:r>
                            <w:r w:rsidRPr="007D38C5">
                              <w:rPr>
                                <w:rFonts w:cstheme="minorHAnsi"/>
                                <w:color w:val="000000" w:themeColor="text1"/>
                                <w:sz w:val="22"/>
                                <w:szCs w:val="22"/>
                              </w:rPr>
                              <w:t xml:space="preserve"> An earlier recommendation addresses potential changes in metrics </w:t>
                            </w:r>
                            <w:r w:rsidRPr="007D38C5">
                              <w:rPr>
                                <w:rFonts w:eastAsia="Calibri" w:cstheme="minorHAnsi"/>
                                <w:sz w:val="22"/>
                                <w:szCs w:val="22"/>
                              </w:rPr>
                              <w:t xml:space="preserve">to reduce administrative burden </w:t>
                            </w:r>
                            <w:r w:rsidRPr="007D38C5">
                              <w:rPr>
                                <w:rFonts w:cstheme="minorHAnsi"/>
                                <w:color w:val="000000" w:themeColor="text1"/>
                                <w:sz w:val="22"/>
                                <w:szCs w:val="22"/>
                              </w:rPr>
                              <w:t>and enhance the utility and relevance of metrics and data collected</w:t>
                            </w:r>
                            <w:r>
                              <w:rPr>
                                <w:rFonts w:cstheme="minorHAnsi"/>
                                <w:color w:val="000000" w:themeColor="text1"/>
                                <w:sz w:val="22"/>
                                <w:szCs w:val="22"/>
                              </w:rPr>
                              <w:t>.</w:t>
                            </w:r>
                          </w:p>
                          <w:p w14:paraId="3F439F85" w14:textId="77777777" w:rsidR="00D353E7" w:rsidRDefault="00D353E7" w:rsidP="00D353E7">
                            <w:pPr>
                              <w:rPr>
                                <w:rFonts w:cstheme="minorHAnsi"/>
                                <w:sz w:val="22"/>
                                <w:szCs w:val="22"/>
                              </w:rPr>
                            </w:pPr>
                          </w:p>
                          <w:p w14:paraId="204B767A" w14:textId="77777777" w:rsidR="00D353E7" w:rsidRDefault="00D353E7" w:rsidP="00D353E7">
                            <w:pPr>
                              <w:rPr>
                                <w:rFonts w:cstheme="minorHAnsi"/>
                                <w:sz w:val="22"/>
                                <w:szCs w:val="22"/>
                              </w:rPr>
                            </w:pPr>
                            <w:r>
                              <w:rPr>
                                <w:rFonts w:cstheme="minorHAnsi"/>
                                <w:sz w:val="22"/>
                                <w:szCs w:val="22"/>
                              </w:rPr>
                              <w:t>A r</w:t>
                            </w:r>
                            <w:r w:rsidRPr="00A724D4">
                              <w:rPr>
                                <w:rFonts w:cstheme="minorHAnsi"/>
                                <w:sz w:val="22"/>
                                <w:szCs w:val="22"/>
                              </w:rPr>
                              <w:t xml:space="preserve">obust data </w:t>
                            </w:r>
                            <w:r>
                              <w:rPr>
                                <w:rFonts w:cstheme="minorHAnsi"/>
                                <w:sz w:val="22"/>
                                <w:szCs w:val="22"/>
                              </w:rPr>
                              <w:t xml:space="preserve">infrastructure </w:t>
                            </w:r>
                            <w:r w:rsidRPr="00A724D4">
                              <w:rPr>
                                <w:rFonts w:cstheme="minorHAnsi"/>
                                <w:sz w:val="22"/>
                                <w:szCs w:val="22"/>
                              </w:rPr>
                              <w:t>system</w:t>
                            </w:r>
                            <w:r>
                              <w:rPr>
                                <w:rFonts w:cstheme="minorHAnsi"/>
                                <w:sz w:val="22"/>
                                <w:szCs w:val="22"/>
                              </w:rPr>
                              <w:t>, managed by</w:t>
                            </w:r>
                            <w:r w:rsidRPr="00A724D4">
                              <w:rPr>
                                <w:rFonts w:cstheme="minorHAnsi"/>
                                <w:sz w:val="22"/>
                                <w:szCs w:val="22"/>
                              </w:rPr>
                              <w:t xml:space="preserve"> staff who can make sense of those data</w:t>
                            </w:r>
                            <w:r>
                              <w:rPr>
                                <w:rFonts w:cstheme="minorHAnsi"/>
                                <w:sz w:val="22"/>
                                <w:szCs w:val="22"/>
                              </w:rPr>
                              <w:t>,</w:t>
                            </w:r>
                            <w:r w:rsidRPr="00A724D4">
                              <w:rPr>
                                <w:rFonts w:cstheme="minorHAnsi"/>
                                <w:sz w:val="22"/>
                                <w:szCs w:val="22"/>
                              </w:rPr>
                              <w:t xml:space="preserve"> could improve efforts to center equity and coordinate care.</w:t>
                            </w:r>
                            <w:r w:rsidRPr="00A724D4">
                              <w:rPr>
                                <w:rFonts w:eastAsia="Calibri" w:cstheme="minorHAnsi"/>
                                <w:sz w:val="22"/>
                                <w:szCs w:val="22"/>
                              </w:rPr>
                              <w:t xml:space="preserve"> </w:t>
                            </w:r>
                            <w:r>
                              <w:rPr>
                                <w:rFonts w:eastAsia="Calibri" w:cstheme="minorHAnsi"/>
                                <w:sz w:val="22"/>
                                <w:szCs w:val="22"/>
                              </w:rPr>
                              <w:t xml:space="preserve">This infrastructure could build upon </w:t>
                            </w:r>
                            <w:r w:rsidRPr="00C10E2E">
                              <w:rPr>
                                <w:rFonts w:cstheme="minorHAnsi"/>
                                <w:sz w:val="22"/>
                                <w:szCs w:val="22"/>
                              </w:rPr>
                              <w:t>current initiatives such as the HIT Commons, which is a public-private collaborative that governs statewide HIE initiatives and is co-sponsored by OHA and the Oregon Health Leadership Council</w:t>
                            </w:r>
                            <w:r>
                              <w:rPr>
                                <w:rFonts w:cstheme="minorHAnsi"/>
                                <w:sz w:val="22"/>
                                <w:szCs w:val="22"/>
                              </w:rPr>
                              <w:t xml:space="preserve"> (</w:t>
                            </w:r>
                            <w:r w:rsidRPr="00C10E2E">
                              <w:rPr>
                                <w:rFonts w:cstheme="minorHAnsi"/>
                                <w:sz w:val="22"/>
                                <w:szCs w:val="22"/>
                              </w:rPr>
                              <w:t>Oregon Health Leadership Council</w:t>
                            </w:r>
                            <w:r>
                              <w:rPr>
                                <w:rFonts w:cstheme="minorHAnsi"/>
                                <w:sz w:val="22"/>
                                <w:szCs w:val="22"/>
                              </w:rPr>
                              <w:t>, n.d.)</w:t>
                            </w:r>
                            <w:r w:rsidRPr="00C10E2E">
                              <w:rPr>
                                <w:rFonts w:cstheme="minorHAnsi"/>
                                <w:sz w:val="22"/>
                                <w:szCs w:val="22"/>
                              </w:rPr>
                              <w:t>.</w:t>
                            </w:r>
                            <w:r>
                              <w:rPr>
                                <w:rFonts w:cstheme="minorHAnsi"/>
                                <w:sz w:val="22"/>
                                <w:szCs w:val="22"/>
                              </w:rPr>
                              <w:t xml:space="preserve"> </w:t>
                            </w:r>
                            <w:r w:rsidRPr="00A724D4">
                              <w:rPr>
                                <w:rFonts w:cstheme="minorHAnsi"/>
                                <w:sz w:val="22"/>
                                <w:szCs w:val="22"/>
                              </w:rPr>
                              <w:t xml:space="preserve">Finally, there is an opportunity for OHA to provide more guidance to CCBHCs on all facets of the program, including using data for </w:t>
                            </w:r>
                            <w:r>
                              <w:rPr>
                                <w:rFonts w:cstheme="minorHAnsi"/>
                                <w:sz w:val="22"/>
                                <w:szCs w:val="22"/>
                              </w:rPr>
                              <w:t xml:space="preserve">continuous </w:t>
                            </w:r>
                            <w:r w:rsidRPr="00A724D4">
                              <w:rPr>
                                <w:rFonts w:cstheme="minorHAnsi"/>
                                <w:sz w:val="22"/>
                                <w:szCs w:val="22"/>
                              </w:rPr>
                              <w:t xml:space="preserve">improvement, identifying service gaps in the community, and engaging community and </w:t>
                            </w:r>
                            <w:r w:rsidRPr="004D7197">
                              <w:rPr>
                                <w:rFonts w:cstheme="minorHAnsi"/>
                                <w:sz w:val="22"/>
                                <w:szCs w:val="22"/>
                              </w:rPr>
                              <w:t xml:space="preserve">service users to develop and implement culturally specific outreach and services. </w:t>
                            </w:r>
                          </w:p>
                          <w:p w14:paraId="2DAD024F" w14:textId="77777777" w:rsidR="00D353E7" w:rsidRPr="00D353E7" w:rsidRDefault="00D353E7" w:rsidP="00D353E7">
                            <w:pPr>
                              <w:rPr>
                                <w:rFonts w:cstheme="minorHAnsi"/>
                                <w:sz w:val="22"/>
                                <w:szCs w:val="22"/>
                              </w:rPr>
                            </w:pPr>
                          </w:p>
                          <w:p w14:paraId="6C6D06DB" w14:textId="6E2DA83D" w:rsidR="00D353E7" w:rsidRDefault="00D353E7" w:rsidP="00D353E7">
                            <w:pPr>
                              <w:rPr>
                                <w:rFonts w:cstheme="minorHAnsi"/>
                                <w:color w:val="000000" w:themeColor="text1"/>
                                <w:sz w:val="22"/>
                                <w:szCs w:val="22"/>
                              </w:rPr>
                            </w:pPr>
                            <w:r w:rsidRPr="00D353E7">
                              <w:rPr>
                                <w:rFonts w:cstheme="minorHAnsi"/>
                                <w:b/>
                                <w:bCs/>
                                <w:color w:val="6A7F0F"/>
                                <w:sz w:val="22"/>
                                <w:szCs w:val="22"/>
                              </w:rPr>
                              <w:t>Recommendation</w:t>
                            </w:r>
                            <w:r w:rsidRPr="00D353E7">
                              <w:rPr>
                                <w:rFonts w:cstheme="minorHAnsi"/>
                                <w:color w:val="6A7F0F"/>
                                <w:sz w:val="22"/>
                                <w:szCs w:val="22"/>
                              </w:rPr>
                              <w:t xml:space="preserve">: </w:t>
                            </w:r>
                            <w:r w:rsidRPr="00D353E7">
                              <w:rPr>
                                <w:rFonts w:cstheme="minorHAnsi"/>
                                <w:color w:val="000000" w:themeColor="text1"/>
                                <w:sz w:val="22"/>
                                <w:szCs w:val="22"/>
                              </w:rPr>
                              <w:t>Invest in the development and implementation of a health information exchange (HIE) to support coordination of care and identification of health inequities, building upon</w:t>
                            </w:r>
                            <w:r>
                              <w:rPr>
                                <w:rFonts w:cstheme="minorHAnsi"/>
                                <w:color w:val="000000" w:themeColor="text1"/>
                                <w:sz w:val="22"/>
                                <w:szCs w:val="22"/>
                              </w:rPr>
                              <w:t xml:space="preserve"> current initiatives such as the HIT Commons.</w:t>
                            </w:r>
                          </w:p>
                          <w:p w14:paraId="689C0B51" w14:textId="456B16A4" w:rsidR="00D353E7" w:rsidRDefault="00D353E7" w:rsidP="00D353E7">
                            <w:pPr>
                              <w:rPr>
                                <w:rFonts w:cstheme="minorHAnsi"/>
                                <w:color w:val="000000" w:themeColor="text1"/>
                                <w:sz w:val="22"/>
                                <w:szCs w:val="22"/>
                              </w:rPr>
                            </w:pPr>
                          </w:p>
                          <w:p w14:paraId="385060DA" w14:textId="7EA06BC6" w:rsidR="00D353E7" w:rsidRPr="00D353E7" w:rsidRDefault="00D353E7" w:rsidP="00D353E7">
                            <w:pPr>
                              <w:rPr>
                                <w:rFonts w:cstheme="minorHAnsi"/>
                                <w:color w:val="000000" w:themeColor="text1"/>
                                <w:sz w:val="22"/>
                                <w:szCs w:val="22"/>
                              </w:rPr>
                            </w:pPr>
                            <w:r w:rsidRPr="007F78CE">
                              <w:rPr>
                                <w:rFonts w:cstheme="minorHAnsi"/>
                                <w:color w:val="000000" w:themeColor="text1"/>
                                <w:sz w:val="22"/>
                                <w:szCs w:val="22"/>
                              </w:rPr>
                              <w:t>CCBHCs have been able to accomplish many positive things with limited guidance and oversight. CCBHCs need consistent and regular support and structure from OHA to achieve the CCBHC program goals, center equity in their work, and adapt these practices to local contexts through various forms</w:t>
                            </w:r>
                          </w:p>
                          <w:p w14:paraId="2C8011BC" w14:textId="77777777" w:rsidR="00E82EAF" w:rsidRPr="00D353E7" w:rsidRDefault="00E82EAF" w:rsidP="00E82EAF">
                            <w:pPr>
                              <w:rPr>
                                <w:rFonts w:cstheme="minorHAnsi"/>
                                <w:color w:val="000000" w:themeColor="text1"/>
                                <w:sz w:val="22"/>
                                <w:szCs w:val="22"/>
                              </w:rPr>
                            </w:pPr>
                            <w:r w:rsidRPr="00D353E7">
                              <w:rPr>
                                <w:rFonts w:cstheme="minorHAnsi"/>
                                <w:color w:val="000000" w:themeColor="text1"/>
                                <w:sz w:val="22"/>
                                <w:szCs w:val="22"/>
                              </w:rPr>
                              <w:t>of technical assistance, including supporting learning collaboratives for the CCBHCs and other forms of knowledge transfer. Several CCBHCs reported challenges in obtaining information from their local CCO to facilitate care coordination.</w:t>
                            </w:r>
                          </w:p>
                          <w:p w14:paraId="10B15F1C" w14:textId="77777777" w:rsidR="00D353E7" w:rsidRPr="00D353E7" w:rsidRDefault="00D353E7">
                            <w:pPr>
                              <w:rPr>
                                <w:sz w:val="22"/>
                                <w:szCs w:val="22"/>
                              </w:rPr>
                            </w:pPr>
                          </w:p>
                          <w:p w14:paraId="32564422" w14:textId="3A859F98" w:rsidR="00D353E7" w:rsidRDefault="00E82EAF">
                            <w:r w:rsidRPr="00D353E7">
                              <w:rPr>
                                <w:rFonts w:cstheme="minorHAnsi"/>
                                <w:b/>
                                <w:bCs/>
                                <w:color w:val="6A7F0F"/>
                                <w:sz w:val="22"/>
                                <w:szCs w:val="22"/>
                              </w:rPr>
                              <w:t>Recommendation:</w:t>
                            </w:r>
                            <w:r w:rsidRPr="00D353E7">
                              <w:rPr>
                                <w:rFonts w:cstheme="minorHAnsi"/>
                                <w:color w:val="6A7F0F"/>
                                <w:sz w:val="22"/>
                                <w:szCs w:val="22"/>
                              </w:rPr>
                              <w:t xml:space="preserve"> </w:t>
                            </w:r>
                            <w:r w:rsidRPr="00D353E7">
                              <w:rPr>
                                <w:rFonts w:cstheme="minorHAnsi"/>
                                <w:color w:val="000000" w:themeColor="text1"/>
                                <w:sz w:val="22"/>
                                <w:szCs w:val="22"/>
                              </w:rPr>
                              <w:t>Identify opportunities</w:t>
                            </w:r>
                            <w:r w:rsidRPr="009D5C5D">
                              <w:rPr>
                                <w:rFonts w:cstheme="minorHAnsi"/>
                                <w:color w:val="000000" w:themeColor="text1"/>
                                <w:sz w:val="22"/>
                                <w:szCs w:val="22"/>
                              </w:rPr>
                              <w:t xml:space="preserve"> to intentionally build upon or partner with other community-based initiatives, such as OHA’s Regional Health Equity Coalitions and the Behavioral Health Re</w:t>
                            </w:r>
                            <w:r w:rsidR="00894B52">
                              <w:rPr>
                                <w:rFonts w:cstheme="minorHAnsi"/>
                                <w:color w:val="000000" w:themeColor="text1"/>
                                <w:sz w:val="22"/>
                                <w:szCs w:val="22"/>
                              </w:rPr>
                              <w:t>source</w:t>
                            </w:r>
                            <w:r w:rsidRPr="009D5C5D">
                              <w:rPr>
                                <w:rFonts w:cstheme="minorHAnsi"/>
                                <w:color w:val="000000" w:themeColor="text1"/>
                                <w:sz w:val="22"/>
                                <w:szCs w:val="22"/>
                              </w:rPr>
                              <w:t xml:space="preserve"> Network</w:t>
                            </w:r>
                            <w:r w:rsidR="00894B52">
                              <w:rPr>
                                <w:rFonts w:cstheme="minorHAnsi"/>
                                <w:color w:val="000000" w:themeColor="text1"/>
                                <w:sz w:val="22"/>
                                <w:szCs w:val="22"/>
                              </w:rPr>
                              <w:t>s</w:t>
                            </w:r>
                            <w:r w:rsidRPr="009D5C5D">
                              <w:rPr>
                                <w:rFonts w:cstheme="minorHAnsi"/>
                                <w:color w:val="000000" w:themeColor="text1"/>
                                <w:sz w:val="22"/>
                                <w:szCs w:val="22"/>
                              </w:rPr>
                              <w:t>, to support CCBHCs in identifying potential partners and building effective,</w:t>
                            </w:r>
                            <w:r>
                              <w:rPr>
                                <w:rFonts w:cstheme="minorHAnsi"/>
                                <w:color w:val="000000" w:themeColor="text1"/>
                                <w:sz w:val="22"/>
                                <w:szCs w:val="22"/>
                              </w:rPr>
                              <w:t xml:space="preserve"> mutually beneficial local relationships, including with CCOs.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5141C" id="_x0000_t202" coordsize="21600,21600" o:spt="202" path="m,l,21600r21600,l21600,xe">
                <v:stroke joinstyle="miter"/>
                <v:path gradientshapeok="t" o:connecttype="rect"/>
              </v:shapetype>
              <v:shape id="Text Box 21" o:spid="_x0000_s1037" type="#_x0000_t202" style="position:absolute;margin-left:1.55pt;margin-top:5.55pt;width:468pt;height:45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3TQIAAK4EAAAOAAAAZHJzL2Uyb0RvYy54bWysVG1v2jAQ/j5p/8Hy9xFCgQIiVIyKaVLX&#10;VqJTPxvHgUiOz7MPEvbrd3Z4azdp0rQvzp3vfC/PPZfpXVNptlfOl2Aynna6nCkjIS/NJuPfX5af&#10;Rpx5FCYXGozK+EF5fjf7+GFa24nqwRZ0rhyjIMZPapvxLaKdJImXW1UJ3wGrDBkLcJVAUt0myZ2o&#10;KXqlk163O0xqcLl1IJX3dHvfGvksxi8KJfGpKLxCpjNOtWE8XTzX4UxmUzHZOGG3pTyWIf6hikqU&#10;hpKeQ90LFGznyt9CVaV04KHAjoQqgaIopYo9UDdp9103q62wKvZC4Hh7hsn/v7Dycb+yz45h8xka&#10;GmAApLZ+4uky9NMUrgpfqpSRnSA8nGFTDTJJl4Nx/2bYJZMk22DUS8f9CGxyeW6dxy8KKhaEjDua&#10;S4RL7B88UkpyPbmEbB50mS9LraMSuKAW2rG9oClqjEXSizde2rA64zejlAr5WwghpTI4jH56V32D&#10;vA19O+jS67acyMCQNRZ3lYoSa0OXF5SChM26YWVOCJ4hXEN+IGQdtKTzVi5L6v5BeHwWjlhGiNHm&#10;4BMdhQaqHo4SZ1twP/90H/xp+GTlrCbWZtz/2AmnONNfDdFinPYJe4ZR6Q9ue6S4a8v62mJ21QII&#10;0pR21MooBn/UJ7FwUL3Sgs1DVjIJIyl3xvEkLrDdJVpQqebz6ETEtgIfzMrKEDoMI8z2pXkVzh4J&#10;gMSdRzjxW0ze8aD1DS8NzHcIRRlJEoBuUT3iT0sRx3Nc4LB113r0uvxmZr8AAAD//wMAUEsDBBQA&#10;BgAIAAAAIQC+F+x84AAAAA0BAAAPAAAAZHJzL2Rvd25yZXYueG1sTE9NT8MwDL0j8R8iI3FjaTfB&#10;1q7phCi7gjaQ2DFpsrbQOFWT9ePfY07jYj/72c/P2W6yLRtM7xuHAuJFBMxg6XSDlYDPj/3DBpgP&#10;ErVsHRoBs/Gwy29vMplqN+LBDMdQMRJBn0oBdQhdyrkva2OlX7jOIHFn11sZqOwrrns5krht+TKK&#10;nriVDdKFWnbmpTblz/FiSeXtvfgevl7nx/F0KJRq1X7erIW4v5uKLYXnLbBgpnDdgL8fyD/kZEy5&#10;C2rPWgGrmAapHVMmOlklBBSB5ToBnmf8/xf5LwAAAP//AwBQSwECLQAUAAYACAAAACEAtoM4kv4A&#10;AADhAQAAEwAAAAAAAAAAAAAAAAAAAAAAW0NvbnRlbnRfVHlwZXNdLnhtbFBLAQItABQABgAIAAAA&#10;IQA4/SH/1gAAAJQBAAALAAAAAAAAAAAAAAAAAC8BAABfcmVscy8ucmVsc1BLAQItABQABgAIAAAA&#10;IQDrTqL3TQIAAK4EAAAOAAAAAAAAAAAAAAAAAC4CAABkcnMvZTJvRG9jLnhtbFBLAQItABQABgAI&#10;AAAAIQC+F+x84AAAAA0BAAAPAAAAAAAAAAAAAAAAAKcEAABkcnMvZG93bnJldi54bWxQSwUGAAAA&#10;AAQABADzAAAAtAUAAAAA&#10;" fillcolor="white [3201]" strokecolor="#538135 [2409]" strokeweight="3pt">
                <v:textbox>
                  <w:txbxContent>
                    <w:p w14:paraId="28A439A1" w14:textId="483520C7" w:rsidR="00D353E7" w:rsidRPr="007D38C5" w:rsidRDefault="00D353E7" w:rsidP="00D353E7">
                      <w:pPr>
                        <w:rPr>
                          <w:rFonts w:cstheme="minorHAnsi"/>
                          <w:color w:val="000000" w:themeColor="text1"/>
                          <w:sz w:val="22"/>
                          <w:szCs w:val="22"/>
                        </w:rPr>
                      </w:pPr>
                      <w:r>
                        <w:rPr>
                          <w:rFonts w:cstheme="minorHAnsi"/>
                          <w:sz w:val="22"/>
                          <w:szCs w:val="22"/>
                        </w:rPr>
                        <w:t xml:space="preserve">report to CMS on the federal metrics. However, Oregon has demonstrated it can add metrics (the primary care requirement), thus there is evidence from this evaluation that metrics could be more focused on equity and the service user experience, in addition to the process measures prescribed federally. A concern identified by many contributors to this evaluation was the balance of the value of reporting on metrics as compared to the administrative burden to collect the required data, demonstrating limited return on </w:t>
                      </w:r>
                      <w:r w:rsidRPr="007D38C5">
                        <w:rPr>
                          <w:rFonts w:cstheme="minorHAnsi"/>
                          <w:sz w:val="22"/>
                          <w:szCs w:val="22"/>
                        </w:rPr>
                        <w:t>investment for the effort of reporting.</w:t>
                      </w:r>
                      <w:r w:rsidRPr="007D38C5">
                        <w:rPr>
                          <w:rFonts w:cstheme="minorHAnsi"/>
                          <w:color w:val="000000" w:themeColor="text1"/>
                          <w:sz w:val="22"/>
                          <w:szCs w:val="22"/>
                        </w:rPr>
                        <w:t xml:space="preserve"> An earlier recommendation addresses potential changes in metrics </w:t>
                      </w:r>
                      <w:r w:rsidRPr="007D38C5">
                        <w:rPr>
                          <w:rFonts w:eastAsia="Calibri" w:cstheme="minorHAnsi"/>
                          <w:sz w:val="22"/>
                          <w:szCs w:val="22"/>
                        </w:rPr>
                        <w:t xml:space="preserve">to reduce administrative burden </w:t>
                      </w:r>
                      <w:r w:rsidRPr="007D38C5">
                        <w:rPr>
                          <w:rFonts w:cstheme="minorHAnsi"/>
                          <w:color w:val="000000" w:themeColor="text1"/>
                          <w:sz w:val="22"/>
                          <w:szCs w:val="22"/>
                        </w:rPr>
                        <w:t>and enhance the utility and relevance of metrics and data collected</w:t>
                      </w:r>
                      <w:r>
                        <w:rPr>
                          <w:rFonts w:cstheme="minorHAnsi"/>
                          <w:color w:val="000000" w:themeColor="text1"/>
                          <w:sz w:val="22"/>
                          <w:szCs w:val="22"/>
                        </w:rPr>
                        <w:t>.</w:t>
                      </w:r>
                    </w:p>
                    <w:p w14:paraId="3F439F85" w14:textId="77777777" w:rsidR="00D353E7" w:rsidRDefault="00D353E7" w:rsidP="00D353E7">
                      <w:pPr>
                        <w:rPr>
                          <w:rFonts w:cstheme="minorHAnsi"/>
                          <w:sz w:val="22"/>
                          <w:szCs w:val="22"/>
                        </w:rPr>
                      </w:pPr>
                    </w:p>
                    <w:p w14:paraId="204B767A" w14:textId="77777777" w:rsidR="00D353E7" w:rsidRDefault="00D353E7" w:rsidP="00D353E7">
                      <w:pPr>
                        <w:rPr>
                          <w:rFonts w:cstheme="minorHAnsi"/>
                          <w:sz w:val="22"/>
                          <w:szCs w:val="22"/>
                        </w:rPr>
                      </w:pPr>
                      <w:r>
                        <w:rPr>
                          <w:rFonts w:cstheme="minorHAnsi"/>
                          <w:sz w:val="22"/>
                          <w:szCs w:val="22"/>
                        </w:rPr>
                        <w:t>A r</w:t>
                      </w:r>
                      <w:r w:rsidRPr="00A724D4">
                        <w:rPr>
                          <w:rFonts w:cstheme="minorHAnsi"/>
                          <w:sz w:val="22"/>
                          <w:szCs w:val="22"/>
                        </w:rPr>
                        <w:t xml:space="preserve">obust data </w:t>
                      </w:r>
                      <w:r>
                        <w:rPr>
                          <w:rFonts w:cstheme="minorHAnsi"/>
                          <w:sz w:val="22"/>
                          <w:szCs w:val="22"/>
                        </w:rPr>
                        <w:t xml:space="preserve">infrastructure </w:t>
                      </w:r>
                      <w:r w:rsidRPr="00A724D4">
                        <w:rPr>
                          <w:rFonts w:cstheme="minorHAnsi"/>
                          <w:sz w:val="22"/>
                          <w:szCs w:val="22"/>
                        </w:rPr>
                        <w:t>system</w:t>
                      </w:r>
                      <w:r>
                        <w:rPr>
                          <w:rFonts w:cstheme="minorHAnsi"/>
                          <w:sz w:val="22"/>
                          <w:szCs w:val="22"/>
                        </w:rPr>
                        <w:t>, managed by</w:t>
                      </w:r>
                      <w:r w:rsidRPr="00A724D4">
                        <w:rPr>
                          <w:rFonts w:cstheme="minorHAnsi"/>
                          <w:sz w:val="22"/>
                          <w:szCs w:val="22"/>
                        </w:rPr>
                        <w:t xml:space="preserve"> staff who can make sense of those data</w:t>
                      </w:r>
                      <w:r>
                        <w:rPr>
                          <w:rFonts w:cstheme="minorHAnsi"/>
                          <w:sz w:val="22"/>
                          <w:szCs w:val="22"/>
                        </w:rPr>
                        <w:t>,</w:t>
                      </w:r>
                      <w:r w:rsidRPr="00A724D4">
                        <w:rPr>
                          <w:rFonts w:cstheme="minorHAnsi"/>
                          <w:sz w:val="22"/>
                          <w:szCs w:val="22"/>
                        </w:rPr>
                        <w:t xml:space="preserve"> could improve efforts to center equity and coordinate care.</w:t>
                      </w:r>
                      <w:r w:rsidRPr="00A724D4">
                        <w:rPr>
                          <w:rFonts w:eastAsia="Calibri" w:cstheme="minorHAnsi"/>
                          <w:sz w:val="22"/>
                          <w:szCs w:val="22"/>
                        </w:rPr>
                        <w:t xml:space="preserve"> </w:t>
                      </w:r>
                      <w:r>
                        <w:rPr>
                          <w:rFonts w:eastAsia="Calibri" w:cstheme="minorHAnsi"/>
                          <w:sz w:val="22"/>
                          <w:szCs w:val="22"/>
                        </w:rPr>
                        <w:t xml:space="preserve">This infrastructure could build upon </w:t>
                      </w:r>
                      <w:r w:rsidRPr="00C10E2E">
                        <w:rPr>
                          <w:rFonts w:cstheme="minorHAnsi"/>
                          <w:sz w:val="22"/>
                          <w:szCs w:val="22"/>
                        </w:rPr>
                        <w:t>current initiatives such as the HIT Commons, which is a public-private collaborative that governs statewide HIE initiatives and is co-sponsored by OHA and the Oregon Health Leadership Council</w:t>
                      </w:r>
                      <w:r>
                        <w:rPr>
                          <w:rFonts w:cstheme="minorHAnsi"/>
                          <w:sz w:val="22"/>
                          <w:szCs w:val="22"/>
                        </w:rPr>
                        <w:t xml:space="preserve"> (</w:t>
                      </w:r>
                      <w:r w:rsidRPr="00C10E2E">
                        <w:rPr>
                          <w:rFonts w:cstheme="minorHAnsi"/>
                          <w:sz w:val="22"/>
                          <w:szCs w:val="22"/>
                        </w:rPr>
                        <w:t>Oregon Health Leadership Council</w:t>
                      </w:r>
                      <w:r>
                        <w:rPr>
                          <w:rFonts w:cstheme="minorHAnsi"/>
                          <w:sz w:val="22"/>
                          <w:szCs w:val="22"/>
                        </w:rPr>
                        <w:t>, n.d.)</w:t>
                      </w:r>
                      <w:r w:rsidRPr="00C10E2E">
                        <w:rPr>
                          <w:rFonts w:cstheme="minorHAnsi"/>
                          <w:sz w:val="22"/>
                          <w:szCs w:val="22"/>
                        </w:rPr>
                        <w:t>.</w:t>
                      </w:r>
                      <w:r>
                        <w:rPr>
                          <w:rFonts w:cstheme="minorHAnsi"/>
                          <w:sz w:val="22"/>
                          <w:szCs w:val="22"/>
                        </w:rPr>
                        <w:t xml:space="preserve"> </w:t>
                      </w:r>
                      <w:r w:rsidRPr="00A724D4">
                        <w:rPr>
                          <w:rFonts w:cstheme="minorHAnsi"/>
                          <w:sz w:val="22"/>
                          <w:szCs w:val="22"/>
                        </w:rPr>
                        <w:t xml:space="preserve">Finally, there is an opportunity for OHA to provide more guidance to CCBHCs on all facets of the program, including using data for </w:t>
                      </w:r>
                      <w:r>
                        <w:rPr>
                          <w:rFonts w:cstheme="minorHAnsi"/>
                          <w:sz w:val="22"/>
                          <w:szCs w:val="22"/>
                        </w:rPr>
                        <w:t xml:space="preserve">continuous </w:t>
                      </w:r>
                      <w:r w:rsidRPr="00A724D4">
                        <w:rPr>
                          <w:rFonts w:cstheme="minorHAnsi"/>
                          <w:sz w:val="22"/>
                          <w:szCs w:val="22"/>
                        </w:rPr>
                        <w:t xml:space="preserve">improvement, identifying service gaps in the community, and engaging community and </w:t>
                      </w:r>
                      <w:r w:rsidRPr="004D7197">
                        <w:rPr>
                          <w:rFonts w:cstheme="minorHAnsi"/>
                          <w:sz w:val="22"/>
                          <w:szCs w:val="22"/>
                        </w:rPr>
                        <w:t xml:space="preserve">service users to develop and implement culturally specific outreach and services. </w:t>
                      </w:r>
                    </w:p>
                    <w:p w14:paraId="2DAD024F" w14:textId="77777777" w:rsidR="00D353E7" w:rsidRPr="00D353E7" w:rsidRDefault="00D353E7" w:rsidP="00D353E7">
                      <w:pPr>
                        <w:rPr>
                          <w:rFonts w:cstheme="minorHAnsi"/>
                          <w:sz w:val="22"/>
                          <w:szCs w:val="22"/>
                        </w:rPr>
                      </w:pPr>
                    </w:p>
                    <w:p w14:paraId="6C6D06DB" w14:textId="6E2DA83D" w:rsidR="00D353E7" w:rsidRDefault="00D353E7" w:rsidP="00D353E7">
                      <w:pPr>
                        <w:rPr>
                          <w:rFonts w:cstheme="minorHAnsi"/>
                          <w:color w:val="000000" w:themeColor="text1"/>
                          <w:sz w:val="22"/>
                          <w:szCs w:val="22"/>
                        </w:rPr>
                      </w:pPr>
                      <w:r w:rsidRPr="00D353E7">
                        <w:rPr>
                          <w:rFonts w:cstheme="minorHAnsi"/>
                          <w:b/>
                          <w:bCs/>
                          <w:color w:val="6A7F0F"/>
                          <w:sz w:val="22"/>
                          <w:szCs w:val="22"/>
                        </w:rPr>
                        <w:t>Recommendation</w:t>
                      </w:r>
                      <w:r w:rsidRPr="00D353E7">
                        <w:rPr>
                          <w:rFonts w:cstheme="minorHAnsi"/>
                          <w:color w:val="6A7F0F"/>
                          <w:sz w:val="22"/>
                          <w:szCs w:val="22"/>
                        </w:rPr>
                        <w:t xml:space="preserve">: </w:t>
                      </w:r>
                      <w:r w:rsidRPr="00D353E7">
                        <w:rPr>
                          <w:rFonts w:cstheme="minorHAnsi"/>
                          <w:color w:val="000000" w:themeColor="text1"/>
                          <w:sz w:val="22"/>
                          <w:szCs w:val="22"/>
                        </w:rPr>
                        <w:t>Invest in the development and implementation of a health information exchange (HIE) to support coordination of care and identification of health inequities, building upon</w:t>
                      </w:r>
                      <w:r>
                        <w:rPr>
                          <w:rFonts w:cstheme="minorHAnsi"/>
                          <w:color w:val="000000" w:themeColor="text1"/>
                          <w:sz w:val="22"/>
                          <w:szCs w:val="22"/>
                        </w:rPr>
                        <w:t xml:space="preserve"> current initiatives such as the HIT Commons.</w:t>
                      </w:r>
                    </w:p>
                    <w:p w14:paraId="689C0B51" w14:textId="456B16A4" w:rsidR="00D353E7" w:rsidRDefault="00D353E7" w:rsidP="00D353E7">
                      <w:pPr>
                        <w:rPr>
                          <w:rFonts w:cstheme="minorHAnsi"/>
                          <w:color w:val="000000" w:themeColor="text1"/>
                          <w:sz w:val="22"/>
                          <w:szCs w:val="22"/>
                        </w:rPr>
                      </w:pPr>
                    </w:p>
                    <w:p w14:paraId="385060DA" w14:textId="7EA06BC6" w:rsidR="00D353E7" w:rsidRPr="00D353E7" w:rsidRDefault="00D353E7" w:rsidP="00D353E7">
                      <w:pPr>
                        <w:rPr>
                          <w:rFonts w:cstheme="minorHAnsi"/>
                          <w:color w:val="000000" w:themeColor="text1"/>
                          <w:sz w:val="22"/>
                          <w:szCs w:val="22"/>
                        </w:rPr>
                      </w:pPr>
                      <w:r w:rsidRPr="007F78CE">
                        <w:rPr>
                          <w:rFonts w:cstheme="minorHAnsi"/>
                          <w:color w:val="000000" w:themeColor="text1"/>
                          <w:sz w:val="22"/>
                          <w:szCs w:val="22"/>
                        </w:rPr>
                        <w:t>CCBHCs have been able to accomplish many positive things with limited guidance and oversight. CCBHCs need consistent and regular support and structure from OHA to achieve the CCBHC program goals, center equity in their work, and adapt these practices to local contexts through various forms</w:t>
                      </w:r>
                    </w:p>
                    <w:p w14:paraId="2C8011BC" w14:textId="77777777" w:rsidR="00E82EAF" w:rsidRPr="00D353E7" w:rsidRDefault="00E82EAF" w:rsidP="00E82EAF">
                      <w:pPr>
                        <w:rPr>
                          <w:rFonts w:cstheme="minorHAnsi"/>
                          <w:color w:val="000000" w:themeColor="text1"/>
                          <w:sz w:val="22"/>
                          <w:szCs w:val="22"/>
                        </w:rPr>
                      </w:pPr>
                      <w:r w:rsidRPr="00D353E7">
                        <w:rPr>
                          <w:rFonts w:cstheme="minorHAnsi"/>
                          <w:color w:val="000000" w:themeColor="text1"/>
                          <w:sz w:val="22"/>
                          <w:szCs w:val="22"/>
                        </w:rPr>
                        <w:t>of technical assistance, including supporting learning collaboratives for the CCBHCs and other forms of knowledge transfer. Several CCBHCs reported challenges in obtaining information from their local CCO to facilitate care coordination.</w:t>
                      </w:r>
                    </w:p>
                    <w:p w14:paraId="10B15F1C" w14:textId="77777777" w:rsidR="00D353E7" w:rsidRPr="00D353E7" w:rsidRDefault="00D353E7">
                      <w:pPr>
                        <w:rPr>
                          <w:sz w:val="22"/>
                          <w:szCs w:val="22"/>
                        </w:rPr>
                      </w:pPr>
                    </w:p>
                    <w:p w14:paraId="32564422" w14:textId="3A859F98" w:rsidR="00D353E7" w:rsidRDefault="00E82EAF">
                      <w:r w:rsidRPr="00D353E7">
                        <w:rPr>
                          <w:rFonts w:cstheme="minorHAnsi"/>
                          <w:b/>
                          <w:bCs/>
                          <w:color w:val="6A7F0F"/>
                          <w:sz w:val="22"/>
                          <w:szCs w:val="22"/>
                        </w:rPr>
                        <w:t>Recommendation:</w:t>
                      </w:r>
                      <w:r w:rsidRPr="00D353E7">
                        <w:rPr>
                          <w:rFonts w:cstheme="minorHAnsi"/>
                          <w:color w:val="6A7F0F"/>
                          <w:sz w:val="22"/>
                          <w:szCs w:val="22"/>
                        </w:rPr>
                        <w:t xml:space="preserve"> </w:t>
                      </w:r>
                      <w:r w:rsidRPr="00D353E7">
                        <w:rPr>
                          <w:rFonts w:cstheme="minorHAnsi"/>
                          <w:color w:val="000000" w:themeColor="text1"/>
                          <w:sz w:val="22"/>
                          <w:szCs w:val="22"/>
                        </w:rPr>
                        <w:t>Identify opportunities</w:t>
                      </w:r>
                      <w:r w:rsidRPr="009D5C5D">
                        <w:rPr>
                          <w:rFonts w:cstheme="minorHAnsi"/>
                          <w:color w:val="000000" w:themeColor="text1"/>
                          <w:sz w:val="22"/>
                          <w:szCs w:val="22"/>
                        </w:rPr>
                        <w:t xml:space="preserve"> to intentionally build upon or partner with other community-based initiatives, such as OHA’s Regional Health Equity Coalitions and the Behavioral Health Re</w:t>
                      </w:r>
                      <w:r w:rsidR="00894B52">
                        <w:rPr>
                          <w:rFonts w:cstheme="minorHAnsi"/>
                          <w:color w:val="000000" w:themeColor="text1"/>
                          <w:sz w:val="22"/>
                          <w:szCs w:val="22"/>
                        </w:rPr>
                        <w:t>source</w:t>
                      </w:r>
                      <w:r w:rsidRPr="009D5C5D">
                        <w:rPr>
                          <w:rFonts w:cstheme="minorHAnsi"/>
                          <w:color w:val="000000" w:themeColor="text1"/>
                          <w:sz w:val="22"/>
                          <w:szCs w:val="22"/>
                        </w:rPr>
                        <w:t xml:space="preserve"> Network</w:t>
                      </w:r>
                      <w:r w:rsidR="00894B52">
                        <w:rPr>
                          <w:rFonts w:cstheme="minorHAnsi"/>
                          <w:color w:val="000000" w:themeColor="text1"/>
                          <w:sz w:val="22"/>
                          <w:szCs w:val="22"/>
                        </w:rPr>
                        <w:t>s</w:t>
                      </w:r>
                      <w:r w:rsidRPr="009D5C5D">
                        <w:rPr>
                          <w:rFonts w:cstheme="minorHAnsi"/>
                          <w:color w:val="000000" w:themeColor="text1"/>
                          <w:sz w:val="22"/>
                          <w:szCs w:val="22"/>
                        </w:rPr>
                        <w:t>, to support CCBHCs in identifying potential partners and building effective,</w:t>
                      </w:r>
                      <w:r>
                        <w:rPr>
                          <w:rFonts w:cstheme="minorHAnsi"/>
                          <w:color w:val="000000" w:themeColor="text1"/>
                          <w:sz w:val="22"/>
                          <w:szCs w:val="22"/>
                        </w:rPr>
                        <w:t xml:space="preserve"> mutually beneficial local relationships, including with CCOs.</w:t>
                      </w:r>
                    </w:p>
                  </w:txbxContent>
                </v:textbox>
              </v:shape>
            </w:pict>
          </mc:Fallback>
        </mc:AlternateContent>
      </w:r>
    </w:p>
    <w:p w14:paraId="3A74B0A3" w14:textId="6DE8D945" w:rsidR="00C0146C" w:rsidRDefault="00C0146C" w:rsidP="00C0146C">
      <w:pPr>
        <w:rPr>
          <w:rFonts w:eastAsia="Calibri" w:cstheme="minorHAnsi"/>
          <w:sz w:val="22"/>
          <w:szCs w:val="22"/>
        </w:rPr>
      </w:pPr>
    </w:p>
    <w:p w14:paraId="7FD5C052" w14:textId="06426930" w:rsidR="00C0146C" w:rsidRDefault="00C0146C" w:rsidP="00C0146C">
      <w:pPr>
        <w:rPr>
          <w:rFonts w:eastAsia="Calibri" w:cstheme="minorHAnsi"/>
          <w:sz w:val="22"/>
          <w:szCs w:val="22"/>
        </w:rPr>
      </w:pPr>
    </w:p>
    <w:p w14:paraId="209E54AD" w14:textId="75233C86" w:rsidR="00C0146C" w:rsidRDefault="00C0146C" w:rsidP="00C0146C">
      <w:pPr>
        <w:rPr>
          <w:rFonts w:eastAsia="Calibri" w:cstheme="minorHAnsi"/>
          <w:sz w:val="22"/>
          <w:szCs w:val="22"/>
        </w:rPr>
      </w:pPr>
    </w:p>
    <w:p w14:paraId="63D5CC0D" w14:textId="1C01F3CE" w:rsidR="00C0146C" w:rsidRDefault="00C0146C" w:rsidP="00C0146C">
      <w:pPr>
        <w:rPr>
          <w:rFonts w:eastAsia="Calibri" w:cstheme="minorHAnsi"/>
          <w:sz w:val="22"/>
          <w:szCs w:val="22"/>
        </w:rPr>
      </w:pPr>
    </w:p>
    <w:p w14:paraId="11F2DA97" w14:textId="2CB8818A" w:rsidR="00C0146C" w:rsidRDefault="00C0146C" w:rsidP="00C0146C">
      <w:pPr>
        <w:rPr>
          <w:rFonts w:eastAsia="Calibri" w:cstheme="minorHAnsi"/>
          <w:sz w:val="22"/>
          <w:szCs w:val="22"/>
        </w:rPr>
      </w:pPr>
    </w:p>
    <w:p w14:paraId="3D4E44D4" w14:textId="7EB34D9B" w:rsidR="00C0146C" w:rsidRDefault="00C0146C" w:rsidP="00C0146C">
      <w:pPr>
        <w:rPr>
          <w:rFonts w:eastAsia="Calibri" w:cstheme="minorHAnsi"/>
          <w:sz w:val="22"/>
          <w:szCs w:val="22"/>
        </w:rPr>
      </w:pPr>
    </w:p>
    <w:p w14:paraId="3FB53649" w14:textId="25F0557B" w:rsidR="00C0146C" w:rsidRDefault="00C0146C" w:rsidP="00C0146C">
      <w:pPr>
        <w:rPr>
          <w:rFonts w:eastAsia="Calibri" w:cstheme="minorHAnsi"/>
          <w:sz w:val="22"/>
          <w:szCs w:val="22"/>
        </w:rPr>
      </w:pPr>
    </w:p>
    <w:p w14:paraId="100C03B0" w14:textId="77777777" w:rsidR="00C0146C" w:rsidRPr="00385379" w:rsidRDefault="00C0146C" w:rsidP="00C0146C">
      <w:pPr>
        <w:rPr>
          <w:rFonts w:eastAsia="Calibri" w:cstheme="minorHAnsi"/>
          <w:sz w:val="22"/>
          <w:szCs w:val="22"/>
        </w:rPr>
      </w:pPr>
    </w:p>
    <w:p w14:paraId="31CBBFE7" w14:textId="46B82615" w:rsidR="00C0146C" w:rsidRPr="004D7197" w:rsidRDefault="00C0146C" w:rsidP="00C0146C">
      <w:pPr>
        <w:rPr>
          <w:rFonts w:cstheme="minorHAnsi"/>
          <w:sz w:val="22"/>
          <w:szCs w:val="22"/>
        </w:rPr>
      </w:pPr>
      <w:r>
        <w:rPr>
          <w:noProof/>
        </w:rPr>
        <mc:AlternateContent>
          <mc:Choice Requires="wps">
            <w:drawing>
              <wp:inline distT="0" distB="0" distL="0" distR="0" wp14:anchorId="6564650C" wp14:editId="5AF16A42">
                <wp:extent cx="5949315" cy="4346169"/>
                <wp:effectExtent l="12700" t="12700" r="19685" b="22860"/>
                <wp:docPr id="29" name="Text Box 29"/>
                <wp:cNvGraphicFramePr/>
                <a:graphic xmlns:a="http://schemas.openxmlformats.org/drawingml/2006/main">
                  <a:graphicData uri="http://schemas.microsoft.com/office/word/2010/wordprocessingShape">
                    <wps:wsp>
                      <wps:cNvSpPr txBox="1"/>
                      <wps:spPr>
                        <a:xfrm>
                          <a:off x="0" y="0"/>
                          <a:ext cx="5949315" cy="4346169"/>
                        </a:xfrm>
                        <a:prstGeom prst="rect">
                          <a:avLst/>
                        </a:prstGeom>
                        <a:noFill/>
                        <a:ln w="38100">
                          <a:solidFill>
                            <a:srgbClr val="6A7F0F"/>
                          </a:solidFill>
                        </a:ln>
                      </wps:spPr>
                      <wps:txbx>
                        <w:txbxContent>
                          <w:p w14:paraId="7C38F771" w14:textId="77777777" w:rsidR="00C0146C" w:rsidRPr="000E4C9B" w:rsidRDefault="00C0146C" w:rsidP="00C0146C">
                            <w:pPr>
                              <w:rPr>
                                <w:rFonts w:cstheme="minorHAnsi"/>
                                <w:iCs/>
                                <w:sz w:val="22"/>
                                <w:szCs w:val="22"/>
                              </w:rPr>
                            </w:pPr>
                          </w:p>
                          <w:p w14:paraId="1B951B43" w14:textId="000FBB6C" w:rsidR="00C0146C" w:rsidRPr="00C0146C" w:rsidRDefault="00C233F0" w:rsidP="00C0146C">
                            <w:pPr>
                              <w:rPr>
                                <w:rFonts w:cstheme="minorHAnsi"/>
                                <w:color w:val="000000" w:themeColor="text1"/>
                                <w:sz w:val="22"/>
                                <w:szCs w:val="22"/>
                              </w:rPr>
                            </w:pPr>
                            <w:r w:rsidRPr="009D5C5D">
                              <w:rPr>
                                <w:rFonts w:cstheme="minorHAnsi"/>
                                <w:color w:val="000000" w:themeColor="text1"/>
                                <w:sz w:val="22"/>
                                <w:szCs w:val="22"/>
                              </w:rPr>
                              <w:t>current initiatives such as the HIT Commons</w:t>
                            </w:r>
                            <w:r>
                              <w:rPr>
                                <w:rFonts w:cstheme="minorHAnsi"/>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64650C" id="Text Box 29" o:spid="_x0000_s1038" type="#_x0000_t202" style="width:468.45pt;height:3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tFNwIAAF8EAAAOAAAAZHJzL2Uyb0RvYy54bWysVE2P2jAQvVfqf7B8L0kgsEtEWFFWVJVW&#10;uyux1Z6N45BIjse1DQn99R074UPbnqpezNgzmY/33rB46BpJjsLYGlROk1FMiVAcilrtc/rjbfPl&#10;nhLrmCqYBCVyehKWPiw/f1q0OhNjqEAWwhBMomzW6pxWzuksiiyvRMPsCLRQ6CzBNMzh1eyjwrAW&#10;szcyGsfxLGrBFNoAF9bi62PvpMuQvywFdy9laYUjMqfYmwunCefOn9FywbK9Ybqq+dAG+4cuGlYr&#10;LHpJ9cgcIwdT/5GqqbkBC6UbcWgiKMuaizADTpPEH6bZVkyLMAuCY/UFJvv/0vLn41a/GuK6r9Ah&#10;gR6QVtvM4qOfpytN43+xU4J+hPB0gU10jnB8nM7T+SSZUsLRl07SWTKb+zzR9XNtrPsmoCHeyKlB&#10;XgJc7PhkXR96DvHVFGxqKQM3UpE2p5P7JI7DFxZkXXivj7Nmv1tLQ44M6Z2t7jbxZih8E4ZtSIXd&#10;XMfylut2HakLHHl8nnkHxQmhMNCrxGq+qbHdJ2bdKzMoC5wepe5e8CglYFswWJRUYH797d3HI1vo&#10;paRFmeXU/jwwIyiR3xXyOE/S1OsyXNLp3Rgv5tazu/WoQ7MGHDXBpdI8mD7eybNZGmjecSNWviq6&#10;mOJYO6fubK5dL37cKC5WqxCEStTMPamt5j61B9aT8da9M6MHxhyS/QxnQbLsA3F9bE/d6uCgrAOr&#10;Huge1QF/VHHQxbBxfk1u7yHq+r+w/A0AAP//AwBQSwMEFAAGAAgAAAAhAMAP8vbeAAAACgEAAA8A&#10;AABkcnMvZG93bnJldi54bWxMj81OwzAQhO9IvIO1SNyoDVRRm8apyk8PHDi00LsbL0lEvI5sJ015&#10;ehYucBlpNZrZ+Yr15DoxYoitJw23MwUCqfK2pVrD+9v2ZgEiJkPWdJ5QwxkjrMvLi8Lk1p9oh+M+&#10;1YJLKOZGQ5NSn0sZqwadiTPfI7H34YMzic9QSxvMictdJ++UyqQzLfGHxvT42GD1uR+cBhz8uKnP&#10;9ut5e0iHV+fVS3hQWl9fTU8rls0KRMIp/SXgh4H3Q8nDjn4gG0WngWnSr7K3vM+WII4assV8DrIs&#10;5H+E8hsAAP//AwBQSwECLQAUAAYACAAAACEAtoM4kv4AAADhAQAAEwAAAAAAAAAAAAAAAAAAAAAA&#10;W0NvbnRlbnRfVHlwZXNdLnhtbFBLAQItABQABgAIAAAAIQA4/SH/1gAAAJQBAAALAAAAAAAAAAAA&#10;AAAAAC8BAABfcmVscy8ucmVsc1BLAQItABQABgAIAAAAIQBwxFtFNwIAAF8EAAAOAAAAAAAAAAAA&#10;AAAAAC4CAABkcnMvZTJvRG9jLnhtbFBLAQItABQABgAIAAAAIQDAD/L23gAAAAoBAAAPAAAAAAAA&#10;AAAAAAAAAJEEAABkcnMvZG93bnJldi54bWxQSwUGAAAAAAQABADzAAAAnAUAAAAA&#10;" filled="f" strokecolor="#6a7f0f" strokeweight="3pt">
                <v:textbox>
                  <w:txbxContent>
                    <w:p w14:paraId="7C38F771" w14:textId="77777777" w:rsidR="00C0146C" w:rsidRPr="000E4C9B" w:rsidRDefault="00C0146C" w:rsidP="00C0146C">
                      <w:pPr>
                        <w:rPr>
                          <w:rFonts w:cstheme="minorHAnsi"/>
                          <w:iCs/>
                          <w:sz w:val="22"/>
                          <w:szCs w:val="22"/>
                        </w:rPr>
                      </w:pPr>
                    </w:p>
                    <w:p w14:paraId="1B951B43" w14:textId="000FBB6C" w:rsidR="00C0146C" w:rsidRPr="00C0146C" w:rsidRDefault="00C233F0" w:rsidP="00C0146C">
                      <w:pPr>
                        <w:rPr>
                          <w:rFonts w:cstheme="minorHAnsi"/>
                          <w:color w:val="000000" w:themeColor="text1"/>
                          <w:sz w:val="22"/>
                          <w:szCs w:val="22"/>
                        </w:rPr>
                      </w:pPr>
                      <w:r w:rsidRPr="009D5C5D">
                        <w:rPr>
                          <w:rFonts w:cstheme="minorHAnsi"/>
                          <w:color w:val="000000" w:themeColor="text1"/>
                          <w:sz w:val="22"/>
                          <w:szCs w:val="22"/>
                        </w:rPr>
                        <w:t>current initiatives such as the HIT Commons</w:t>
                      </w:r>
                      <w:r>
                        <w:rPr>
                          <w:rFonts w:cstheme="minorHAnsi"/>
                          <w:color w:val="000000" w:themeColor="text1"/>
                          <w:sz w:val="22"/>
                          <w:szCs w:val="22"/>
                        </w:rPr>
                        <w:t>.</w:t>
                      </w:r>
                    </w:p>
                  </w:txbxContent>
                </v:textbox>
                <w10:anchorlock/>
              </v:shape>
            </w:pict>
          </mc:Fallback>
        </mc:AlternateContent>
      </w:r>
    </w:p>
    <w:p w14:paraId="7CE46C35" w14:textId="4E4E959C" w:rsidR="00C0146C" w:rsidRDefault="00C0146C" w:rsidP="00C0146C">
      <w:pPr>
        <w:pStyle w:val="ListParagraph"/>
        <w:ind w:left="360" w:hanging="360"/>
      </w:pPr>
    </w:p>
    <w:p w14:paraId="3AED8343" w14:textId="09F7828E" w:rsidR="00517657" w:rsidRPr="004247FE" w:rsidRDefault="00BE2198" w:rsidP="006546A9">
      <w:pPr>
        <w:pStyle w:val="Heading2"/>
        <w:spacing w:after="120"/>
        <w:rPr>
          <w:rFonts w:asciiTheme="minorHAnsi" w:hAnsiTheme="minorHAnsi" w:cstheme="minorHAnsi"/>
          <w:b/>
          <w:bCs/>
          <w:color w:val="6A7F0F"/>
        </w:rPr>
      </w:pPr>
      <w:bookmarkStart w:id="46" w:name="_Toc126068186"/>
      <w:r w:rsidRPr="004247FE">
        <w:rPr>
          <w:rFonts w:asciiTheme="minorHAnsi" w:hAnsiTheme="minorHAnsi" w:cstheme="minorHAnsi"/>
          <w:b/>
          <w:bCs/>
          <w:color w:val="6A7F0F"/>
        </w:rPr>
        <w:t>The Role of the CCBHC Model in Future Oregon Health Systems Reform and Transformation</w:t>
      </w:r>
      <w:bookmarkEnd w:id="46"/>
    </w:p>
    <w:p w14:paraId="4FA70F4D" w14:textId="23426109" w:rsidR="00C233F0" w:rsidRDefault="00C233F0" w:rsidP="00C233F0">
      <w:pPr>
        <w:rPr>
          <w:rFonts w:cstheme="minorHAnsi"/>
          <w:sz w:val="22"/>
          <w:szCs w:val="22"/>
        </w:rPr>
      </w:pPr>
      <w:r w:rsidRPr="002E57C3">
        <w:rPr>
          <w:rFonts w:cstheme="minorHAnsi"/>
          <w:sz w:val="22"/>
          <w:szCs w:val="22"/>
        </w:rPr>
        <w:t>CCBHC ser</w:t>
      </w:r>
      <w:r>
        <w:rPr>
          <w:rFonts w:cstheme="minorHAnsi"/>
          <w:sz w:val="22"/>
          <w:szCs w:val="22"/>
        </w:rPr>
        <w:t xml:space="preserve">vice users, clinic leaders, </w:t>
      </w:r>
      <w:r w:rsidRPr="002E57C3">
        <w:rPr>
          <w:rFonts w:cstheme="minorHAnsi"/>
          <w:sz w:val="22"/>
          <w:szCs w:val="22"/>
        </w:rPr>
        <w:t xml:space="preserve">interested parties, </w:t>
      </w:r>
      <w:r>
        <w:rPr>
          <w:rFonts w:cstheme="minorHAnsi"/>
          <w:sz w:val="22"/>
          <w:szCs w:val="22"/>
        </w:rPr>
        <w:t>and CBO representatives</w:t>
      </w:r>
      <w:r w:rsidRPr="002E57C3">
        <w:rPr>
          <w:rFonts w:cstheme="minorHAnsi"/>
          <w:sz w:val="22"/>
          <w:szCs w:val="22"/>
        </w:rPr>
        <w:t xml:space="preserve"> </w:t>
      </w:r>
      <w:r>
        <w:rPr>
          <w:rFonts w:cstheme="minorHAnsi"/>
          <w:sz w:val="22"/>
          <w:szCs w:val="22"/>
        </w:rPr>
        <w:t xml:space="preserve">collectively indicated that the CCBHC model shows promise in supporting Oregon’s ongoing health systems transformation, with the potential to contribute to improvements in behavioral healthcare in a way that supports Oregon’s pursuit of the Triple Aim, securing better outcomes and higher quality of care for service users across the state (Berwick et al., 2008; </w:t>
      </w:r>
      <w:r w:rsidR="006F1F0D">
        <w:rPr>
          <w:rFonts w:cstheme="minorHAnsi"/>
          <w:sz w:val="22"/>
          <w:szCs w:val="22"/>
        </w:rPr>
        <w:t>OHA</w:t>
      </w:r>
      <w:r>
        <w:rPr>
          <w:rFonts w:cstheme="minorHAnsi"/>
          <w:sz w:val="22"/>
          <w:szCs w:val="22"/>
        </w:rPr>
        <w:t>, n.d.(d)).</w:t>
      </w:r>
    </w:p>
    <w:p w14:paraId="5702D0BE" w14:textId="77777777" w:rsidR="00C233F0" w:rsidRDefault="00C233F0" w:rsidP="00C233F0">
      <w:pPr>
        <w:rPr>
          <w:rFonts w:cstheme="minorHAnsi"/>
          <w:sz w:val="22"/>
          <w:szCs w:val="22"/>
        </w:rPr>
      </w:pPr>
    </w:p>
    <w:p w14:paraId="220EE5B6" w14:textId="77777777" w:rsidR="00C233F0" w:rsidRPr="00215F51" w:rsidRDefault="00C233F0" w:rsidP="00C233F0">
      <w:pPr>
        <w:rPr>
          <w:rFonts w:cstheme="minorHAnsi"/>
          <w:sz w:val="22"/>
          <w:szCs w:val="22"/>
        </w:rPr>
      </w:pPr>
      <w:r>
        <w:rPr>
          <w:rFonts w:cstheme="minorHAnsi"/>
          <w:sz w:val="22"/>
          <w:szCs w:val="22"/>
        </w:rPr>
        <w:t xml:space="preserve">From the perspective of service users, the CCBHC approach to care integration, which centers behavioral health and coordination with physical and other health and social services, is critical to increasing their engagement with the health system. Service users appreciated the CCBHC approach to care that views their </w:t>
      </w:r>
      <w:r>
        <w:rPr>
          <w:rFonts w:eastAsia="Calibri" w:cstheme="minorHAnsi"/>
          <w:sz w:val="22"/>
          <w:szCs w:val="22"/>
        </w:rPr>
        <w:t>behavioral</w:t>
      </w:r>
      <w:r>
        <w:rPr>
          <w:rFonts w:cstheme="minorHAnsi"/>
          <w:sz w:val="22"/>
          <w:szCs w:val="22"/>
        </w:rPr>
        <w:t xml:space="preserve"> health and well-being as paramount and emphasizes a holistic, person-centered approach. Many service users across multiple clinics expressed that the care they received through their CCBHC was clearly superior to care they had received in other locations, both in and outside of Oregon. One service user noted: “</w:t>
      </w:r>
      <w:r w:rsidRPr="00F63312">
        <w:rPr>
          <w:rFonts w:ascii="Calibri" w:eastAsia="Calibri" w:hAnsi="Calibri" w:cs="Calibri"/>
          <w:i/>
          <w:color w:val="000000"/>
          <w:sz w:val="22"/>
        </w:rPr>
        <w:t>I've been in counseling for most of my life, and I know [CCBHC] is the best one yet to be able to help me</w:t>
      </w:r>
      <w:r>
        <w:rPr>
          <w:rFonts w:ascii="Calibri" w:eastAsia="Calibri" w:hAnsi="Calibri" w:cs="Calibri"/>
          <w:color w:val="000000"/>
          <w:sz w:val="22"/>
        </w:rPr>
        <w:t>” (Service User 20). Another indicated: “</w:t>
      </w:r>
      <w:r w:rsidRPr="00F63312">
        <w:rPr>
          <w:rFonts w:ascii="Calibri" w:eastAsia="Calibri" w:hAnsi="Calibri" w:cs="Calibri"/>
          <w:i/>
          <w:color w:val="000000"/>
          <w:sz w:val="22"/>
        </w:rPr>
        <w:t>I'm from [another state] and there is nothing at all like what [CCBHC] is offering</w:t>
      </w:r>
      <w:r>
        <w:rPr>
          <w:rFonts w:ascii="Calibri" w:eastAsia="Calibri" w:hAnsi="Calibri" w:cs="Calibri"/>
          <w:color w:val="000000"/>
          <w:sz w:val="22"/>
        </w:rPr>
        <w:t xml:space="preserve">” (Service User 16). Service users indicated that </w:t>
      </w:r>
      <w:r>
        <w:rPr>
          <w:rFonts w:cstheme="minorHAnsi"/>
          <w:sz w:val="22"/>
          <w:szCs w:val="22"/>
        </w:rPr>
        <w:t xml:space="preserve">CCBHCs support improving care quality and outcomes for service users by helping to bridge the gap between behavioral health services and primary care, particularly for those with </w:t>
      </w:r>
      <w:r>
        <w:rPr>
          <w:rFonts w:eastAsia="Calibri" w:cstheme="minorHAnsi"/>
          <w:sz w:val="22"/>
          <w:szCs w:val="22"/>
        </w:rPr>
        <w:t>serious behavioral health needs</w:t>
      </w:r>
      <w:r>
        <w:rPr>
          <w:rFonts w:cstheme="minorHAnsi"/>
          <w:sz w:val="22"/>
          <w:szCs w:val="22"/>
        </w:rPr>
        <w:t>; this view was echoed by clinic leaders.</w:t>
      </w:r>
    </w:p>
    <w:p w14:paraId="308F450B" w14:textId="77777777" w:rsidR="00C233F0" w:rsidRDefault="00C233F0" w:rsidP="00C233F0">
      <w:pPr>
        <w:rPr>
          <w:rFonts w:cstheme="minorHAnsi"/>
          <w:sz w:val="22"/>
          <w:szCs w:val="22"/>
        </w:rPr>
      </w:pPr>
    </w:p>
    <w:p w14:paraId="03588D3E" w14:textId="77777777" w:rsidR="00C233F0" w:rsidRDefault="00C233F0" w:rsidP="00C233F0">
      <w:pPr>
        <w:rPr>
          <w:rFonts w:cstheme="minorHAnsi"/>
          <w:sz w:val="22"/>
          <w:szCs w:val="22"/>
        </w:rPr>
      </w:pPr>
      <w:r>
        <w:rPr>
          <w:rFonts w:cstheme="minorHAnsi"/>
          <w:sz w:val="22"/>
          <w:szCs w:val="22"/>
        </w:rPr>
        <w:t xml:space="preserve">Among CCBHC clinic leaders, there was a general sentiment that the CCBHC model has the potential to be nationally accepted as the best model of care; they shared a sense that the CCBHC model could be the preeminent model for the future of behavioral health services delivery in Oregon and beyond. Some of the clinic leaders viewed CCBHCs as a potential replacement for Oregon’s CMHPs. From the perspective of clinic leaders, the CCBHC model represents a meaningful investment in Oregon’s historically underfunded behavioral health system in a way that allowed them to focus the resources and provision of services to historically and currently underrepresented and underserved populations. In particular, CCBHCs are unique in their ability to serve clients with </w:t>
      </w:r>
      <w:r>
        <w:rPr>
          <w:rFonts w:eastAsia="Calibri" w:cstheme="minorHAnsi"/>
          <w:sz w:val="22"/>
          <w:szCs w:val="22"/>
        </w:rPr>
        <w:t>serious behavioral health needs</w:t>
      </w:r>
      <w:r>
        <w:rPr>
          <w:rFonts w:cstheme="minorHAnsi"/>
          <w:sz w:val="22"/>
          <w:szCs w:val="22"/>
        </w:rPr>
        <w:t xml:space="preserve">, given that other outpatient behavioral health settings may be less prepared to engage with this population. While CMHPs and CCBHCs offer similar services, CCBHCs have a much greater ability to coordinate and integrate care beyond behavioral </w:t>
      </w:r>
      <w:r w:rsidRPr="00AF5159">
        <w:rPr>
          <w:rFonts w:cstheme="minorHAnsi"/>
          <w:sz w:val="22"/>
          <w:szCs w:val="22"/>
        </w:rPr>
        <w:t xml:space="preserve">services </w:t>
      </w:r>
      <w:r w:rsidRPr="00AF5159">
        <w:rPr>
          <w:rFonts w:cstheme="minorHAnsi"/>
          <w:color w:val="000000"/>
          <w:sz w:val="22"/>
          <w:szCs w:val="22"/>
        </w:rPr>
        <w:t>because of the PPS payment model</w:t>
      </w:r>
      <w:r w:rsidRPr="00AF5159">
        <w:rPr>
          <w:rFonts w:cstheme="minorHAnsi"/>
          <w:sz w:val="22"/>
          <w:szCs w:val="22"/>
        </w:rPr>
        <w:t xml:space="preserve">. Interested parties and clinic leaders noted that while PCPCHs integrate primary care and behavioral health, the focus for PCPCHs </w:t>
      </w:r>
      <w:r>
        <w:rPr>
          <w:rFonts w:cstheme="minorHAnsi"/>
          <w:sz w:val="22"/>
          <w:szCs w:val="22"/>
        </w:rPr>
        <w:t>is the integration of behavioral health into primary care settings. CCBHCs provide an opportunity to provide primary care services to Oregonians who have greater behavioral health needs.</w:t>
      </w:r>
    </w:p>
    <w:p w14:paraId="7D7B0345" w14:textId="77777777" w:rsidR="00040A13" w:rsidRDefault="00040A13" w:rsidP="00C233F0">
      <w:pPr>
        <w:rPr>
          <w:rFonts w:cstheme="minorHAnsi"/>
          <w:sz w:val="22"/>
          <w:szCs w:val="22"/>
        </w:rPr>
      </w:pPr>
    </w:p>
    <w:p w14:paraId="1E82FFF1" w14:textId="7B2CB725" w:rsidR="00C233F0" w:rsidRDefault="00C233F0" w:rsidP="00C233F0">
      <w:pPr>
        <w:rPr>
          <w:rFonts w:cstheme="minorHAnsi"/>
          <w:sz w:val="22"/>
          <w:szCs w:val="22"/>
        </w:rPr>
      </w:pPr>
      <w:r>
        <w:rPr>
          <w:rFonts w:cstheme="minorHAnsi"/>
          <w:sz w:val="22"/>
          <w:szCs w:val="22"/>
        </w:rPr>
        <w:t xml:space="preserve">CCBHCs were able to significantly expand access to behavioral health services, in part through their emphasis on providing services “beyond the four walls” of the clinics and engaging service users within the community. These low-barrier services helped CCBHCs engage with new service users and were perceived by clinic leaders as critical in reducing barriers to care in pursuit of health equity. Clinic leaders raised concerns regarding how CCBHCs, CCOs, OHA, and Oregon counties can best approach future growth through intentional collaboration to achieve their shared purposes. </w:t>
      </w:r>
      <w:r w:rsidRPr="004A2C5D">
        <w:rPr>
          <w:rFonts w:cstheme="minorHAnsi"/>
          <w:sz w:val="22"/>
          <w:szCs w:val="22"/>
        </w:rPr>
        <w:t>One clinic leader explained</w:t>
      </w:r>
      <w:r>
        <w:rPr>
          <w:rFonts w:cstheme="minorHAnsi"/>
          <w:sz w:val="22"/>
          <w:szCs w:val="22"/>
        </w:rPr>
        <w:t>:</w:t>
      </w:r>
      <w:r w:rsidRPr="004A2C5D">
        <w:rPr>
          <w:rFonts w:cstheme="minorHAnsi"/>
          <w:sz w:val="22"/>
          <w:szCs w:val="22"/>
        </w:rPr>
        <w:t xml:space="preserve"> “</w:t>
      </w:r>
      <w:r>
        <w:rPr>
          <w:rFonts w:cstheme="minorHAnsi"/>
          <w:sz w:val="22"/>
          <w:szCs w:val="22"/>
        </w:rPr>
        <w:t>[</w:t>
      </w:r>
      <w:r w:rsidRPr="00563D8F">
        <w:rPr>
          <w:rFonts w:cstheme="minorHAnsi"/>
          <w:i/>
          <w:iCs/>
          <w:sz w:val="22"/>
          <w:szCs w:val="22"/>
        </w:rPr>
        <w:t>it has been]</w:t>
      </w:r>
      <w:r>
        <w:rPr>
          <w:rFonts w:cstheme="minorHAnsi"/>
          <w:sz w:val="22"/>
          <w:szCs w:val="22"/>
        </w:rPr>
        <w:t xml:space="preserve"> </w:t>
      </w:r>
      <w:r w:rsidRPr="004A2C5D">
        <w:rPr>
          <w:rFonts w:cstheme="minorHAnsi"/>
          <w:i/>
          <w:sz w:val="22"/>
          <w:szCs w:val="22"/>
        </w:rPr>
        <w:t>challenging and kind of awkward that the whole CCO model is sort of outside of [the CCBHC]. They don't really know what we're doing. And yet, they're working on many of the same goals and have many of the same expectations. I feel like at the state level, there isn't a solid integration of those plans… So how do we align those better and get everybody on the same page? That would be really great</w:t>
      </w:r>
      <w:r w:rsidRPr="004A2C5D">
        <w:rPr>
          <w:rFonts w:cstheme="minorHAnsi"/>
          <w:sz w:val="22"/>
          <w:szCs w:val="22"/>
        </w:rPr>
        <w:t xml:space="preserve">” (Lead Clinical 07). </w:t>
      </w:r>
      <w:r>
        <w:rPr>
          <w:rFonts w:cstheme="minorHAnsi"/>
          <w:sz w:val="22"/>
          <w:szCs w:val="22"/>
        </w:rPr>
        <w:t>While clinic leaders knew that CCBHCs and CCOs shared similar goals, they noted that the entities were not well aligned at the systems level and indicated that some CCOs may lack awareness of CCBHC goals and the services that they provide. Another clinic leader noted the importance of communication and role clarity</w:t>
      </w:r>
      <w:r w:rsidRPr="004A2C5D">
        <w:rPr>
          <w:rFonts w:cstheme="minorHAnsi"/>
          <w:sz w:val="22"/>
          <w:szCs w:val="22"/>
        </w:rPr>
        <w:t>, saying</w:t>
      </w:r>
      <w:r>
        <w:rPr>
          <w:rFonts w:cstheme="minorHAnsi"/>
          <w:sz w:val="22"/>
          <w:szCs w:val="22"/>
        </w:rPr>
        <w:t>:</w:t>
      </w:r>
      <w:r w:rsidRPr="004A2C5D">
        <w:rPr>
          <w:rFonts w:cstheme="minorHAnsi"/>
          <w:sz w:val="22"/>
          <w:szCs w:val="22"/>
        </w:rPr>
        <w:t xml:space="preserve"> “</w:t>
      </w:r>
      <w:r w:rsidRPr="004A2C5D">
        <w:rPr>
          <w:rFonts w:cstheme="minorHAnsi"/>
          <w:i/>
          <w:sz w:val="22"/>
          <w:szCs w:val="22"/>
        </w:rPr>
        <w:t>Really having better dialogue between CCBHCs in the state, the CCOs, OHA… I think that's half of it. There’s just a lot of confusion and misconceptions on both ends. To be successful, we need to have regular meetings. I know that’s starting now, but it’s been a missing element</w:t>
      </w:r>
      <w:r w:rsidRPr="004A2C5D">
        <w:rPr>
          <w:rFonts w:cstheme="minorHAnsi"/>
          <w:sz w:val="22"/>
          <w:szCs w:val="22"/>
        </w:rPr>
        <w:t xml:space="preserve">” (Lead </w:t>
      </w:r>
      <w:r>
        <w:rPr>
          <w:rFonts w:cstheme="minorHAnsi"/>
          <w:sz w:val="22"/>
          <w:szCs w:val="22"/>
        </w:rPr>
        <w:t>Administrator</w:t>
      </w:r>
      <w:r w:rsidRPr="004A2C5D">
        <w:rPr>
          <w:rFonts w:cstheme="minorHAnsi"/>
          <w:sz w:val="22"/>
          <w:szCs w:val="22"/>
        </w:rPr>
        <w:t xml:space="preserve"> 06).</w:t>
      </w:r>
      <w:r>
        <w:rPr>
          <w:rFonts w:cstheme="minorHAnsi"/>
          <w:sz w:val="22"/>
          <w:szCs w:val="22"/>
        </w:rPr>
        <w:t xml:space="preserve"> </w:t>
      </w:r>
    </w:p>
    <w:p w14:paraId="22A179F3" w14:textId="77777777" w:rsidR="00C233F0" w:rsidRDefault="00C233F0" w:rsidP="00C233F0">
      <w:pPr>
        <w:rPr>
          <w:rFonts w:cstheme="minorHAnsi"/>
          <w:sz w:val="22"/>
          <w:szCs w:val="22"/>
        </w:rPr>
      </w:pPr>
    </w:p>
    <w:p w14:paraId="27D01800" w14:textId="77777777" w:rsidR="00C233F0" w:rsidRDefault="00C233F0" w:rsidP="00C233F0">
      <w:pPr>
        <w:rPr>
          <w:rFonts w:cstheme="minorHAnsi"/>
          <w:sz w:val="22"/>
          <w:szCs w:val="22"/>
        </w:rPr>
      </w:pPr>
      <w:r>
        <w:rPr>
          <w:rFonts w:cstheme="minorHAnsi"/>
          <w:sz w:val="22"/>
          <w:szCs w:val="22"/>
        </w:rPr>
        <w:t xml:space="preserve">One area for further exploration is the interpretation of 42 CFR Part 2. Clinic leaders reported varying experiences with CCOs in their ability to obtain the data necessary for care coordination and quality improvement. </w:t>
      </w:r>
      <w:r>
        <w:rPr>
          <w:rFonts w:eastAsia="Calibri" w:cstheme="minorHAnsi"/>
          <w:sz w:val="22"/>
          <w:szCs w:val="22"/>
        </w:rPr>
        <w:t>On December 2, 2022, HHS published a notice of proposed rulemaking to modify specific provisions of 42 CFR Part 2 in order to align the requirements for substance use disorder treatment records more closely with the HIPAA rules for protected health information (</w:t>
      </w:r>
      <w:r w:rsidRPr="004472B9">
        <w:rPr>
          <w:rFonts w:eastAsia="Calibri" w:cstheme="minorHAnsi"/>
          <w:sz w:val="22"/>
          <w:szCs w:val="22"/>
        </w:rPr>
        <w:t>NAATP, 2022</w:t>
      </w:r>
      <w:r>
        <w:rPr>
          <w:rFonts w:eastAsia="Calibri" w:cstheme="minorHAnsi"/>
          <w:sz w:val="22"/>
          <w:szCs w:val="22"/>
        </w:rPr>
        <w:t>). The intent of this rulemaking is to enable agencies that are subject to 42 CFR Part 2 to use and disclose SUD treatment records and improve coordination of care (NAATP, 2022). Hopefully, OHA will closely monitor the proposed rulemaking and provide guidance to CCOs to develop a shared understanding and more consistent interpretation of 42 CFR Part 2 in order to facilitate integrated and coordinated care.</w:t>
      </w:r>
    </w:p>
    <w:p w14:paraId="75357EBB" w14:textId="77777777" w:rsidR="00C233F0" w:rsidRDefault="00C233F0" w:rsidP="00C233F0">
      <w:pPr>
        <w:rPr>
          <w:rFonts w:cstheme="minorHAnsi"/>
          <w:sz w:val="22"/>
          <w:szCs w:val="22"/>
        </w:rPr>
      </w:pPr>
    </w:p>
    <w:p w14:paraId="204BB7C2" w14:textId="77777777" w:rsidR="00C233F0" w:rsidRPr="005239DD" w:rsidRDefault="00C233F0" w:rsidP="00C233F0">
      <w:pPr>
        <w:rPr>
          <w:rFonts w:ascii="Calibri" w:eastAsia="Calibri" w:hAnsi="Calibri" w:cs="Calibri"/>
          <w:sz w:val="22"/>
          <w:szCs w:val="22"/>
          <w:lang w:val="en"/>
        </w:rPr>
      </w:pPr>
      <w:r w:rsidRPr="005239DD">
        <w:rPr>
          <w:rFonts w:ascii="Calibri" w:eastAsia="Calibri" w:hAnsi="Calibri" w:cs="Calibri"/>
          <w:sz w:val="22"/>
          <w:szCs w:val="22"/>
          <w:lang w:val="en"/>
        </w:rPr>
        <w:t>Clinic leaders recognized that eliminating health disparities is a goal of OHA</w:t>
      </w:r>
      <w:r>
        <w:rPr>
          <w:rFonts w:ascii="Calibri" w:eastAsia="Calibri" w:hAnsi="Calibri" w:cs="Calibri"/>
          <w:sz w:val="22"/>
          <w:szCs w:val="22"/>
          <w:lang w:val="en"/>
        </w:rPr>
        <w:t xml:space="preserve"> and the state</w:t>
      </w:r>
      <w:r w:rsidRPr="005239DD">
        <w:rPr>
          <w:rFonts w:ascii="Calibri" w:eastAsia="Calibri" w:hAnsi="Calibri" w:cs="Calibri"/>
          <w:sz w:val="22"/>
          <w:szCs w:val="22"/>
          <w:lang w:val="en"/>
        </w:rPr>
        <w:t xml:space="preserve">. While many clinic leaders feel that, by the nature of their work, CCBHCs are well-situated to contribute to this goal, some clinic leaders felt that they </w:t>
      </w:r>
      <w:r>
        <w:rPr>
          <w:rFonts w:ascii="Calibri" w:eastAsia="Calibri" w:hAnsi="Calibri" w:cs="Calibri"/>
          <w:sz w:val="22"/>
          <w:szCs w:val="22"/>
          <w:lang w:val="en"/>
        </w:rPr>
        <w:t>have not received</w:t>
      </w:r>
      <w:r w:rsidRPr="005239DD">
        <w:rPr>
          <w:rFonts w:ascii="Calibri" w:eastAsia="Calibri" w:hAnsi="Calibri" w:cs="Calibri"/>
          <w:sz w:val="22"/>
          <w:szCs w:val="22"/>
          <w:lang w:val="en"/>
        </w:rPr>
        <w:t xml:space="preserve"> sufficient training or guidance on where to start, what the expectations are, and how to account for the </w:t>
      </w:r>
      <w:r>
        <w:rPr>
          <w:rFonts w:ascii="Calibri" w:eastAsia="Calibri" w:hAnsi="Calibri" w:cs="Calibri"/>
          <w:sz w:val="22"/>
          <w:szCs w:val="22"/>
          <w:lang w:val="en"/>
        </w:rPr>
        <w:t>specifics</w:t>
      </w:r>
      <w:r w:rsidRPr="005239DD">
        <w:rPr>
          <w:rFonts w:ascii="Calibri" w:eastAsia="Calibri" w:hAnsi="Calibri" w:cs="Calibri"/>
          <w:sz w:val="22"/>
          <w:szCs w:val="22"/>
          <w:lang w:val="en"/>
        </w:rPr>
        <w:t xml:space="preserve"> of local culture, especially in rural communities. </w:t>
      </w:r>
      <w:r>
        <w:rPr>
          <w:rFonts w:ascii="Calibri" w:eastAsia="Calibri" w:hAnsi="Calibri" w:cs="Calibri"/>
          <w:sz w:val="22"/>
          <w:szCs w:val="22"/>
          <w:lang w:val="en"/>
        </w:rPr>
        <w:t>O</w:t>
      </w:r>
      <w:r w:rsidRPr="005239DD">
        <w:rPr>
          <w:rFonts w:ascii="Calibri" w:eastAsia="Calibri" w:hAnsi="Calibri" w:cs="Calibri"/>
          <w:sz w:val="22"/>
          <w:szCs w:val="22"/>
          <w:lang w:val="en"/>
        </w:rPr>
        <w:t>ne clinic leader stated:</w:t>
      </w:r>
    </w:p>
    <w:p w14:paraId="0643D205" w14:textId="77777777" w:rsidR="00085A56" w:rsidRDefault="00085A56" w:rsidP="00085A56">
      <w:pPr>
        <w:ind w:left="720"/>
        <w:rPr>
          <w:rFonts w:ascii="Calibri" w:eastAsia="Calibri" w:hAnsi="Calibri" w:cs="Calibri"/>
          <w:i/>
          <w:sz w:val="22"/>
          <w:szCs w:val="22"/>
          <w:highlight w:val="white"/>
          <w:lang w:val="en"/>
        </w:rPr>
      </w:pPr>
    </w:p>
    <w:p w14:paraId="2BECB933" w14:textId="4FFBB461" w:rsidR="00085A56" w:rsidRPr="005239DD" w:rsidRDefault="00085A56" w:rsidP="00085A56">
      <w:pPr>
        <w:ind w:left="720"/>
        <w:rPr>
          <w:rFonts w:ascii="Calibri" w:eastAsia="Calibri" w:hAnsi="Calibri" w:cs="Calibri"/>
          <w:sz w:val="22"/>
          <w:szCs w:val="22"/>
          <w:highlight w:val="white"/>
          <w:lang w:val="en"/>
        </w:rPr>
      </w:pPr>
      <w:r>
        <w:rPr>
          <w:rFonts w:ascii="Calibri" w:eastAsia="Calibri" w:hAnsi="Calibri" w:cs="Calibri"/>
          <w:i/>
          <w:sz w:val="22"/>
          <w:szCs w:val="22"/>
          <w:highlight w:val="white"/>
          <w:lang w:val="en"/>
        </w:rPr>
        <w:t>T</w:t>
      </w:r>
      <w:r w:rsidRPr="005239DD">
        <w:rPr>
          <w:rFonts w:ascii="Calibri" w:eastAsia="Calibri" w:hAnsi="Calibri" w:cs="Calibri"/>
          <w:i/>
          <w:sz w:val="22"/>
          <w:szCs w:val="22"/>
          <w:highlight w:val="white"/>
          <w:lang w:val="en"/>
        </w:rPr>
        <w:t xml:space="preserve">he fact that </w:t>
      </w:r>
      <w:r>
        <w:rPr>
          <w:rFonts w:ascii="Calibri" w:eastAsia="Calibri" w:hAnsi="Calibri" w:cs="Calibri"/>
          <w:i/>
          <w:sz w:val="22"/>
          <w:szCs w:val="22"/>
          <w:highlight w:val="white"/>
          <w:lang w:val="en"/>
        </w:rPr>
        <w:t>CCBHCs</w:t>
      </w:r>
      <w:r w:rsidRPr="005239DD">
        <w:rPr>
          <w:rFonts w:ascii="Calibri" w:eastAsia="Calibri" w:hAnsi="Calibri" w:cs="Calibri"/>
          <w:i/>
          <w:sz w:val="22"/>
          <w:szCs w:val="22"/>
          <w:highlight w:val="white"/>
          <w:lang w:val="en"/>
        </w:rPr>
        <w:t xml:space="preserve"> are open to everyon</w:t>
      </w:r>
      <w:r>
        <w:rPr>
          <w:rFonts w:ascii="Calibri" w:eastAsia="Calibri" w:hAnsi="Calibri" w:cs="Calibri"/>
          <w:i/>
          <w:sz w:val="22"/>
          <w:szCs w:val="22"/>
          <w:highlight w:val="white"/>
          <w:lang w:val="en"/>
        </w:rPr>
        <w:t>e</w:t>
      </w:r>
      <w:r w:rsidRPr="005239DD">
        <w:rPr>
          <w:rFonts w:ascii="Calibri" w:eastAsia="Calibri" w:hAnsi="Calibri" w:cs="Calibri"/>
          <w:i/>
          <w:sz w:val="22"/>
          <w:szCs w:val="22"/>
          <w:highlight w:val="white"/>
          <w:lang w:val="en"/>
        </w:rPr>
        <w:t xml:space="preserve"> makes us best suited to eliminate health disparities. But we probably need help in identifying strategies for how to do that…We've got a spot in our org chart for a health equity manager, but even when we fill that position, it's really going to be a while before we're running with that and really making a difference. So, the state could bring resources to help us understand how to best do that</w:t>
      </w:r>
      <w:r>
        <w:rPr>
          <w:rFonts w:ascii="Calibri" w:eastAsia="Calibri" w:hAnsi="Calibri" w:cs="Calibri"/>
          <w:i/>
          <w:sz w:val="22"/>
          <w:szCs w:val="22"/>
          <w:highlight w:val="white"/>
          <w:lang w:val="en"/>
        </w:rPr>
        <w:t>.</w:t>
      </w:r>
      <w:r w:rsidRPr="005239DD">
        <w:rPr>
          <w:rFonts w:ascii="Calibri" w:eastAsia="Calibri" w:hAnsi="Calibri" w:cs="Calibri"/>
          <w:sz w:val="22"/>
          <w:szCs w:val="22"/>
          <w:highlight w:val="white"/>
          <w:lang w:val="en"/>
        </w:rPr>
        <w:t xml:space="preserve"> (Lead </w:t>
      </w:r>
      <w:r>
        <w:rPr>
          <w:rFonts w:ascii="Calibri" w:eastAsia="Calibri" w:hAnsi="Calibri" w:cs="Calibri"/>
          <w:sz w:val="22"/>
          <w:szCs w:val="22"/>
          <w:highlight w:val="white"/>
          <w:lang w:val="en"/>
        </w:rPr>
        <w:t>Administrator</w:t>
      </w:r>
      <w:r w:rsidRPr="005239DD">
        <w:rPr>
          <w:rFonts w:ascii="Calibri" w:eastAsia="Calibri" w:hAnsi="Calibri" w:cs="Calibri"/>
          <w:sz w:val="22"/>
          <w:szCs w:val="22"/>
          <w:highlight w:val="white"/>
          <w:lang w:val="en"/>
        </w:rPr>
        <w:t xml:space="preserve"> 04)</w:t>
      </w:r>
    </w:p>
    <w:p w14:paraId="338998B1" w14:textId="77777777" w:rsidR="00085A56" w:rsidRPr="005239DD" w:rsidRDefault="00085A56" w:rsidP="00085A56">
      <w:pPr>
        <w:ind w:left="720"/>
        <w:rPr>
          <w:rFonts w:ascii="Calibri" w:eastAsia="Calibri" w:hAnsi="Calibri" w:cs="Calibri"/>
          <w:sz w:val="22"/>
          <w:szCs w:val="22"/>
          <w:highlight w:val="white"/>
          <w:lang w:val="en"/>
        </w:rPr>
      </w:pPr>
    </w:p>
    <w:p w14:paraId="7B3F097E" w14:textId="77777777" w:rsidR="00C233F0" w:rsidRPr="005239DD" w:rsidRDefault="00C233F0" w:rsidP="00C233F0">
      <w:pPr>
        <w:rPr>
          <w:rFonts w:ascii="Calibri" w:eastAsia="Calibri" w:hAnsi="Calibri" w:cs="Calibri"/>
          <w:sz w:val="22"/>
          <w:szCs w:val="22"/>
          <w:highlight w:val="white"/>
          <w:lang w:val="en"/>
        </w:rPr>
      </w:pPr>
      <w:r w:rsidRPr="005239DD">
        <w:rPr>
          <w:rFonts w:ascii="Calibri" w:eastAsia="Calibri" w:hAnsi="Calibri" w:cs="Calibri"/>
          <w:sz w:val="22"/>
          <w:szCs w:val="22"/>
          <w:highlight w:val="white"/>
          <w:lang w:val="en"/>
        </w:rPr>
        <w:t xml:space="preserve">Many clinic leaders echoed the sentiment that, </w:t>
      </w:r>
      <w:r>
        <w:rPr>
          <w:rFonts w:ascii="Calibri" w:eastAsia="Calibri" w:hAnsi="Calibri" w:cs="Calibri"/>
          <w:sz w:val="22"/>
          <w:szCs w:val="22"/>
          <w:highlight w:val="white"/>
          <w:lang w:val="en"/>
        </w:rPr>
        <w:t>al</w:t>
      </w:r>
      <w:r w:rsidRPr="005239DD">
        <w:rPr>
          <w:rFonts w:ascii="Calibri" w:eastAsia="Calibri" w:hAnsi="Calibri" w:cs="Calibri"/>
          <w:sz w:val="22"/>
          <w:szCs w:val="22"/>
          <w:highlight w:val="white"/>
          <w:lang w:val="en"/>
        </w:rPr>
        <w:t>though they have begun prioritizing work in this area, they recognize</w:t>
      </w:r>
      <w:r>
        <w:rPr>
          <w:rFonts w:ascii="Calibri" w:eastAsia="Calibri" w:hAnsi="Calibri" w:cs="Calibri"/>
          <w:sz w:val="22"/>
          <w:szCs w:val="22"/>
          <w:highlight w:val="white"/>
          <w:lang w:val="en"/>
        </w:rPr>
        <w:t>d</w:t>
      </w:r>
      <w:r w:rsidRPr="005239DD">
        <w:rPr>
          <w:rFonts w:ascii="Calibri" w:eastAsia="Calibri" w:hAnsi="Calibri" w:cs="Calibri"/>
          <w:sz w:val="22"/>
          <w:szCs w:val="22"/>
          <w:highlight w:val="white"/>
          <w:lang w:val="en"/>
        </w:rPr>
        <w:t xml:space="preserve"> there is significant room for improvement. “</w:t>
      </w:r>
      <w:r w:rsidRPr="005239DD">
        <w:rPr>
          <w:rFonts w:ascii="Calibri" w:eastAsia="Calibri" w:hAnsi="Calibri" w:cs="Calibri"/>
          <w:i/>
          <w:sz w:val="22"/>
          <w:szCs w:val="22"/>
          <w:highlight w:val="white"/>
          <w:lang w:val="en"/>
        </w:rPr>
        <w:t>I still feel like we have a lot of work to do</w:t>
      </w:r>
      <w:r w:rsidRPr="005239DD">
        <w:rPr>
          <w:rFonts w:ascii="Calibri" w:eastAsia="Calibri" w:hAnsi="Calibri" w:cs="Calibri"/>
          <w:sz w:val="22"/>
          <w:szCs w:val="22"/>
          <w:highlight w:val="white"/>
          <w:lang w:val="en"/>
        </w:rPr>
        <w:t>” (Lead Clinical 05).</w:t>
      </w:r>
      <w:sdt>
        <w:sdtPr>
          <w:rPr>
            <w:rFonts w:ascii="Calibri" w:eastAsia="Calibri" w:hAnsi="Calibri"/>
            <w:sz w:val="22"/>
            <w:szCs w:val="22"/>
            <w:lang w:val="en"/>
          </w:rPr>
          <w:tag w:val="goog_rdk_16"/>
          <w:id w:val="296110159"/>
        </w:sdtPr>
        <w:sdtEndPr/>
        <w:sdtContent>
          <w:sdt>
            <w:sdtPr>
              <w:rPr>
                <w:rFonts w:ascii="Calibri" w:eastAsia="Calibri" w:hAnsi="Calibri"/>
                <w:sz w:val="22"/>
                <w:szCs w:val="22"/>
                <w:lang w:val="en"/>
              </w:rPr>
              <w:tag w:val="goog_rdk_15"/>
              <w:id w:val="75790183"/>
            </w:sdtPr>
            <w:sdtEndPr/>
            <w:sdtContent/>
          </w:sdt>
        </w:sdtContent>
      </w:sdt>
      <w:r w:rsidRPr="005239DD">
        <w:rPr>
          <w:rFonts w:ascii="Calibri" w:eastAsia="Calibri" w:hAnsi="Calibri" w:cs="Calibri"/>
          <w:sz w:val="22"/>
          <w:szCs w:val="22"/>
          <w:highlight w:val="white"/>
          <w:lang w:val="en"/>
        </w:rPr>
        <w:t xml:space="preserve"> </w:t>
      </w:r>
      <w:r>
        <w:rPr>
          <w:rFonts w:ascii="Calibri" w:eastAsia="Calibri" w:hAnsi="Calibri" w:cs="Calibri"/>
          <w:sz w:val="22"/>
          <w:szCs w:val="22"/>
          <w:highlight w:val="white"/>
          <w:lang w:val="en"/>
        </w:rPr>
        <w:t>Alt</w:t>
      </w:r>
      <w:r w:rsidRPr="005239DD">
        <w:rPr>
          <w:rFonts w:ascii="Calibri" w:eastAsia="Calibri" w:hAnsi="Calibri" w:cs="Calibri"/>
          <w:sz w:val="22"/>
          <w:szCs w:val="22"/>
          <w:highlight w:val="white"/>
          <w:lang w:val="en"/>
        </w:rPr>
        <w:t xml:space="preserve">hough </w:t>
      </w:r>
      <w:r>
        <w:rPr>
          <w:rFonts w:ascii="Calibri" w:eastAsia="Calibri" w:hAnsi="Calibri" w:cs="Calibri"/>
          <w:sz w:val="22"/>
          <w:szCs w:val="22"/>
          <w:highlight w:val="white"/>
          <w:lang w:val="en"/>
        </w:rPr>
        <w:t xml:space="preserve">the </w:t>
      </w:r>
      <w:r w:rsidRPr="005239DD">
        <w:rPr>
          <w:rFonts w:ascii="Calibri" w:eastAsia="Calibri" w:hAnsi="Calibri" w:cs="Calibri"/>
          <w:sz w:val="22"/>
          <w:szCs w:val="22"/>
          <w:highlight w:val="white"/>
          <w:lang w:val="en"/>
        </w:rPr>
        <w:t>diversity of service users who provided feedback was limited, a few service users reinforced this sentiment. Two service users who identified themselves as LGBTQ+ expressed that their CCBHCs had made strides in creating “</w:t>
      </w:r>
      <w:sdt>
        <w:sdtPr>
          <w:rPr>
            <w:rFonts w:ascii="Calibri" w:eastAsia="Calibri" w:hAnsi="Calibri"/>
            <w:sz w:val="22"/>
            <w:szCs w:val="22"/>
            <w:lang w:val="en"/>
          </w:rPr>
          <w:tag w:val="goog_rdk_13"/>
          <w:id w:val="-362669268"/>
        </w:sdtPr>
        <w:sdtEndPr/>
        <w:sdtContent/>
      </w:sdt>
      <w:r w:rsidRPr="005239DD">
        <w:rPr>
          <w:rFonts w:ascii="Calibri" w:eastAsia="Calibri" w:hAnsi="Calibri" w:cs="Calibri"/>
          <w:sz w:val="22"/>
          <w:szCs w:val="22"/>
          <w:highlight w:val="white"/>
          <w:lang w:val="en"/>
        </w:rPr>
        <w:t xml:space="preserve">safe spaces” for them to receive services; however, they </w:t>
      </w:r>
      <w:r>
        <w:rPr>
          <w:rFonts w:ascii="Calibri" w:eastAsia="Calibri" w:hAnsi="Calibri" w:cs="Calibri"/>
          <w:sz w:val="22"/>
          <w:szCs w:val="22"/>
          <w:highlight w:val="white"/>
          <w:lang w:val="en"/>
        </w:rPr>
        <w:t>were unaware of</w:t>
      </w:r>
      <w:r w:rsidRPr="005239DD">
        <w:rPr>
          <w:rFonts w:ascii="Calibri" w:eastAsia="Calibri" w:hAnsi="Calibri" w:cs="Calibri"/>
          <w:sz w:val="22"/>
          <w:szCs w:val="22"/>
          <w:highlight w:val="white"/>
          <w:lang w:val="en"/>
        </w:rPr>
        <w:t xml:space="preserve"> community outreach from their CCBHCs to reach the LGBTQ+ communities in their respective locations. </w:t>
      </w:r>
      <w:r>
        <w:rPr>
          <w:rFonts w:ascii="Calibri" w:eastAsia="Calibri" w:hAnsi="Calibri" w:cs="Calibri"/>
          <w:sz w:val="22"/>
          <w:szCs w:val="22"/>
          <w:highlight w:val="white"/>
          <w:lang w:val="en"/>
        </w:rPr>
        <w:t>A</w:t>
      </w:r>
      <w:r w:rsidRPr="005239DD">
        <w:rPr>
          <w:rFonts w:ascii="Calibri" w:eastAsia="Calibri" w:hAnsi="Calibri" w:cs="Calibri"/>
          <w:sz w:val="22"/>
          <w:szCs w:val="22"/>
          <w:highlight w:val="white"/>
          <w:lang w:val="en"/>
        </w:rPr>
        <w:t>ccording to one service user</w:t>
      </w:r>
      <w:r>
        <w:rPr>
          <w:rFonts w:ascii="Calibri" w:eastAsia="Calibri" w:hAnsi="Calibri" w:cs="Calibri"/>
          <w:sz w:val="22"/>
          <w:szCs w:val="22"/>
          <w:highlight w:val="white"/>
          <w:lang w:val="en"/>
        </w:rPr>
        <w:t>:</w:t>
      </w:r>
      <w:r w:rsidRPr="005239DD">
        <w:rPr>
          <w:rFonts w:ascii="Calibri" w:eastAsia="Calibri" w:hAnsi="Calibri" w:cs="Calibri"/>
          <w:sz w:val="22"/>
          <w:szCs w:val="22"/>
          <w:highlight w:val="white"/>
          <w:lang w:val="en"/>
        </w:rPr>
        <w:t xml:space="preserve"> </w:t>
      </w:r>
      <w:r w:rsidRPr="005239DD">
        <w:rPr>
          <w:rFonts w:ascii="Calibri" w:eastAsia="Calibri" w:hAnsi="Calibri" w:cs="Calibri"/>
          <w:sz w:val="22"/>
          <w:szCs w:val="22"/>
          <w:lang w:val="en"/>
        </w:rPr>
        <w:t>“</w:t>
      </w:r>
      <w:r w:rsidRPr="005239DD">
        <w:rPr>
          <w:rFonts w:ascii="Calibri" w:eastAsia="Calibri" w:hAnsi="Calibri" w:cs="Calibri"/>
          <w:i/>
          <w:sz w:val="22"/>
          <w:szCs w:val="22"/>
          <w:lang w:val="en"/>
        </w:rPr>
        <w:t>The counseling staff here has become a lot more open and diverse and accepting, so they help as much as they can. In the past, it was tolerated [to be a member of the LGBTQ+ community], now it's accepted. To me this feels like a safe space</w:t>
      </w:r>
      <w:r w:rsidRPr="005239DD">
        <w:rPr>
          <w:rFonts w:ascii="Calibri" w:eastAsia="Calibri" w:hAnsi="Calibri" w:cs="Calibri"/>
          <w:sz w:val="22"/>
          <w:szCs w:val="22"/>
          <w:lang w:val="en"/>
        </w:rPr>
        <w:t>” (Service User 24).</w:t>
      </w:r>
      <w:r w:rsidRPr="005239DD">
        <w:rPr>
          <w:rFonts w:ascii="Calibri" w:eastAsia="Calibri" w:hAnsi="Calibri" w:cs="Calibri"/>
          <w:sz w:val="22"/>
          <w:szCs w:val="22"/>
          <w:highlight w:val="white"/>
          <w:lang w:val="en"/>
        </w:rPr>
        <w:t xml:space="preserve"> Another service user expressed that if they wanted culturally specific services, they would not be able to get them from the CCBHC</w:t>
      </w:r>
      <w:r>
        <w:rPr>
          <w:rFonts w:ascii="Calibri" w:eastAsia="Calibri" w:hAnsi="Calibri" w:cs="Calibri"/>
          <w:sz w:val="22"/>
          <w:szCs w:val="22"/>
          <w:highlight w:val="white"/>
          <w:lang w:val="en"/>
        </w:rPr>
        <w:t>:</w:t>
      </w:r>
      <w:r w:rsidRPr="005239DD">
        <w:rPr>
          <w:rFonts w:ascii="Calibri" w:eastAsia="Calibri" w:hAnsi="Calibri" w:cs="Calibri"/>
          <w:sz w:val="22"/>
          <w:szCs w:val="22"/>
          <w:highlight w:val="white"/>
          <w:lang w:val="en"/>
        </w:rPr>
        <w:t xml:space="preserve"> “</w:t>
      </w:r>
      <w:r w:rsidRPr="005239DD">
        <w:rPr>
          <w:rFonts w:ascii="Calibri" w:eastAsia="Calibri" w:hAnsi="Calibri" w:cs="Calibri"/>
          <w:i/>
          <w:sz w:val="22"/>
          <w:szCs w:val="22"/>
          <w:highlight w:val="white"/>
          <w:lang w:val="en"/>
        </w:rPr>
        <w:t>I've never really been asked about [my Native American heritage]. I know there have been treatment services off and on at the reservation here, but I've never really seen [the CCBHC] coordinate with the Tribe… I do not think that the CCBHC would be receptive [if I wanted more culturally specific programs], it wouldn’t be their program</w:t>
      </w:r>
      <w:r w:rsidRPr="005239DD">
        <w:rPr>
          <w:rFonts w:ascii="Calibri" w:eastAsia="Calibri" w:hAnsi="Calibri" w:cs="Calibri"/>
          <w:sz w:val="22"/>
          <w:szCs w:val="22"/>
          <w:highlight w:val="white"/>
          <w:lang w:val="en"/>
        </w:rPr>
        <w:t>” (Service User 13).</w:t>
      </w:r>
    </w:p>
    <w:p w14:paraId="3C5C3297" w14:textId="77777777" w:rsidR="00C233F0" w:rsidRPr="005239DD" w:rsidRDefault="00C233F0" w:rsidP="00C233F0">
      <w:pPr>
        <w:rPr>
          <w:rFonts w:ascii="Calibri" w:eastAsia="Calibri" w:hAnsi="Calibri" w:cs="Calibri"/>
          <w:sz w:val="22"/>
          <w:szCs w:val="22"/>
          <w:highlight w:val="white"/>
          <w:lang w:val="en"/>
        </w:rPr>
      </w:pPr>
    </w:p>
    <w:p w14:paraId="380DADFD" w14:textId="77777777" w:rsidR="00C233F0" w:rsidRDefault="00C233F0" w:rsidP="00C233F0">
      <w:pPr>
        <w:rPr>
          <w:rFonts w:cstheme="minorHAnsi"/>
          <w:sz w:val="22"/>
          <w:szCs w:val="22"/>
        </w:rPr>
      </w:pPr>
      <w:r>
        <w:rPr>
          <w:rFonts w:ascii="Calibri" w:eastAsia="Calibri" w:hAnsi="Calibri" w:cs="Calibri"/>
          <w:sz w:val="22"/>
          <w:szCs w:val="22"/>
          <w:highlight w:val="white"/>
          <w:lang w:val="en"/>
        </w:rPr>
        <w:t>Alt</w:t>
      </w:r>
      <w:r w:rsidRPr="005239DD">
        <w:rPr>
          <w:rFonts w:ascii="Calibri" w:eastAsia="Calibri" w:hAnsi="Calibri" w:cs="Calibri"/>
          <w:sz w:val="22"/>
          <w:szCs w:val="22"/>
          <w:highlight w:val="white"/>
          <w:lang w:val="en"/>
        </w:rPr>
        <w:t>hough most clinic leaders agree</w:t>
      </w:r>
      <w:r>
        <w:rPr>
          <w:rFonts w:ascii="Calibri" w:eastAsia="Calibri" w:hAnsi="Calibri" w:cs="Calibri"/>
          <w:sz w:val="22"/>
          <w:szCs w:val="22"/>
          <w:highlight w:val="white"/>
          <w:lang w:val="en"/>
        </w:rPr>
        <w:t>d</w:t>
      </w:r>
      <w:r w:rsidRPr="005239DD">
        <w:rPr>
          <w:rFonts w:ascii="Calibri" w:eastAsia="Calibri" w:hAnsi="Calibri" w:cs="Calibri"/>
          <w:sz w:val="22"/>
          <w:szCs w:val="22"/>
          <w:highlight w:val="white"/>
          <w:lang w:val="en"/>
        </w:rPr>
        <w:t xml:space="preserve"> that CCBHCs have a role to play in eliminating health disparities</w:t>
      </w:r>
      <w:r>
        <w:rPr>
          <w:rFonts w:ascii="Calibri" w:eastAsia="Calibri" w:hAnsi="Calibri" w:cs="Calibri"/>
          <w:sz w:val="22"/>
          <w:szCs w:val="22"/>
          <w:highlight w:val="white"/>
          <w:lang w:val="en"/>
        </w:rPr>
        <w:t xml:space="preserve"> and </w:t>
      </w:r>
      <w:r>
        <w:rPr>
          <w:rFonts w:cstheme="minorHAnsi"/>
          <w:sz w:val="22"/>
          <w:szCs w:val="22"/>
        </w:rPr>
        <w:t>advancing OHA’s equity goals</w:t>
      </w:r>
      <w:r w:rsidRPr="005239DD">
        <w:rPr>
          <w:rFonts w:ascii="Calibri" w:eastAsia="Calibri" w:hAnsi="Calibri" w:cs="Calibri"/>
          <w:sz w:val="22"/>
          <w:szCs w:val="22"/>
          <w:highlight w:val="white"/>
          <w:lang w:val="en"/>
        </w:rPr>
        <w:t xml:space="preserve">, there </w:t>
      </w:r>
      <w:r>
        <w:rPr>
          <w:rFonts w:ascii="Calibri" w:eastAsia="Calibri" w:hAnsi="Calibri" w:cs="Calibri"/>
          <w:sz w:val="22"/>
          <w:szCs w:val="22"/>
          <w:highlight w:val="white"/>
          <w:lang w:val="en"/>
        </w:rPr>
        <w:t>was variation</w:t>
      </w:r>
      <w:r w:rsidRPr="005239DD">
        <w:rPr>
          <w:rFonts w:ascii="Calibri" w:eastAsia="Calibri" w:hAnsi="Calibri" w:cs="Calibri"/>
          <w:sz w:val="22"/>
          <w:szCs w:val="22"/>
          <w:highlight w:val="white"/>
          <w:lang w:val="en"/>
        </w:rPr>
        <w:t xml:space="preserve"> </w:t>
      </w:r>
      <w:r>
        <w:rPr>
          <w:rFonts w:ascii="Calibri" w:eastAsia="Calibri" w:hAnsi="Calibri" w:cs="Calibri"/>
          <w:sz w:val="22"/>
          <w:szCs w:val="22"/>
          <w:highlight w:val="white"/>
          <w:lang w:val="en"/>
        </w:rPr>
        <w:t>in how clinic leaders understood</w:t>
      </w:r>
      <w:r w:rsidRPr="005239DD">
        <w:rPr>
          <w:rFonts w:ascii="Calibri" w:eastAsia="Calibri" w:hAnsi="Calibri" w:cs="Calibri"/>
          <w:sz w:val="22"/>
          <w:szCs w:val="22"/>
          <w:highlight w:val="white"/>
          <w:lang w:val="en"/>
        </w:rPr>
        <w:t xml:space="preserve"> health equity</w:t>
      </w:r>
      <w:r>
        <w:rPr>
          <w:rFonts w:ascii="Calibri" w:eastAsia="Calibri" w:hAnsi="Calibri" w:cs="Calibri"/>
          <w:sz w:val="22"/>
          <w:szCs w:val="22"/>
          <w:highlight w:val="white"/>
          <w:lang w:val="en"/>
        </w:rPr>
        <w:t>. Most clinic leaders indicated</w:t>
      </w:r>
      <w:r w:rsidRPr="005239DD">
        <w:rPr>
          <w:rFonts w:ascii="Calibri" w:eastAsia="Calibri" w:hAnsi="Calibri" w:cs="Calibri"/>
          <w:sz w:val="22"/>
          <w:szCs w:val="22"/>
          <w:highlight w:val="white"/>
          <w:lang w:val="en"/>
        </w:rPr>
        <w:t xml:space="preserve"> little awareness of OHA’s definition of equity before </w:t>
      </w:r>
      <w:r>
        <w:rPr>
          <w:rFonts w:ascii="Calibri" w:eastAsia="Calibri" w:hAnsi="Calibri" w:cs="Calibri"/>
          <w:sz w:val="22"/>
          <w:szCs w:val="22"/>
          <w:highlight w:val="white"/>
          <w:lang w:val="en"/>
        </w:rPr>
        <w:t>it was shared in interviews or focus groups</w:t>
      </w:r>
      <w:r w:rsidRPr="005239DD">
        <w:rPr>
          <w:rFonts w:ascii="Calibri" w:eastAsia="Calibri" w:hAnsi="Calibri" w:cs="Calibri"/>
          <w:sz w:val="22"/>
          <w:szCs w:val="22"/>
          <w:highlight w:val="white"/>
          <w:lang w:val="en"/>
        </w:rPr>
        <w:t>. One clinic leader recognized that CCBHCs could play a role in “</w:t>
      </w:r>
      <w:r w:rsidRPr="005239DD">
        <w:rPr>
          <w:rFonts w:ascii="Calibri" w:eastAsia="Calibri" w:hAnsi="Calibri" w:cs="Calibri"/>
          <w:i/>
          <w:sz w:val="22"/>
          <w:szCs w:val="22"/>
          <w:highlight w:val="white"/>
          <w:lang w:val="en"/>
        </w:rPr>
        <w:t>pushing the notion of health equity, and what that actually means</w:t>
      </w:r>
      <w:r w:rsidRPr="005239DD">
        <w:rPr>
          <w:rFonts w:ascii="Calibri" w:eastAsia="Calibri" w:hAnsi="Calibri" w:cs="Calibri"/>
          <w:sz w:val="22"/>
          <w:szCs w:val="22"/>
          <w:highlight w:val="white"/>
          <w:lang w:val="en"/>
        </w:rPr>
        <w:t>,” but also pointed out</w:t>
      </w:r>
      <w:r>
        <w:rPr>
          <w:rFonts w:ascii="Calibri" w:eastAsia="Calibri" w:hAnsi="Calibri" w:cs="Calibri"/>
          <w:sz w:val="22"/>
          <w:szCs w:val="22"/>
          <w:highlight w:val="white"/>
          <w:lang w:val="en"/>
        </w:rPr>
        <w:t>:</w:t>
      </w:r>
      <w:r w:rsidRPr="005239DD">
        <w:rPr>
          <w:rFonts w:ascii="Calibri" w:eastAsia="Calibri" w:hAnsi="Calibri" w:cs="Calibri"/>
          <w:sz w:val="22"/>
          <w:szCs w:val="22"/>
          <w:highlight w:val="white"/>
          <w:lang w:val="en"/>
        </w:rPr>
        <w:t xml:space="preserve"> “</w:t>
      </w:r>
      <w:r w:rsidRPr="005239DD">
        <w:rPr>
          <w:rFonts w:ascii="Calibri" w:eastAsia="Calibri" w:hAnsi="Calibri" w:cs="Calibri"/>
          <w:i/>
          <w:sz w:val="22"/>
          <w:szCs w:val="22"/>
          <w:highlight w:val="white"/>
          <w:lang w:val="en"/>
        </w:rPr>
        <w:t>I think CCBHC, all by itself, you could do it and not do anything about diversity or equity</w:t>
      </w:r>
      <w:r w:rsidRPr="005239DD">
        <w:rPr>
          <w:rFonts w:ascii="Calibri" w:eastAsia="Calibri" w:hAnsi="Calibri" w:cs="Calibri"/>
          <w:sz w:val="22"/>
          <w:szCs w:val="22"/>
          <w:highlight w:val="white"/>
          <w:lang w:val="en"/>
        </w:rPr>
        <w:t xml:space="preserve">” (Lead Clinical 03). This highlights an opportunity for OHA to collaborate more explicitly with CCBHCs and provide training and technical support for </w:t>
      </w:r>
      <w:r>
        <w:rPr>
          <w:rFonts w:ascii="Calibri" w:eastAsia="Calibri" w:hAnsi="Calibri" w:cs="Calibri"/>
          <w:sz w:val="22"/>
          <w:szCs w:val="22"/>
          <w:highlight w:val="white"/>
          <w:lang w:val="en"/>
        </w:rPr>
        <w:t>centering</w:t>
      </w:r>
      <w:r w:rsidRPr="005239DD">
        <w:rPr>
          <w:rFonts w:ascii="Calibri" w:eastAsia="Calibri" w:hAnsi="Calibri" w:cs="Calibri"/>
          <w:sz w:val="22"/>
          <w:szCs w:val="22"/>
          <w:highlight w:val="white"/>
          <w:lang w:val="en"/>
        </w:rPr>
        <w:t xml:space="preserve"> equity going forward</w:t>
      </w:r>
      <w:r>
        <w:rPr>
          <w:rFonts w:ascii="Calibri" w:eastAsia="Calibri" w:hAnsi="Calibri" w:cs="Calibri"/>
          <w:sz w:val="22"/>
          <w:szCs w:val="22"/>
          <w:highlight w:val="white"/>
          <w:lang w:val="en"/>
        </w:rPr>
        <w:t xml:space="preserve"> and making progress towards the shared state and OHA goal with respect to eliminating health inequities.</w:t>
      </w:r>
      <w:r w:rsidRPr="005239DD">
        <w:rPr>
          <w:rFonts w:ascii="Calibri" w:eastAsia="Calibri" w:hAnsi="Calibri" w:cs="Calibri"/>
          <w:sz w:val="22"/>
          <w:szCs w:val="22"/>
          <w:highlight w:val="white"/>
          <w:lang w:val="en"/>
        </w:rPr>
        <w:t xml:space="preserve"> </w:t>
      </w:r>
    </w:p>
    <w:p w14:paraId="7FD8824C" w14:textId="77777777" w:rsidR="00C233F0" w:rsidRDefault="00C233F0" w:rsidP="00C233F0">
      <w:pPr>
        <w:rPr>
          <w:rFonts w:cstheme="minorHAnsi"/>
          <w:sz w:val="22"/>
          <w:szCs w:val="22"/>
        </w:rPr>
      </w:pPr>
    </w:p>
    <w:p w14:paraId="300B9113" w14:textId="77777777" w:rsidR="00C233F0" w:rsidRPr="009C0140" w:rsidRDefault="00C233F0" w:rsidP="00C233F0">
      <w:pPr>
        <w:rPr>
          <w:rFonts w:cstheme="minorHAnsi"/>
          <w:sz w:val="22"/>
          <w:szCs w:val="22"/>
        </w:rPr>
      </w:pPr>
      <w:r>
        <w:rPr>
          <w:rFonts w:cstheme="minorHAnsi"/>
          <w:sz w:val="22"/>
          <w:szCs w:val="22"/>
        </w:rPr>
        <w:t xml:space="preserve">The CCBHC model enables clinics to focus on the needs of historically and currently underserved populations in their communities, particularly communities of color and those who identify as LGBTQ+. In order to achieve this goal, CCBHCs will need sufficient and continued funding, adequate training and resources, and guidance. Further evaluation will be needed with specific attention to thorough, community-informed recruitment in order to capture additional perspectives from service users and CBOs on how this may be achieved. </w:t>
      </w:r>
    </w:p>
    <w:p w14:paraId="46C95C4B" w14:textId="77777777" w:rsidR="00C233F0" w:rsidRDefault="00C233F0" w:rsidP="00C233F0">
      <w:pPr>
        <w:rPr>
          <w:rFonts w:cstheme="minorHAnsi"/>
          <w:sz w:val="22"/>
          <w:szCs w:val="22"/>
        </w:rPr>
      </w:pPr>
    </w:p>
    <w:p w14:paraId="35E693A5" w14:textId="77777777" w:rsidR="00C233F0" w:rsidRPr="00924EA6" w:rsidRDefault="00C233F0" w:rsidP="00C233F0">
      <w:pPr>
        <w:rPr>
          <w:rFonts w:cstheme="minorHAnsi"/>
          <w:sz w:val="22"/>
          <w:szCs w:val="22"/>
        </w:rPr>
      </w:pPr>
      <w:r>
        <w:rPr>
          <w:rFonts w:cstheme="minorHAnsi"/>
          <w:sz w:val="22"/>
          <w:szCs w:val="22"/>
        </w:rPr>
        <w:t>In order to realize their potential as a key component of Oregon’s health systems reform, the CCBHC program will require thoughtful expansion of services and strategic statewide growth. An interested party also expressed the need for greater flexibility, noting: “</w:t>
      </w:r>
      <w:r w:rsidRPr="00C713DF">
        <w:rPr>
          <w:rFonts w:cstheme="minorHAnsi"/>
          <w:i/>
          <w:sz w:val="22"/>
          <w:szCs w:val="22"/>
        </w:rPr>
        <w:t>We're going to have to move away from a one size fits all [approach]. If we think about the PCPCHs, there are tiers; tier one, two, three, four. But CCBHC tends to be a little more rigid and probably for good intentions. But it's going to be important to have the ability to right size for the setting, especially as we look at sustainability in rural settings</w:t>
      </w:r>
      <w:r>
        <w:rPr>
          <w:rFonts w:cstheme="minorHAnsi"/>
          <w:sz w:val="22"/>
          <w:szCs w:val="22"/>
        </w:rPr>
        <w:t>” (Interested Party 16). The data collected in this evaluation highlight several areas to consider for future CCBHC expansion.</w:t>
      </w:r>
      <w:r w:rsidRPr="00DB79BA">
        <w:rPr>
          <w:rFonts w:cstheme="minorHAnsi"/>
          <w:sz w:val="22"/>
          <w:szCs w:val="22"/>
        </w:rPr>
        <w:t xml:space="preserve"> </w:t>
      </w:r>
      <w:r w:rsidRPr="00924EA6">
        <w:rPr>
          <w:rFonts w:cstheme="minorHAnsi"/>
          <w:sz w:val="22"/>
          <w:szCs w:val="22"/>
        </w:rPr>
        <w:t xml:space="preserve">CCBHCs will </w:t>
      </w:r>
      <w:r>
        <w:rPr>
          <w:rFonts w:cstheme="minorHAnsi"/>
          <w:sz w:val="22"/>
          <w:szCs w:val="22"/>
        </w:rPr>
        <w:t>have an increased</w:t>
      </w:r>
      <w:r w:rsidRPr="00924EA6">
        <w:rPr>
          <w:rFonts w:cstheme="minorHAnsi"/>
          <w:sz w:val="22"/>
          <w:szCs w:val="22"/>
        </w:rPr>
        <w:t xml:space="preserve"> impact if </w:t>
      </w:r>
      <w:r>
        <w:rPr>
          <w:rFonts w:cstheme="minorHAnsi"/>
          <w:sz w:val="22"/>
          <w:szCs w:val="22"/>
        </w:rPr>
        <w:t xml:space="preserve">operating </w:t>
      </w:r>
      <w:r w:rsidRPr="00924EA6">
        <w:rPr>
          <w:rFonts w:cstheme="minorHAnsi"/>
          <w:sz w:val="22"/>
          <w:szCs w:val="22"/>
        </w:rPr>
        <w:t xml:space="preserve">requirements </w:t>
      </w:r>
      <w:r>
        <w:rPr>
          <w:rFonts w:cstheme="minorHAnsi"/>
          <w:sz w:val="22"/>
          <w:szCs w:val="22"/>
        </w:rPr>
        <w:t>are</w:t>
      </w:r>
      <w:r w:rsidRPr="00924EA6">
        <w:rPr>
          <w:rFonts w:cstheme="minorHAnsi"/>
          <w:sz w:val="22"/>
          <w:szCs w:val="22"/>
        </w:rPr>
        <w:t xml:space="preserve"> streamlined and clarified, so clinics can focus on increasing access to </w:t>
      </w:r>
      <w:r>
        <w:rPr>
          <w:rFonts w:cstheme="minorHAnsi"/>
          <w:sz w:val="22"/>
          <w:szCs w:val="22"/>
        </w:rPr>
        <w:t xml:space="preserve">a wide range of </w:t>
      </w:r>
      <w:r w:rsidRPr="00924EA6">
        <w:rPr>
          <w:rFonts w:cstheme="minorHAnsi"/>
          <w:sz w:val="22"/>
          <w:szCs w:val="22"/>
        </w:rPr>
        <w:t xml:space="preserve">services, </w:t>
      </w:r>
      <w:r>
        <w:rPr>
          <w:rFonts w:cstheme="minorHAnsi"/>
          <w:sz w:val="22"/>
          <w:szCs w:val="22"/>
        </w:rPr>
        <w:t xml:space="preserve">including prevention, outreach, </w:t>
      </w:r>
      <w:r w:rsidRPr="00924EA6">
        <w:rPr>
          <w:rFonts w:cstheme="minorHAnsi"/>
          <w:sz w:val="22"/>
          <w:szCs w:val="22"/>
        </w:rPr>
        <w:t xml:space="preserve">primary care, </w:t>
      </w:r>
      <w:r>
        <w:rPr>
          <w:rFonts w:cstheme="minorHAnsi"/>
          <w:sz w:val="22"/>
          <w:szCs w:val="22"/>
        </w:rPr>
        <w:t xml:space="preserve">social supports, and care coordination. </w:t>
      </w:r>
    </w:p>
    <w:p w14:paraId="69BAF815" w14:textId="77777777" w:rsidR="00C233F0" w:rsidRDefault="00C233F0" w:rsidP="00C233F0">
      <w:pPr>
        <w:rPr>
          <w:rFonts w:cstheme="minorHAnsi"/>
          <w:sz w:val="22"/>
          <w:szCs w:val="22"/>
        </w:rPr>
      </w:pPr>
    </w:p>
    <w:p w14:paraId="44CC20FC" w14:textId="77777777" w:rsidR="00C233F0" w:rsidRDefault="00C233F0" w:rsidP="00C233F0">
      <w:pPr>
        <w:rPr>
          <w:rFonts w:cstheme="minorHAnsi"/>
          <w:sz w:val="22"/>
          <w:szCs w:val="22"/>
        </w:rPr>
      </w:pPr>
      <w:r>
        <w:rPr>
          <w:rFonts w:cstheme="minorHAnsi"/>
          <w:sz w:val="22"/>
          <w:szCs w:val="22"/>
        </w:rPr>
        <w:t>Service users and clinic leaders indicated that expansion of the CCBHC program will necessitate actions addressing Oregon’s ongoing behavioral health workforce shortage in order to ensure that reliable and consistent care is available to all service users. This will require a dual focus on workforce recruitment and retention so that clinics are sufficiently staffed to respond to demand in real time. Some clinic leaders noted a desire for specific ways to improve their own clinics under the CCBHC model, hoping to reflect even more focus on holistic health; they hoped for opportunities to provide additional services, such as integrated nutritional counseling, dental services, and occupational health. While a few CCBHCs already offer some of these services, others may need additional support in how to scale their offerings to meet the needs of their communities.</w:t>
      </w:r>
    </w:p>
    <w:p w14:paraId="63CB3013" w14:textId="4B5665BB" w:rsidR="00085A56" w:rsidRDefault="00085A56" w:rsidP="00085A56">
      <w:pPr>
        <w:rPr>
          <w:rFonts w:cstheme="minorHAnsi"/>
          <w:sz w:val="22"/>
          <w:szCs w:val="22"/>
        </w:rPr>
      </w:pPr>
    </w:p>
    <w:p w14:paraId="4C89A3BB" w14:textId="0E9802B5" w:rsidR="00580A99" w:rsidRDefault="00580A99" w:rsidP="00085A56">
      <w:pPr>
        <w:rPr>
          <w:rFonts w:cstheme="minorHAnsi"/>
          <w:sz w:val="22"/>
          <w:szCs w:val="22"/>
        </w:rPr>
      </w:pPr>
      <w:r>
        <w:rPr>
          <w:rFonts w:cstheme="minorHAnsi"/>
          <w:noProof/>
          <w:sz w:val="22"/>
          <w:szCs w:val="22"/>
        </w:rPr>
        <mc:AlternateContent>
          <mc:Choice Requires="wps">
            <w:drawing>
              <wp:anchor distT="0" distB="0" distL="114300" distR="114300" simplePos="0" relativeHeight="251691008" behindDoc="0" locked="0" layoutInCell="1" allowOverlap="1" wp14:anchorId="78AC83A3" wp14:editId="7B2436F2">
                <wp:simplePos x="0" y="0"/>
                <wp:positionH relativeFrom="column">
                  <wp:posOffset>-1050</wp:posOffset>
                </wp:positionH>
                <wp:positionV relativeFrom="paragraph">
                  <wp:posOffset>25677</wp:posOffset>
                </wp:positionV>
                <wp:extent cx="5947038" cy="3837405"/>
                <wp:effectExtent l="12700" t="12700" r="22225" b="23495"/>
                <wp:wrapNone/>
                <wp:docPr id="11" name="Text Box 11"/>
                <wp:cNvGraphicFramePr/>
                <a:graphic xmlns:a="http://schemas.openxmlformats.org/drawingml/2006/main">
                  <a:graphicData uri="http://schemas.microsoft.com/office/word/2010/wordprocessingShape">
                    <wps:wsp>
                      <wps:cNvSpPr txBox="1"/>
                      <wps:spPr>
                        <a:xfrm>
                          <a:off x="0" y="0"/>
                          <a:ext cx="5947038" cy="3837405"/>
                        </a:xfrm>
                        <a:prstGeom prst="rect">
                          <a:avLst/>
                        </a:prstGeom>
                        <a:solidFill>
                          <a:schemeClr val="lt1"/>
                        </a:solidFill>
                        <a:ln w="38100">
                          <a:solidFill>
                            <a:schemeClr val="accent6">
                              <a:lumMod val="75000"/>
                            </a:schemeClr>
                          </a:solidFill>
                        </a:ln>
                      </wps:spPr>
                      <wps:txbx>
                        <w:txbxContent>
                          <w:p w14:paraId="2F84C1A0" w14:textId="77777777" w:rsidR="00580A99" w:rsidRDefault="00580A99" w:rsidP="00580A99">
                            <w:pPr>
                              <w:jc w:val="center"/>
                              <w:rPr>
                                <w:b/>
                                <w:bCs/>
                                <w:color w:val="6A7F0F"/>
                              </w:rPr>
                            </w:pPr>
                            <w:r>
                              <w:rPr>
                                <w:b/>
                                <w:bCs/>
                                <w:color w:val="6A7F0F"/>
                              </w:rPr>
                              <w:t xml:space="preserve">Summary and Recommendations: </w:t>
                            </w:r>
                            <w:r w:rsidRPr="00711A04">
                              <w:rPr>
                                <w:b/>
                                <w:bCs/>
                                <w:color w:val="6A7F0F"/>
                              </w:rPr>
                              <w:t xml:space="preserve">The Role of the CCBHC Model in </w:t>
                            </w:r>
                          </w:p>
                          <w:p w14:paraId="1304E787" w14:textId="77777777" w:rsidR="00580A99" w:rsidRPr="00711A04" w:rsidRDefault="00580A99" w:rsidP="00580A99">
                            <w:pPr>
                              <w:spacing w:after="120"/>
                              <w:jc w:val="center"/>
                              <w:rPr>
                                <w:b/>
                                <w:bCs/>
                                <w:color w:val="6A7F0F"/>
                              </w:rPr>
                            </w:pPr>
                            <w:r w:rsidRPr="00711A04">
                              <w:rPr>
                                <w:b/>
                                <w:bCs/>
                                <w:color w:val="6A7F0F"/>
                              </w:rPr>
                              <w:t>Future Oregon Health Systems Reform and Transformation</w:t>
                            </w:r>
                          </w:p>
                          <w:p w14:paraId="3E32D5B3" w14:textId="77777777" w:rsidR="00580A99" w:rsidRDefault="00580A99" w:rsidP="00580A99">
                            <w:pPr>
                              <w:rPr>
                                <w:rFonts w:cstheme="minorHAnsi"/>
                                <w:sz w:val="22"/>
                                <w:szCs w:val="22"/>
                              </w:rPr>
                            </w:pPr>
                            <w:r w:rsidRPr="00A613AD">
                              <w:rPr>
                                <w:rFonts w:cstheme="minorHAnsi"/>
                                <w:color w:val="000000" w:themeColor="text1"/>
                                <w:sz w:val="22"/>
                                <w:szCs w:val="22"/>
                              </w:rPr>
                              <w:t xml:space="preserve">CCBHCs have been able to make contributions and play an important </w:t>
                            </w:r>
                            <w:r w:rsidRPr="009B138D">
                              <w:rPr>
                                <w:rFonts w:cstheme="minorHAnsi"/>
                                <w:bCs/>
                                <w:color w:val="000000" w:themeColor="text1"/>
                                <w:sz w:val="22"/>
                                <w:szCs w:val="22"/>
                              </w:rPr>
                              <w:t xml:space="preserve">role in Oregon health systems reform and transformation. </w:t>
                            </w:r>
                            <w:r>
                              <w:rPr>
                                <w:rFonts w:cstheme="minorHAnsi"/>
                                <w:sz w:val="22"/>
                                <w:szCs w:val="22"/>
                              </w:rPr>
                              <w:t xml:space="preserve">With thoughtful and appropriate expansion, the CCBHC demonstration program has the opportunity to continue to play a key role in Oregon’s health systems transformation and ongoing reform efforts. </w:t>
                            </w:r>
                          </w:p>
                          <w:p w14:paraId="3F3CFB96" w14:textId="77777777" w:rsidR="00580A99" w:rsidRDefault="00580A99" w:rsidP="00580A99">
                            <w:pPr>
                              <w:rPr>
                                <w:rFonts w:cstheme="minorHAnsi"/>
                                <w:sz w:val="22"/>
                                <w:szCs w:val="22"/>
                              </w:rPr>
                            </w:pPr>
                          </w:p>
                          <w:p w14:paraId="218C6EE1" w14:textId="77777777" w:rsidR="00580A99" w:rsidRPr="0072001D" w:rsidRDefault="00580A99" w:rsidP="00580A99">
                            <w:pPr>
                              <w:rPr>
                                <w:rFonts w:cstheme="minorHAnsi"/>
                                <w:sz w:val="22"/>
                                <w:szCs w:val="22"/>
                              </w:rPr>
                            </w:pPr>
                            <w:r>
                              <w:rPr>
                                <w:rFonts w:cstheme="minorHAnsi"/>
                                <w:sz w:val="22"/>
                                <w:szCs w:val="22"/>
                              </w:rPr>
                              <w:t xml:space="preserve">Workforce recruitment and retention were common themes raised, and these challenges may hamper the ability of CCBHCs to expand, let alone maintain, their current level of services. Furthermore, the CCBHC workforce may not reflect the diversity of the communities they serve. </w:t>
                            </w:r>
                            <w:r w:rsidRPr="0072001D">
                              <w:rPr>
                                <w:rFonts w:cstheme="minorHAnsi"/>
                                <w:sz w:val="22"/>
                                <w:szCs w:val="22"/>
                              </w:rPr>
                              <w:t>While some workforce incentive programs already exist, CCBHCs may not be utilizing these as well as they could. There are always challenges recruiting health workforce to rural communities, and there appear to be additional challenges to recruit and retain at behavioral health clinics.</w:t>
                            </w:r>
                          </w:p>
                          <w:p w14:paraId="0560BB8B" w14:textId="409F7D2F" w:rsidR="00580A99" w:rsidRDefault="00580A99"/>
                          <w:p w14:paraId="24598077" w14:textId="77777777" w:rsidR="00580A99" w:rsidRPr="0072001D" w:rsidRDefault="00580A99" w:rsidP="00580A99">
                            <w:pPr>
                              <w:rPr>
                                <w:rFonts w:cstheme="minorHAnsi"/>
                                <w:sz w:val="22"/>
                                <w:szCs w:val="22"/>
                              </w:rPr>
                            </w:pPr>
                            <w:r w:rsidRPr="0072001D">
                              <w:rPr>
                                <w:rFonts w:cstheme="minorHAnsi"/>
                                <w:b/>
                                <w:bCs/>
                                <w:color w:val="6A7F0F"/>
                                <w:sz w:val="22"/>
                                <w:szCs w:val="22"/>
                              </w:rPr>
                              <w:t>Recommendation</w:t>
                            </w:r>
                            <w:r w:rsidRPr="0072001D">
                              <w:rPr>
                                <w:rFonts w:cstheme="minorHAnsi"/>
                                <w:color w:val="6A7F0F"/>
                                <w:sz w:val="22"/>
                                <w:szCs w:val="22"/>
                              </w:rPr>
                              <w:t xml:space="preserve">: </w:t>
                            </w:r>
                            <w:r w:rsidRPr="0072001D">
                              <w:rPr>
                                <w:rFonts w:ascii="Calibri" w:hAnsi="Calibri" w:cs="Calibri"/>
                                <w:color w:val="242424"/>
                                <w:sz w:val="22"/>
                                <w:szCs w:val="22"/>
                                <w:shd w:val="clear" w:color="auto" w:fill="FFFFFF"/>
                              </w:rPr>
                              <w:t>Make investments in new or enhanced behavioral health workforce incentives (such as salaries, loan repayment, educational support, etc.) to augment the workforce in Oregon’s CCBHCs.</w:t>
                            </w:r>
                          </w:p>
                          <w:p w14:paraId="18A22DA6" w14:textId="77777777" w:rsidR="00580A99" w:rsidRPr="0072001D" w:rsidRDefault="00580A99" w:rsidP="00580A99">
                            <w:pPr>
                              <w:rPr>
                                <w:rFonts w:cstheme="minorHAnsi"/>
                                <w:sz w:val="22"/>
                                <w:szCs w:val="22"/>
                              </w:rPr>
                            </w:pPr>
                          </w:p>
                          <w:p w14:paraId="41924B24" w14:textId="20BDF9AC" w:rsidR="00580A99" w:rsidRDefault="00580A99" w:rsidP="00580A99">
                            <w:r>
                              <w:rPr>
                                <w:rFonts w:cstheme="minorHAnsi"/>
                                <w:color w:val="000000" w:themeColor="text1"/>
                                <w:sz w:val="22"/>
                                <w:szCs w:val="22"/>
                              </w:rPr>
                              <w:t>If</w:t>
                            </w:r>
                            <w:r w:rsidRPr="00A613AD">
                              <w:rPr>
                                <w:rFonts w:cstheme="minorHAnsi"/>
                                <w:color w:val="000000" w:themeColor="text1"/>
                                <w:sz w:val="22"/>
                                <w:szCs w:val="22"/>
                              </w:rPr>
                              <w:t xml:space="preserve"> CCBHCs </w:t>
                            </w:r>
                            <w:r>
                              <w:rPr>
                                <w:rFonts w:cstheme="minorHAnsi"/>
                                <w:color w:val="000000" w:themeColor="text1"/>
                                <w:sz w:val="22"/>
                                <w:szCs w:val="22"/>
                              </w:rPr>
                              <w:t xml:space="preserve">are </w:t>
                            </w:r>
                            <w:r w:rsidRPr="00A613AD">
                              <w:rPr>
                                <w:rFonts w:cstheme="minorHAnsi"/>
                                <w:color w:val="000000" w:themeColor="text1"/>
                                <w:sz w:val="22"/>
                                <w:szCs w:val="22"/>
                              </w:rPr>
                              <w:t xml:space="preserve">to play a meaningful and central role in in Oregon health systems reform, </w:t>
                            </w:r>
                            <w:r>
                              <w:rPr>
                                <w:rFonts w:cstheme="minorHAnsi"/>
                                <w:color w:val="000000" w:themeColor="text1"/>
                                <w:sz w:val="22"/>
                                <w:szCs w:val="22"/>
                              </w:rPr>
                              <w:t>a CCBHC should</w:t>
                            </w:r>
                            <w:r w:rsidRPr="00A613AD">
                              <w:rPr>
                                <w:rFonts w:cstheme="minorHAnsi"/>
                                <w:color w:val="000000" w:themeColor="text1"/>
                                <w:sz w:val="22"/>
                                <w:szCs w:val="22"/>
                              </w:rPr>
                              <w:t xml:space="preserve"> be located and supported in every Oregon county, to ensure all Oregonians have access to these behavioral health services.</w:t>
                            </w:r>
                            <w:r w:rsidRPr="00732AEE">
                              <w:rPr>
                                <w:rFonts w:cstheme="minorHAnsi"/>
                                <w:color w:val="000000" w:themeColor="text1"/>
                                <w:sz w:val="22"/>
                                <w:szCs w:val="22"/>
                              </w:rPr>
                              <w:t xml:space="preserve"> </w:t>
                            </w:r>
                            <w:r w:rsidRPr="00A613AD">
                              <w:rPr>
                                <w:rFonts w:cstheme="minorHAnsi"/>
                                <w:color w:val="000000" w:themeColor="text1"/>
                                <w:sz w:val="22"/>
                                <w:szCs w:val="22"/>
                              </w:rPr>
                              <w:t xml:space="preserve">Since </w:t>
                            </w:r>
                            <w:r>
                              <w:rPr>
                                <w:rFonts w:cstheme="minorHAnsi"/>
                                <w:color w:val="000000" w:themeColor="text1"/>
                                <w:sz w:val="22"/>
                                <w:szCs w:val="22"/>
                              </w:rPr>
                              <w:t xml:space="preserve">the role of </w:t>
                            </w:r>
                            <w:r w:rsidRPr="00A613AD">
                              <w:rPr>
                                <w:rFonts w:cstheme="minorHAnsi"/>
                                <w:color w:val="000000" w:themeColor="text1"/>
                                <w:sz w:val="22"/>
                                <w:szCs w:val="22"/>
                              </w:rPr>
                              <w:t>CMHPs</w:t>
                            </w:r>
                            <w:r>
                              <w:rPr>
                                <w:rFonts w:cstheme="minorHAnsi"/>
                                <w:color w:val="000000" w:themeColor="text1"/>
                                <w:sz w:val="22"/>
                                <w:szCs w:val="22"/>
                              </w:rPr>
                              <w:t xml:space="preserve"> is to be </w:t>
                            </w:r>
                            <w:r>
                              <w:rPr>
                                <w:rFonts w:cstheme="minorHAnsi"/>
                                <w:sz w:val="22"/>
                                <w:szCs w:val="22"/>
                              </w:rPr>
                              <w:t>the center of county-based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C83A3" id="Text Box 11" o:spid="_x0000_s1039" type="#_x0000_t202" style="position:absolute;margin-left:-.1pt;margin-top:2pt;width:468.25pt;height:30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i7TgIAAK4EAAAOAAAAZHJzL2Uyb0RvYy54bWysVE1v2zAMvQ/YfxB0X+x8Na0Rp8hSZBiQ&#10;tQXSoWdFlmIDsqhJSuzs14+S89V2p2EXWRKpR/Lx0dP7tlZkL6yrQOe030spEZpDUeltTn++LL/c&#10;UuI80wVToEVOD8LR+9nnT9PGZGIAJahCWIIg2mWNyWnpvcmSxPFS1Mz1wAiNRgm2Zh6PdpsUljWI&#10;XqtkkKY3SQO2MBa4cA5vHzojnUV8KQX3T1I64YnKKebm42rjuglrMpuybGuZKSt+TIP9QxY1qzQG&#10;PUM9MM/IzlYfoOqKW3AgfY9DnYCUFRexBqymn76rZl0yI2ItSI4zZ5rc/4Plj/u1ebbEt1+hxQYG&#10;QhrjMoeXoZ5W2jp8MVOCdqTwcKZNtJ5wvBzfjSbpEBvN0Ta8HU5G6TjgJJfnxjr/TUBNwianFvsS&#10;6WL7lfOd68klRHOgqmJZKRUPQQtioSzZM+yi8jFJBH/jpTRpQvR+mkbkN8YopwsE41xofxP91K7+&#10;AUUHPRmn+LpL5/wk1nGFhoGVxssLS2Hn201LqgIZHJ4o3EBxQGYtdKJzhi8rrH7FnH9mFlWGZOLk&#10;+CdcpALMHo47Skqwv/92H/yx+WilpEHV5tT92jErKFHfNcrirj8aBZnHw2g8GeDBXls21xa9qxeA&#10;lPZxRg2P2+Dv1WkrLdSvOGDzEBVNTHOMnVN/2i58N0s4oFzM59EJhW2YX+m14QE6tDD09qV9ZdYc&#10;BeBRO49w0jfL3umg8w0vNcx3HmQVRRKI7lg98o9DEdtzHOAwddfn6HX5zcz+AAAA//8DAFBLAwQU&#10;AAYACAAAACEABb6rDeIAAAAMAQAADwAAAGRycy9kb3ducmV2LnhtbEyPzU7DMBCE70i8g7VI3FqH&#10;BkJI41SI0CtVCxIc7XhJArEdxW5+3p7lBJeVVjP77Uy+m03HRhx866yAm3UEDG3ldGtrAW+v+1UK&#10;zAdpteycRQELetgVlxe5zLSb7BHHU6gZQazPpIAmhD7j3FcNGunXrkdL2qcbjAy0DjXXg5wIbjq+&#10;iaKEG9la+tDIHp8arL5PZ0OUl0P5Nb4/L3fTx7FUqlP7Jb0X4vpqLrc0HrfAAs7h7wJ+O1B+KCiY&#10;cmerPesErDZkFHBLrUh9iJMYmBKQRGkMvMj5/xLFDwAAAP//AwBQSwECLQAUAAYACAAAACEAtoM4&#10;kv4AAADhAQAAEwAAAAAAAAAAAAAAAAAAAAAAW0NvbnRlbnRfVHlwZXNdLnhtbFBLAQItABQABgAI&#10;AAAAIQA4/SH/1gAAAJQBAAALAAAAAAAAAAAAAAAAAC8BAABfcmVscy8ucmVsc1BLAQItABQABgAI&#10;AAAAIQAH5Bi7TgIAAK4EAAAOAAAAAAAAAAAAAAAAAC4CAABkcnMvZTJvRG9jLnhtbFBLAQItABQA&#10;BgAIAAAAIQAFvqsN4gAAAAwBAAAPAAAAAAAAAAAAAAAAAKgEAABkcnMvZG93bnJldi54bWxQSwUG&#10;AAAAAAQABADzAAAAtwUAAAAA&#10;" fillcolor="white [3201]" strokecolor="#538135 [2409]" strokeweight="3pt">
                <v:textbox>
                  <w:txbxContent>
                    <w:p w14:paraId="2F84C1A0" w14:textId="77777777" w:rsidR="00580A99" w:rsidRDefault="00580A99" w:rsidP="00580A99">
                      <w:pPr>
                        <w:jc w:val="center"/>
                        <w:rPr>
                          <w:b/>
                          <w:bCs/>
                          <w:color w:val="6A7F0F"/>
                        </w:rPr>
                      </w:pPr>
                      <w:r>
                        <w:rPr>
                          <w:b/>
                          <w:bCs/>
                          <w:color w:val="6A7F0F"/>
                        </w:rPr>
                        <w:t xml:space="preserve">Summary and Recommendations: </w:t>
                      </w:r>
                      <w:r w:rsidRPr="00711A04">
                        <w:rPr>
                          <w:b/>
                          <w:bCs/>
                          <w:color w:val="6A7F0F"/>
                        </w:rPr>
                        <w:t xml:space="preserve">The Role of the CCBHC Model in </w:t>
                      </w:r>
                    </w:p>
                    <w:p w14:paraId="1304E787" w14:textId="77777777" w:rsidR="00580A99" w:rsidRPr="00711A04" w:rsidRDefault="00580A99" w:rsidP="00580A99">
                      <w:pPr>
                        <w:spacing w:after="120"/>
                        <w:jc w:val="center"/>
                        <w:rPr>
                          <w:b/>
                          <w:bCs/>
                          <w:color w:val="6A7F0F"/>
                        </w:rPr>
                      </w:pPr>
                      <w:r w:rsidRPr="00711A04">
                        <w:rPr>
                          <w:b/>
                          <w:bCs/>
                          <w:color w:val="6A7F0F"/>
                        </w:rPr>
                        <w:t>Future Oregon Health Systems Reform and Transformation</w:t>
                      </w:r>
                    </w:p>
                    <w:p w14:paraId="3E32D5B3" w14:textId="77777777" w:rsidR="00580A99" w:rsidRDefault="00580A99" w:rsidP="00580A99">
                      <w:pPr>
                        <w:rPr>
                          <w:rFonts w:cstheme="minorHAnsi"/>
                          <w:sz w:val="22"/>
                          <w:szCs w:val="22"/>
                        </w:rPr>
                      </w:pPr>
                      <w:r w:rsidRPr="00A613AD">
                        <w:rPr>
                          <w:rFonts w:cstheme="minorHAnsi"/>
                          <w:color w:val="000000" w:themeColor="text1"/>
                          <w:sz w:val="22"/>
                          <w:szCs w:val="22"/>
                        </w:rPr>
                        <w:t xml:space="preserve">CCBHCs have been able to make contributions and play an important </w:t>
                      </w:r>
                      <w:r w:rsidRPr="009B138D">
                        <w:rPr>
                          <w:rFonts w:cstheme="minorHAnsi"/>
                          <w:bCs/>
                          <w:color w:val="000000" w:themeColor="text1"/>
                          <w:sz w:val="22"/>
                          <w:szCs w:val="22"/>
                        </w:rPr>
                        <w:t xml:space="preserve">role in Oregon health systems reform and transformation. </w:t>
                      </w:r>
                      <w:r>
                        <w:rPr>
                          <w:rFonts w:cstheme="minorHAnsi"/>
                          <w:sz w:val="22"/>
                          <w:szCs w:val="22"/>
                        </w:rPr>
                        <w:t xml:space="preserve">With thoughtful and appropriate expansion, the CCBHC demonstration program has the opportunity to continue to play a key role in Oregon’s health systems transformation and ongoing reform efforts. </w:t>
                      </w:r>
                    </w:p>
                    <w:p w14:paraId="3F3CFB96" w14:textId="77777777" w:rsidR="00580A99" w:rsidRDefault="00580A99" w:rsidP="00580A99">
                      <w:pPr>
                        <w:rPr>
                          <w:rFonts w:cstheme="minorHAnsi"/>
                          <w:sz w:val="22"/>
                          <w:szCs w:val="22"/>
                        </w:rPr>
                      </w:pPr>
                    </w:p>
                    <w:p w14:paraId="218C6EE1" w14:textId="77777777" w:rsidR="00580A99" w:rsidRPr="0072001D" w:rsidRDefault="00580A99" w:rsidP="00580A99">
                      <w:pPr>
                        <w:rPr>
                          <w:rFonts w:cstheme="minorHAnsi"/>
                          <w:sz w:val="22"/>
                          <w:szCs w:val="22"/>
                        </w:rPr>
                      </w:pPr>
                      <w:r>
                        <w:rPr>
                          <w:rFonts w:cstheme="minorHAnsi"/>
                          <w:sz w:val="22"/>
                          <w:szCs w:val="22"/>
                        </w:rPr>
                        <w:t xml:space="preserve">Workforce recruitment and retention were common themes raised, and these challenges may hamper the ability of CCBHCs to expand, let alone maintain, their current level of services. Furthermore, the CCBHC workforce may not reflect the diversity of the communities they serve. </w:t>
                      </w:r>
                      <w:r w:rsidRPr="0072001D">
                        <w:rPr>
                          <w:rFonts w:cstheme="minorHAnsi"/>
                          <w:sz w:val="22"/>
                          <w:szCs w:val="22"/>
                        </w:rPr>
                        <w:t>While some workforce incentive programs already exist, CCBHCs may not be utilizing these as well as they could. There are always challenges recruiting health workforce to rural communities, and there appear to be additional challenges to recruit and retain at behavioral health clinics.</w:t>
                      </w:r>
                    </w:p>
                    <w:p w14:paraId="0560BB8B" w14:textId="409F7D2F" w:rsidR="00580A99" w:rsidRDefault="00580A99"/>
                    <w:p w14:paraId="24598077" w14:textId="77777777" w:rsidR="00580A99" w:rsidRPr="0072001D" w:rsidRDefault="00580A99" w:rsidP="00580A99">
                      <w:pPr>
                        <w:rPr>
                          <w:rFonts w:cstheme="minorHAnsi"/>
                          <w:sz w:val="22"/>
                          <w:szCs w:val="22"/>
                        </w:rPr>
                      </w:pPr>
                      <w:r w:rsidRPr="0072001D">
                        <w:rPr>
                          <w:rFonts w:cstheme="minorHAnsi"/>
                          <w:b/>
                          <w:bCs/>
                          <w:color w:val="6A7F0F"/>
                          <w:sz w:val="22"/>
                          <w:szCs w:val="22"/>
                        </w:rPr>
                        <w:t>Recommendation</w:t>
                      </w:r>
                      <w:r w:rsidRPr="0072001D">
                        <w:rPr>
                          <w:rFonts w:cstheme="minorHAnsi"/>
                          <w:color w:val="6A7F0F"/>
                          <w:sz w:val="22"/>
                          <w:szCs w:val="22"/>
                        </w:rPr>
                        <w:t xml:space="preserve">: </w:t>
                      </w:r>
                      <w:r w:rsidRPr="0072001D">
                        <w:rPr>
                          <w:rFonts w:ascii="Calibri" w:hAnsi="Calibri" w:cs="Calibri"/>
                          <w:color w:val="242424"/>
                          <w:sz w:val="22"/>
                          <w:szCs w:val="22"/>
                          <w:shd w:val="clear" w:color="auto" w:fill="FFFFFF"/>
                        </w:rPr>
                        <w:t>Make investments in new or enhanced behavioral health workforce incentives (such as salaries, loan repayment, educational support, etc.) to augment the workforce in Oregon’s CCBHCs.</w:t>
                      </w:r>
                    </w:p>
                    <w:p w14:paraId="18A22DA6" w14:textId="77777777" w:rsidR="00580A99" w:rsidRPr="0072001D" w:rsidRDefault="00580A99" w:rsidP="00580A99">
                      <w:pPr>
                        <w:rPr>
                          <w:rFonts w:cstheme="minorHAnsi"/>
                          <w:sz w:val="22"/>
                          <w:szCs w:val="22"/>
                        </w:rPr>
                      </w:pPr>
                    </w:p>
                    <w:p w14:paraId="41924B24" w14:textId="20BDF9AC" w:rsidR="00580A99" w:rsidRDefault="00580A99" w:rsidP="00580A99">
                      <w:r>
                        <w:rPr>
                          <w:rFonts w:cstheme="minorHAnsi"/>
                          <w:color w:val="000000" w:themeColor="text1"/>
                          <w:sz w:val="22"/>
                          <w:szCs w:val="22"/>
                        </w:rPr>
                        <w:t>If</w:t>
                      </w:r>
                      <w:r w:rsidRPr="00A613AD">
                        <w:rPr>
                          <w:rFonts w:cstheme="minorHAnsi"/>
                          <w:color w:val="000000" w:themeColor="text1"/>
                          <w:sz w:val="22"/>
                          <w:szCs w:val="22"/>
                        </w:rPr>
                        <w:t xml:space="preserve"> CCBHCs </w:t>
                      </w:r>
                      <w:r>
                        <w:rPr>
                          <w:rFonts w:cstheme="minorHAnsi"/>
                          <w:color w:val="000000" w:themeColor="text1"/>
                          <w:sz w:val="22"/>
                          <w:szCs w:val="22"/>
                        </w:rPr>
                        <w:t xml:space="preserve">are </w:t>
                      </w:r>
                      <w:r w:rsidRPr="00A613AD">
                        <w:rPr>
                          <w:rFonts w:cstheme="minorHAnsi"/>
                          <w:color w:val="000000" w:themeColor="text1"/>
                          <w:sz w:val="22"/>
                          <w:szCs w:val="22"/>
                        </w:rPr>
                        <w:t xml:space="preserve">to play a meaningful and central role in in Oregon health systems reform, </w:t>
                      </w:r>
                      <w:r>
                        <w:rPr>
                          <w:rFonts w:cstheme="minorHAnsi"/>
                          <w:color w:val="000000" w:themeColor="text1"/>
                          <w:sz w:val="22"/>
                          <w:szCs w:val="22"/>
                        </w:rPr>
                        <w:t>a CCBHC should</w:t>
                      </w:r>
                      <w:r w:rsidRPr="00A613AD">
                        <w:rPr>
                          <w:rFonts w:cstheme="minorHAnsi"/>
                          <w:color w:val="000000" w:themeColor="text1"/>
                          <w:sz w:val="22"/>
                          <w:szCs w:val="22"/>
                        </w:rPr>
                        <w:t xml:space="preserve"> be located and supported in every Oregon county, to ensure all Oregonians have access to these behavioral health services.</w:t>
                      </w:r>
                      <w:r w:rsidRPr="00732AEE">
                        <w:rPr>
                          <w:rFonts w:cstheme="minorHAnsi"/>
                          <w:color w:val="000000" w:themeColor="text1"/>
                          <w:sz w:val="22"/>
                          <w:szCs w:val="22"/>
                        </w:rPr>
                        <w:t xml:space="preserve"> </w:t>
                      </w:r>
                      <w:r w:rsidRPr="00A613AD">
                        <w:rPr>
                          <w:rFonts w:cstheme="minorHAnsi"/>
                          <w:color w:val="000000" w:themeColor="text1"/>
                          <w:sz w:val="22"/>
                          <w:szCs w:val="22"/>
                        </w:rPr>
                        <w:t xml:space="preserve">Since </w:t>
                      </w:r>
                      <w:r>
                        <w:rPr>
                          <w:rFonts w:cstheme="minorHAnsi"/>
                          <w:color w:val="000000" w:themeColor="text1"/>
                          <w:sz w:val="22"/>
                          <w:szCs w:val="22"/>
                        </w:rPr>
                        <w:t xml:space="preserve">the role of </w:t>
                      </w:r>
                      <w:r w:rsidRPr="00A613AD">
                        <w:rPr>
                          <w:rFonts w:cstheme="minorHAnsi"/>
                          <w:color w:val="000000" w:themeColor="text1"/>
                          <w:sz w:val="22"/>
                          <w:szCs w:val="22"/>
                        </w:rPr>
                        <w:t>CMHPs</w:t>
                      </w:r>
                      <w:r>
                        <w:rPr>
                          <w:rFonts w:cstheme="minorHAnsi"/>
                          <w:color w:val="000000" w:themeColor="text1"/>
                          <w:sz w:val="22"/>
                          <w:szCs w:val="22"/>
                        </w:rPr>
                        <w:t xml:space="preserve"> is to be </w:t>
                      </w:r>
                      <w:r>
                        <w:rPr>
                          <w:rFonts w:cstheme="minorHAnsi"/>
                          <w:sz w:val="22"/>
                          <w:szCs w:val="22"/>
                        </w:rPr>
                        <w:t>the center of county-based safety</w:t>
                      </w:r>
                    </w:p>
                  </w:txbxContent>
                </v:textbox>
              </v:shape>
            </w:pict>
          </mc:Fallback>
        </mc:AlternateContent>
      </w:r>
    </w:p>
    <w:p w14:paraId="213ACDC7" w14:textId="2F198077" w:rsidR="00085A56" w:rsidRDefault="000A085D" w:rsidP="000A085D">
      <w:pPr>
        <w:rPr>
          <w:rFonts w:cstheme="minorHAnsi"/>
          <w:sz w:val="22"/>
        </w:rPr>
      </w:pPr>
      <w:r>
        <w:rPr>
          <w:noProof/>
        </w:rPr>
        <mc:AlternateContent>
          <mc:Choice Requires="wps">
            <w:drawing>
              <wp:inline distT="0" distB="0" distL="0" distR="0" wp14:anchorId="2B58A2BC" wp14:editId="6F8A3C58">
                <wp:extent cx="5943600" cy="3562398"/>
                <wp:effectExtent l="12700" t="12700" r="25400" b="25400"/>
                <wp:docPr id="31" name="Text Box 31"/>
                <wp:cNvGraphicFramePr/>
                <a:graphic xmlns:a="http://schemas.openxmlformats.org/drawingml/2006/main">
                  <a:graphicData uri="http://schemas.microsoft.com/office/word/2010/wordprocessingShape">
                    <wps:wsp>
                      <wps:cNvSpPr txBox="1"/>
                      <wps:spPr>
                        <a:xfrm>
                          <a:off x="0" y="0"/>
                          <a:ext cx="5943600" cy="3562398"/>
                        </a:xfrm>
                        <a:prstGeom prst="rect">
                          <a:avLst/>
                        </a:prstGeom>
                        <a:noFill/>
                        <a:ln w="38100">
                          <a:solidFill>
                            <a:srgbClr val="6A7F0F"/>
                          </a:solidFill>
                        </a:ln>
                      </wps:spPr>
                      <wps:txbx>
                        <w:txbxContent>
                          <w:p w14:paraId="34B369F5" w14:textId="087D0E6F" w:rsidR="00C233F0" w:rsidRDefault="00C233F0" w:rsidP="00C233F0">
                            <w:pPr>
                              <w:rPr>
                                <w:rFonts w:cstheme="minorHAnsi"/>
                                <w:color w:val="000000" w:themeColor="text1"/>
                                <w:sz w:val="22"/>
                                <w:szCs w:val="22"/>
                              </w:rPr>
                            </w:pPr>
                            <w:r>
                              <w:rPr>
                                <w:rFonts w:cstheme="minorHAnsi"/>
                                <w:sz w:val="22"/>
                                <w:szCs w:val="22"/>
                              </w:rPr>
                              <w:t>net behavioral health services</w:t>
                            </w:r>
                            <w:r w:rsidRPr="00805079">
                              <w:rPr>
                                <w:rFonts w:cstheme="minorHAnsi"/>
                                <w:sz w:val="22"/>
                                <w:szCs w:val="22"/>
                              </w:rPr>
                              <w:t xml:space="preserve">, </w:t>
                            </w:r>
                            <w:r>
                              <w:rPr>
                                <w:rFonts w:cstheme="minorHAnsi"/>
                                <w:sz w:val="22"/>
                                <w:szCs w:val="22"/>
                              </w:rPr>
                              <w:t xml:space="preserve">an effective strategy would be to </w:t>
                            </w:r>
                            <w:r w:rsidRPr="00805079">
                              <w:rPr>
                                <w:rFonts w:cstheme="minorHAnsi"/>
                                <w:color w:val="000000"/>
                                <w:sz w:val="22"/>
                                <w:szCs w:val="22"/>
                              </w:rPr>
                              <w:t>ensur</w:t>
                            </w:r>
                            <w:r>
                              <w:rPr>
                                <w:rFonts w:cstheme="minorHAnsi"/>
                                <w:color w:val="000000"/>
                                <w:sz w:val="22"/>
                                <w:szCs w:val="22"/>
                              </w:rPr>
                              <w:t>e</w:t>
                            </w:r>
                            <w:r w:rsidRPr="00805079">
                              <w:rPr>
                                <w:rFonts w:cstheme="minorHAnsi"/>
                                <w:color w:val="000000"/>
                                <w:sz w:val="22"/>
                                <w:szCs w:val="22"/>
                              </w:rPr>
                              <w:t xml:space="preserve"> that all CMHPs have</w:t>
                            </w:r>
                            <w:r>
                              <w:rPr>
                                <w:rFonts w:cstheme="minorHAnsi"/>
                                <w:color w:val="000000"/>
                                <w:sz w:val="22"/>
                                <w:szCs w:val="22"/>
                              </w:rPr>
                              <w:t xml:space="preserve"> </w:t>
                            </w:r>
                            <w:r w:rsidRPr="00805079">
                              <w:rPr>
                                <w:rFonts w:cstheme="minorHAnsi"/>
                                <w:sz w:val="22"/>
                                <w:szCs w:val="22"/>
                              </w:rPr>
                              <w:t>CCBHC capa</w:t>
                            </w:r>
                            <w:r>
                              <w:rPr>
                                <w:rFonts w:cstheme="minorHAnsi"/>
                                <w:sz w:val="22"/>
                                <w:szCs w:val="22"/>
                              </w:rPr>
                              <w:t>city, such that there would be a CCBHC in every county.</w:t>
                            </w:r>
                            <w:r>
                              <w:rPr>
                                <w:rFonts w:cstheme="minorHAnsi"/>
                                <w:color w:val="000000" w:themeColor="text1"/>
                                <w:sz w:val="22"/>
                                <w:szCs w:val="22"/>
                              </w:rPr>
                              <w:t xml:space="preserve"> </w:t>
                            </w:r>
                            <w:r>
                              <w:rPr>
                                <w:rFonts w:cstheme="minorHAnsi"/>
                                <w:sz w:val="22"/>
                                <w:szCs w:val="22"/>
                              </w:rPr>
                              <w:t>In</w:t>
                            </w:r>
                            <w:r w:rsidRPr="00A613AD">
                              <w:rPr>
                                <w:rFonts w:cstheme="minorHAnsi"/>
                                <w:color w:val="000000" w:themeColor="text1"/>
                                <w:sz w:val="22"/>
                                <w:szCs w:val="22"/>
                              </w:rPr>
                              <w:t xml:space="preserve"> addition, other organizations could take on CCBHC roles and services and receive CCBHC funding</w:t>
                            </w:r>
                            <w:r>
                              <w:rPr>
                                <w:rFonts w:cstheme="minorHAnsi"/>
                                <w:color w:val="000000" w:themeColor="text1"/>
                                <w:sz w:val="22"/>
                                <w:szCs w:val="22"/>
                              </w:rPr>
                              <w:t xml:space="preserve">. </w:t>
                            </w:r>
                          </w:p>
                          <w:p w14:paraId="44563B93" w14:textId="77777777" w:rsidR="000A085D" w:rsidRDefault="000A085D" w:rsidP="000A085D">
                            <w:pPr>
                              <w:rPr>
                                <w:rFonts w:cstheme="minorHAnsi"/>
                                <w:color w:val="000000" w:themeColor="text1"/>
                                <w:sz w:val="22"/>
                                <w:szCs w:val="22"/>
                              </w:rPr>
                            </w:pPr>
                          </w:p>
                          <w:p w14:paraId="14BF6D7A" w14:textId="1DC949ED" w:rsidR="000A085D" w:rsidRDefault="00C233F0" w:rsidP="000A085D">
                            <w:pPr>
                              <w:rPr>
                                <w:rFonts w:cstheme="minorHAnsi"/>
                                <w:sz w:val="22"/>
                                <w:szCs w:val="22"/>
                              </w:rPr>
                            </w:pPr>
                            <w:r w:rsidRPr="009D5C5D">
                              <w:rPr>
                                <w:rFonts w:cstheme="minorHAnsi"/>
                                <w:sz w:val="22"/>
                                <w:szCs w:val="22"/>
                              </w:rPr>
                              <w:t xml:space="preserve">Greater communication and role clarity among CCOs, CCBHCs, and OHA is needed to ensure system-level coordination of effort and shared goals. CCBHCs present an opportunity to improve Oregon’s behavioral health system while supporting state equity goals and working to address disparities in care and health outcomes for some of Oregon’s most vulnerable populations, specifically those with </w:t>
                            </w:r>
                            <w:r>
                              <w:rPr>
                                <w:rFonts w:eastAsia="Calibri" w:cstheme="minorHAnsi"/>
                                <w:sz w:val="22"/>
                                <w:szCs w:val="22"/>
                              </w:rPr>
                              <w:t>serious behavioral health needs</w:t>
                            </w:r>
                            <w:r w:rsidRPr="009D5C5D">
                              <w:rPr>
                                <w:rFonts w:cstheme="minorHAnsi"/>
                                <w:sz w:val="22"/>
                                <w:szCs w:val="22"/>
                              </w:rPr>
                              <w:t xml:space="preserve">; however, evaluation findings suggest that further guidance and support from OHA is needed to center equity. </w:t>
                            </w:r>
                            <w:r w:rsidRPr="009D5C5D">
                              <w:rPr>
                                <w:rFonts w:cstheme="minorHAnsi"/>
                                <w:color w:val="000000" w:themeColor="text1"/>
                                <w:sz w:val="22"/>
                                <w:szCs w:val="22"/>
                              </w:rPr>
                              <w:t xml:space="preserve">CCBHCs could provide essential services in the behavioral health system in each Oregon county with OHA support and role clarification similar to that provided through OHA’s PCPCH program. </w:t>
                            </w:r>
                            <w:r w:rsidRPr="009D5C5D">
                              <w:rPr>
                                <w:rFonts w:cstheme="minorHAnsi"/>
                                <w:sz w:val="22"/>
                                <w:szCs w:val="22"/>
                              </w:rPr>
                              <w:t xml:space="preserve">Future development of CCBHCs may benefit from addressing how CCBHCs might be enhanced using the principles and promising practices of other delivery system innovations such as PCPCHs, </w:t>
                            </w:r>
                            <w:r w:rsidR="004E7CF5">
                              <w:rPr>
                                <w:rFonts w:ascii="Calibri" w:eastAsia="Calibri" w:hAnsi="Calibri" w:cs="Calibri"/>
                                <w:sz w:val="22"/>
                                <w:szCs w:val="22"/>
                              </w:rPr>
                              <w:t>Federally Qualified Health Center</w:t>
                            </w:r>
                            <w:r w:rsidR="004E7CF5">
                              <w:rPr>
                                <w:rFonts w:cstheme="minorHAnsi"/>
                                <w:sz w:val="22"/>
                                <w:szCs w:val="22"/>
                              </w:rPr>
                              <w:t>s (</w:t>
                            </w:r>
                            <w:r w:rsidRPr="009D5C5D">
                              <w:rPr>
                                <w:rFonts w:cstheme="minorHAnsi"/>
                                <w:sz w:val="22"/>
                                <w:szCs w:val="22"/>
                              </w:rPr>
                              <w:t>FQHC</w:t>
                            </w:r>
                            <w:r w:rsidR="004E7CF5">
                              <w:rPr>
                                <w:rFonts w:cstheme="minorHAnsi"/>
                                <w:sz w:val="22"/>
                                <w:szCs w:val="22"/>
                              </w:rPr>
                              <w:t>)</w:t>
                            </w:r>
                            <w:r w:rsidRPr="009D5C5D">
                              <w:rPr>
                                <w:rFonts w:cstheme="minorHAnsi"/>
                                <w:sz w:val="22"/>
                                <w:szCs w:val="22"/>
                              </w:rPr>
                              <w:t xml:space="preserve">, rural health centers, </w:t>
                            </w:r>
                            <w:r>
                              <w:rPr>
                                <w:rFonts w:cstheme="minorHAnsi"/>
                                <w:sz w:val="22"/>
                                <w:szCs w:val="22"/>
                              </w:rPr>
                              <w:t>and</w:t>
                            </w:r>
                            <w:r w:rsidRPr="009D5C5D">
                              <w:rPr>
                                <w:rFonts w:cstheme="minorHAnsi"/>
                                <w:sz w:val="22"/>
                                <w:szCs w:val="22"/>
                              </w:rPr>
                              <w:t xml:space="preserve"> CMHPs.</w:t>
                            </w:r>
                          </w:p>
                          <w:p w14:paraId="41D608F5" w14:textId="77777777" w:rsidR="00C233F0" w:rsidRDefault="00C233F0" w:rsidP="000A085D">
                            <w:pPr>
                              <w:rPr>
                                <w:rFonts w:cstheme="minorHAnsi"/>
                                <w:sz w:val="22"/>
                                <w:szCs w:val="22"/>
                              </w:rPr>
                            </w:pPr>
                          </w:p>
                          <w:p w14:paraId="5289E92A" w14:textId="5FD45E4E" w:rsidR="000A085D" w:rsidRPr="000A085D" w:rsidRDefault="000A085D" w:rsidP="000A085D">
                            <w:pPr>
                              <w:rPr>
                                <w:rFonts w:cstheme="minorHAnsi"/>
                                <w:sz w:val="22"/>
                              </w:rPr>
                            </w:pPr>
                            <w:r w:rsidRPr="000A085D">
                              <w:rPr>
                                <w:rFonts w:cstheme="minorHAnsi"/>
                                <w:b/>
                                <w:bCs/>
                                <w:color w:val="6A7F0F"/>
                              </w:rPr>
                              <w:t>Recommendation</w:t>
                            </w:r>
                            <w:r w:rsidRPr="000A085D">
                              <w:rPr>
                                <w:rFonts w:cstheme="minorHAnsi"/>
                                <w:color w:val="6A7F0F"/>
                              </w:rPr>
                              <w:t>:</w:t>
                            </w:r>
                            <w:r w:rsidRPr="000A085D">
                              <w:rPr>
                                <w:rFonts w:cstheme="minorHAnsi"/>
                                <w:color w:val="6A7F0F"/>
                                <w:sz w:val="22"/>
                                <w:szCs w:val="22"/>
                              </w:rPr>
                              <w:t xml:space="preserve"> </w:t>
                            </w:r>
                            <w:r w:rsidR="00C233F0" w:rsidRPr="009D5C5D">
                              <w:rPr>
                                <w:rFonts w:cstheme="minorHAnsi"/>
                                <w:color w:val="000000" w:themeColor="text1"/>
                                <w:sz w:val="22"/>
                                <w:szCs w:val="22"/>
                              </w:rPr>
                              <w:t>Expand the CCBHC program so that a CCBHC is located and supported in every Oregon county, to help ensure all Oregonians have access to essential behavioral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8A2BC" id="Text Box 31" o:spid="_x0000_s1040" type="#_x0000_t202" style="width:468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PNAIAAF8EAAAOAAAAZHJzL2Uyb0RvYy54bWysVNuO2jAQfa/Uf7D8XhKuC4iwoqyoKqHd&#10;ldhqn43jEEuOx7UNCf36jp1w0bZPVV/MjM8wl3PGWTw2lSInYZ0EndF+L6VEaA651IeM/njbfJlS&#10;4jzTOVOgRUbPwtHH5edPi9rMxQBKULmwBJNoN69NRkvvzTxJHC9FxVwPjNAIFmAr5tG1hyS3rMbs&#10;lUoGaTpJarC5scCFc3j71IJ0GfMXheD+pSic8ERlFHvz8bTx3IczWS7Y/GCZKSXv2mD/0EXFpMai&#10;11RPzDNytPKPVJXkFhwUvsehSqAoJBdxBpymn36YZlcyI+IsSI4zV5rc/0vLn08782qJb75CgwIG&#10;Qmrj5g4vwzxNYavwi50SxJHC85U20XjC8XI8Gw0nKUIcseF4MhjOpiFPcvu7sc5/E1CRYGTUoi6R&#10;LnbaOt+GXkJCNQ0bqVTURmlSY9ZpHwsEyIGSeUCjYw/7tbLkxFDeyephk266wndh2IbS2M1trGD5&#10;Zt8QmePIo8vMe8jPSIWFdkuc4RuJ7W6Z86/M4lrgiLjq/gWPQgG2BZ1FSQn219/uQzyqhSglNa5Z&#10;Rt3PI7OCEvVdo46z/mgU9jI6o/HDAB17j+zvEX2s1oCj9vFRGR7NEO/VxSwsVO/4IlahKkJMc6yd&#10;UX8x175dfnxRXKxWMQg30TC/1TvDQ+pAbBDjrXln1nSKeRT7GS4LyeYfhGtjW+lWRw+FjKoGoltW&#10;O/5xi+NedC8uPJN7P0bdvgvL3wAAAP//AwBQSwMEFAAGAAgAAAAhADhmvdLdAAAACgEAAA8AAABk&#10;cnMvZG93bnJldi54bWxMj81OwzAQhO9IvIO1SNyoXRARTeNU5acHDhxa6N2Nt0lEvI5sJ015ehYu&#10;cBlpNNrZ+YrV5DoxYoitJw3zmQKBVHnbUq3h431z8wAiJkPWdJ5QwxkjrMrLi8Lk1p9oi+Mu1YJL&#10;KOZGQ5NSn0sZqwadiTPfI3F29MGZxDbU0gZz4nLXyVulMulMS/yhMT0+NVh97ganAQc/ruuz/XrZ&#10;7NP+zXn1Gh6V1tdX0/OSZb0EkXBKfxfww8D7oeRhBz+QjaLTwDTpVzlb3GVsDxrus7kCWRbyP0L5&#10;DQAA//8DAFBLAQItABQABgAIAAAAIQC2gziS/gAAAOEBAAATAAAAAAAAAAAAAAAAAAAAAABbQ29u&#10;dGVudF9UeXBlc10ueG1sUEsBAi0AFAAGAAgAAAAhADj9If/WAAAAlAEAAAsAAAAAAAAAAAAAAAAA&#10;LwEAAF9yZWxzLy5yZWxzUEsBAi0AFAAGAAgAAAAhACKitk80AgAAXwQAAA4AAAAAAAAAAAAAAAAA&#10;LgIAAGRycy9lMm9Eb2MueG1sUEsBAi0AFAAGAAgAAAAhADhmvdLdAAAACgEAAA8AAAAAAAAAAAAA&#10;AAAAjgQAAGRycy9kb3ducmV2LnhtbFBLBQYAAAAABAAEAPMAAACYBQAAAAA=&#10;" filled="f" strokecolor="#6a7f0f" strokeweight="3pt">
                <v:textbox>
                  <w:txbxContent>
                    <w:p w14:paraId="34B369F5" w14:textId="087D0E6F" w:rsidR="00C233F0" w:rsidRDefault="00C233F0" w:rsidP="00C233F0">
                      <w:pPr>
                        <w:rPr>
                          <w:rFonts w:cstheme="minorHAnsi"/>
                          <w:color w:val="000000" w:themeColor="text1"/>
                          <w:sz w:val="22"/>
                          <w:szCs w:val="22"/>
                        </w:rPr>
                      </w:pPr>
                      <w:r>
                        <w:rPr>
                          <w:rFonts w:cstheme="minorHAnsi"/>
                          <w:sz w:val="22"/>
                          <w:szCs w:val="22"/>
                        </w:rPr>
                        <w:t>net behavioral health services</w:t>
                      </w:r>
                      <w:r w:rsidRPr="00805079">
                        <w:rPr>
                          <w:rFonts w:cstheme="minorHAnsi"/>
                          <w:sz w:val="22"/>
                          <w:szCs w:val="22"/>
                        </w:rPr>
                        <w:t xml:space="preserve">, </w:t>
                      </w:r>
                      <w:r>
                        <w:rPr>
                          <w:rFonts w:cstheme="minorHAnsi"/>
                          <w:sz w:val="22"/>
                          <w:szCs w:val="22"/>
                        </w:rPr>
                        <w:t xml:space="preserve">an effective strategy would be to </w:t>
                      </w:r>
                      <w:r w:rsidRPr="00805079">
                        <w:rPr>
                          <w:rFonts w:cstheme="minorHAnsi"/>
                          <w:color w:val="000000"/>
                          <w:sz w:val="22"/>
                          <w:szCs w:val="22"/>
                        </w:rPr>
                        <w:t>ensur</w:t>
                      </w:r>
                      <w:r>
                        <w:rPr>
                          <w:rFonts w:cstheme="minorHAnsi"/>
                          <w:color w:val="000000"/>
                          <w:sz w:val="22"/>
                          <w:szCs w:val="22"/>
                        </w:rPr>
                        <w:t>e</w:t>
                      </w:r>
                      <w:r w:rsidRPr="00805079">
                        <w:rPr>
                          <w:rFonts w:cstheme="minorHAnsi"/>
                          <w:color w:val="000000"/>
                          <w:sz w:val="22"/>
                          <w:szCs w:val="22"/>
                        </w:rPr>
                        <w:t xml:space="preserve"> that all CMHPs have</w:t>
                      </w:r>
                      <w:r>
                        <w:rPr>
                          <w:rFonts w:cstheme="minorHAnsi"/>
                          <w:color w:val="000000"/>
                          <w:sz w:val="22"/>
                          <w:szCs w:val="22"/>
                        </w:rPr>
                        <w:t xml:space="preserve"> </w:t>
                      </w:r>
                      <w:r w:rsidRPr="00805079">
                        <w:rPr>
                          <w:rFonts w:cstheme="minorHAnsi"/>
                          <w:sz w:val="22"/>
                          <w:szCs w:val="22"/>
                        </w:rPr>
                        <w:t>CCBHC capa</w:t>
                      </w:r>
                      <w:r>
                        <w:rPr>
                          <w:rFonts w:cstheme="minorHAnsi"/>
                          <w:sz w:val="22"/>
                          <w:szCs w:val="22"/>
                        </w:rPr>
                        <w:t>city, such that there would be a CCBHC in every county.</w:t>
                      </w:r>
                      <w:r>
                        <w:rPr>
                          <w:rFonts w:cstheme="minorHAnsi"/>
                          <w:color w:val="000000" w:themeColor="text1"/>
                          <w:sz w:val="22"/>
                          <w:szCs w:val="22"/>
                        </w:rPr>
                        <w:t xml:space="preserve"> </w:t>
                      </w:r>
                      <w:r>
                        <w:rPr>
                          <w:rFonts w:cstheme="minorHAnsi"/>
                          <w:sz w:val="22"/>
                          <w:szCs w:val="22"/>
                        </w:rPr>
                        <w:t>In</w:t>
                      </w:r>
                      <w:r w:rsidRPr="00A613AD">
                        <w:rPr>
                          <w:rFonts w:cstheme="minorHAnsi"/>
                          <w:color w:val="000000" w:themeColor="text1"/>
                          <w:sz w:val="22"/>
                          <w:szCs w:val="22"/>
                        </w:rPr>
                        <w:t xml:space="preserve"> addition, other organizations could take on CCBHC roles and services and receive CCBHC funding</w:t>
                      </w:r>
                      <w:r>
                        <w:rPr>
                          <w:rFonts w:cstheme="minorHAnsi"/>
                          <w:color w:val="000000" w:themeColor="text1"/>
                          <w:sz w:val="22"/>
                          <w:szCs w:val="22"/>
                        </w:rPr>
                        <w:t xml:space="preserve">. </w:t>
                      </w:r>
                    </w:p>
                    <w:p w14:paraId="44563B93" w14:textId="77777777" w:rsidR="000A085D" w:rsidRDefault="000A085D" w:rsidP="000A085D">
                      <w:pPr>
                        <w:rPr>
                          <w:rFonts w:cstheme="minorHAnsi"/>
                          <w:color w:val="000000" w:themeColor="text1"/>
                          <w:sz w:val="22"/>
                          <w:szCs w:val="22"/>
                        </w:rPr>
                      </w:pPr>
                    </w:p>
                    <w:p w14:paraId="14BF6D7A" w14:textId="1DC949ED" w:rsidR="000A085D" w:rsidRDefault="00C233F0" w:rsidP="000A085D">
                      <w:pPr>
                        <w:rPr>
                          <w:rFonts w:cstheme="minorHAnsi"/>
                          <w:sz w:val="22"/>
                          <w:szCs w:val="22"/>
                        </w:rPr>
                      </w:pPr>
                      <w:r w:rsidRPr="009D5C5D">
                        <w:rPr>
                          <w:rFonts w:cstheme="minorHAnsi"/>
                          <w:sz w:val="22"/>
                          <w:szCs w:val="22"/>
                        </w:rPr>
                        <w:t xml:space="preserve">Greater communication and role clarity among CCOs, CCBHCs, and OHA is needed to ensure system-level coordination of effort and shared goals. CCBHCs present an opportunity to improve Oregon’s behavioral health system while supporting state equity goals and working to address disparities in care and health outcomes for some of Oregon’s most vulnerable populations, specifically those with </w:t>
                      </w:r>
                      <w:r>
                        <w:rPr>
                          <w:rFonts w:eastAsia="Calibri" w:cstheme="minorHAnsi"/>
                          <w:sz w:val="22"/>
                          <w:szCs w:val="22"/>
                        </w:rPr>
                        <w:t>serious behavioral health needs</w:t>
                      </w:r>
                      <w:r w:rsidRPr="009D5C5D">
                        <w:rPr>
                          <w:rFonts w:cstheme="minorHAnsi"/>
                          <w:sz w:val="22"/>
                          <w:szCs w:val="22"/>
                        </w:rPr>
                        <w:t xml:space="preserve">; however, evaluation findings suggest that further guidance and support from OHA is needed to center equity. </w:t>
                      </w:r>
                      <w:r w:rsidRPr="009D5C5D">
                        <w:rPr>
                          <w:rFonts w:cstheme="minorHAnsi"/>
                          <w:color w:val="000000" w:themeColor="text1"/>
                          <w:sz w:val="22"/>
                          <w:szCs w:val="22"/>
                        </w:rPr>
                        <w:t xml:space="preserve">CCBHCs could provide essential services in the behavioral health system in each Oregon county with OHA support and role clarification similar to that provided through OHA’s PCPCH program. </w:t>
                      </w:r>
                      <w:r w:rsidRPr="009D5C5D">
                        <w:rPr>
                          <w:rFonts w:cstheme="minorHAnsi"/>
                          <w:sz w:val="22"/>
                          <w:szCs w:val="22"/>
                        </w:rPr>
                        <w:t xml:space="preserve">Future development of CCBHCs may benefit from addressing how CCBHCs might be enhanced using the principles and promising practices of other delivery system innovations such as PCPCHs, </w:t>
                      </w:r>
                      <w:r w:rsidR="004E7CF5">
                        <w:rPr>
                          <w:rFonts w:ascii="Calibri" w:eastAsia="Calibri" w:hAnsi="Calibri" w:cs="Calibri"/>
                          <w:sz w:val="22"/>
                          <w:szCs w:val="22"/>
                        </w:rPr>
                        <w:t>Federally Qualified Health Center</w:t>
                      </w:r>
                      <w:r w:rsidR="004E7CF5">
                        <w:rPr>
                          <w:rFonts w:cstheme="minorHAnsi"/>
                          <w:sz w:val="22"/>
                          <w:szCs w:val="22"/>
                        </w:rPr>
                        <w:t>s (</w:t>
                      </w:r>
                      <w:r w:rsidRPr="009D5C5D">
                        <w:rPr>
                          <w:rFonts w:cstheme="minorHAnsi"/>
                          <w:sz w:val="22"/>
                          <w:szCs w:val="22"/>
                        </w:rPr>
                        <w:t>FQHC</w:t>
                      </w:r>
                      <w:r w:rsidR="004E7CF5">
                        <w:rPr>
                          <w:rFonts w:cstheme="minorHAnsi"/>
                          <w:sz w:val="22"/>
                          <w:szCs w:val="22"/>
                        </w:rPr>
                        <w:t>)</w:t>
                      </w:r>
                      <w:r w:rsidRPr="009D5C5D">
                        <w:rPr>
                          <w:rFonts w:cstheme="minorHAnsi"/>
                          <w:sz w:val="22"/>
                          <w:szCs w:val="22"/>
                        </w:rPr>
                        <w:t xml:space="preserve">, rural health centers, </w:t>
                      </w:r>
                      <w:r>
                        <w:rPr>
                          <w:rFonts w:cstheme="minorHAnsi"/>
                          <w:sz w:val="22"/>
                          <w:szCs w:val="22"/>
                        </w:rPr>
                        <w:t>and</w:t>
                      </w:r>
                      <w:r w:rsidRPr="009D5C5D">
                        <w:rPr>
                          <w:rFonts w:cstheme="minorHAnsi"/>
                          <w:sz w:val="22"/>
                          <w:szCs w:val="22"/>
                        </w:rPr>
                        <w:t xml:space="preserve"> CMHPs.</w:t>
                      </w:r>
                    </w:p>
                    <w:p w14:paraId="41D608F5" w14:textId="77777777" w:rsidR="00C233F0" w:rsidRDefault="00C233F0" w:rsidP="000A085D">
                      <w:pPr>
                        <w:rPr>
                          <w:rFonts w:cstheme="minorHAnsi"/>
                          <w:sz w:val="22"/>
                          <w:szCs w:val="22"/>
                        </w:rPr>
                      </w:pPr>
                    </w:p>
                    <w:p w14:paraId="5289E92A" w14:textId="5FD45E4E" w:rsidR="000A085D" w:rsidRPr="000A085D" w:rsidRDefault="000A085D" w:rsidP="000A085D">
                      <w:pPr>
                        <w:rPr>
                          <w:rFonts w:cstheme="minorHAnsi"/>
                          <w:sz w:val="22"/>
                        </w:rPr>
                      </w:pPr>
                      <w:r w:rsidRPr="000A085D">
                        <w:rPr>
                          <w:rFonts w:cstheme="minorHAnsi"/>
                          <w:b/>
                          <w:bCs/>
                          <w:color w:val="6A7F0F"/>
                        </w:rPr>
                        <w:t>Recommendation</w:t>
                      </w:r>
                      <w:r w:rsidRPr="000A085D">
                        <w:rPr>
                          <w:rFonts w:cstheme="minorHAnsi"/>
                          <w:color w:val="6A7F0F"/>
                        </w:rPr>
                        <w:t>:</w:t>
                      </w:r>
                      <w:r w:rsidRPr="000A085D">
                        <w:rPr>
                          <w:rFonts w:cstheme="minorHAnsi"/>
                          <w:color w:val="6A7F0F"/>
                          <w:sz w:val="22"/>
                          <w:szCs w:val="22"/>
                        </w:rPr>
                        <w:t xml:space="preserve"> </w:t>
                      </w:r>
                      <w:r w:rsidR="00C233F0" w:rsidRPr="009D5C5D">
                        <w:rPr>
                          <w:rFonts w:cstheme="minorHAnsi"/>
                          <w:color w:val="000000" w:themeColor="text1"/>
                          <w:sz w:val="22"/>
                          <w:szCs w:val="22"/>
                        </w:rPr>
                        <w:t>Expand the CCBHC program so that a CCBHC is located and supported in every Oregon county, to help ensure all Oregonians have access to essential behavioral health services.</w:t>
                      </w:r>
                    </w:p>
                  </w:txbxContent>
                </v:textbox>
                <w10:anchorlock/>
              </v:shape>
            </w:pict>
          </mc:Fallback>
        </mc:AlternateContent>
      </w:r>
    </w:p>
    <w:p w14:paraId="07C4895D" w14:textId="77777777" w:rsidR="00F91A92" w:rsidRDefault="00F91A92" w:rsidP="00F91A92">
      <w:pPr>
        <w:pStyle w:val="Heading1"/>
        <w:spacing w:before="0" w:after="120"/>
        <w:rPr>
          <w:rFonts w:asciiTheme="minorHAnsi" w:hAnsiTheme="minorHAnsi" w:cstheme="minorHAnsi"/>
          <w:b/>
          <w:bCs/>
          <w:color w:val="6A7F0F"/>
          <w:sz w:val="40"/>
          <w:szCs w:val="40"/>
        </w:rPr>
      </w:pPr>
    </w:p>
    <w:p w14:paraId="781DDF55" w14:textId="65018E7F" w:rsidR="003C684B" w:rsidRPr="004247FE" w:rsidRDefault="00A32D37" w:rsidP="00F91A92">
      <w:pPr>
        <w:pStyle w:val="Heading1"/>
        <w:spacing w:before="0" w:after="120"/>
        <w:rPr>
          <w:rFonts w:asciiTheme="minorHAnsi" w:hAnsiTheme="minorHAnsi" w:cstheme="minorHAnsi"/>
          <w:b/>
          <w:bCs/>
          <w:color w:val="6A7F0F"/>
          <w:sz w:val="40"/>
          <w:szCs w:val="40"/>
        </w:rPr>
      </w:pPr>
      <w:bookmarkStart w:id="47" w:name="_Toc126068187"/>
      <w:r w:rsidRPr="004247FE">
        <w:rPr>
          <w:rFonts w:asciiTheme="minorHAnsi" w:hAnsiTheme="minorHAnsi" w:cstheme="minorHAnsi"/>
          <w:b/>
          <w:bCs/>
          <w:color w:val="6A7F0F"/>
          <w:sz w:val="40"/>
          <w:szCs w:val="40"/>
        </w:rPr>
        <w:t>Conclusions and Summary of Recommendations</w:t>
      </w:r>
      <w:bookmarkEnd w:id="47"/>
    </w:p>
    <w:p w14:paraId="1BF992BC" w14:textId="585F71F1" w:rsidR="0058670B" w:rsidRPr="0072001D" w:rsidRDefault="0058670B" w:rsidP="00CF6AF5">
      <w:pPr>
        <w:pStyle w:val="Heading2"/>
        <w:spacing w:before="120" w:after="120"/>
        <w:rPr>
          <w:rFonts w:asciiTheme="minorHAnsi" w:hAnsiTheme="minorHAnsi" w:cstheme="minorHAnsi"/>
          <w:b/>
          <w:bCs/>
          <w:color w:val="6A7F0F"/>
        </w:rPr>
      </w:pPr>
      <w:bookmarkStart w:id="48" w:name="_Toc126068188"/>
      <w:r w:rsidRPr="0072001D">
        <w:rPr>
          <w:rFonts w:asciiTheme="minorHAnsi" w:hAnsiTheme="minorHAnsi" w:cstheme="minorHAnsi"/>
          <w:b/>
          <w:bCs/>
          <w:color w:val="6A7F0F"/>
        </w:rPr>
        <w:t>Conclusions</w:t>
      </w:r>
      <w:bookmarkEnd w:id="48"/>
    </w:p>
    <w:p w14:paraId="3282EAA1" w14:textId="77777777" w:rsidR="00C233F0" w:rsidRDefault="00C233F0" w:rsidP="00C233F0">
      <w:pPr>
        <w:rPr>
          <w:rFonts w:cstheme="minorHAnsi"/>
          <w:bCs/>
          <w:color w:val="000000" w:themeColor="text1"/>
          <w:sz w:val="22"/>
          <w:szCs w:val="22"/>
        </w:rPr>
      </w:pPr>
      <w:r>
        <w:rPr>
          <w:rFonts w:cstheme="minorHAnsi"/>
          <w:sz w:val="22"/>
          <w:szCs w:val="22"/>
        </w:rPr>
        <w:t>The CCBHC model has the potential to support Oregon’s efforts in health systems reform and transformation by contributing to substantial improvements in the delivery of behavioral health</w:t>
      </w:r>
      <w:r w:rsidRPr="00D75904">
        <w:rPr>
          <w:rFonts w:cstheme="minorHAnsi"/>
          <w:sz w:val="22"/>
          <w:szCs w:val="22"/>
        </w:rPr>
        <w:t xml:space="preserve"> </w:t>
      </w:r>
      <w:r>
        <w:rPr>
          <w:rFonts w:cstheme="minorHAnsi"/>
          <w:sz w:val="22"/>
          <w:szCs w:val="22"/>
        </w:rPr>
        <w:t xml:space="preserve">across the state, including </w:t>
      </w:r>
      <w:r>
        <w:rPr>
          <w:rFonts w:eastAsia="Calibri" w:cstheme="minorHAnsi"/>
          <w:sz w:val="22"/>
          <w:szCs w:val="22"/>
        </w:rPr>
        <w:t>behavioral</w:t>
      </w:r>
      <w:r>
        <w:rPr>
          <w:rFonts w:cstheme="minorHAnsi"/>
          <w:sz w:val="22"/>
          <w:szCs w:val="22"/>
        </w:rPr>
        <w:t xml:space="preserve"> health and SUD treatment services. </w:t>
      </w:r>
      <w:r w:rsidRPr="0090675D">
        <w:rPr>
          <w:rFonts w:cstheme="minorHAnsi"/>
          <w:sz w:val="22"/>
          <w:szCs w:val="22"/>
        </w:rPr>
        <w:t>The Oregon CCBHC program increased access to behavioral health service</w:t>
      </w:r>
      <w:r>
        <w:rPr>
          <w:rFonts w:cstheme="minorHAnsi"/>
          <w:sz w:val="22"/>
          <w:szCs w:val="22"/>
        </w:rPr>
        <w:t>s</w:t>
      </w:r>
      <w:r w:rsidRPr="0090675D">
        <w:rPr>
          <w:rFonts w:cstheme="minorHAnsi"/>
          <w:sz w:val="22"/>
          <w:szCs w:val="22"/>
        </w:rPr>
        <w:t xml:space="preserve"> and enabled clinics to move toward providing </w:t>
      </w:r>
      <w:r>
        <w:rPr>
          <w:rFonts w:cstheme="minorHAnsi"/>
          <w:sz w:val="22"/>
          <w:szCs w:val="22"/>
        </w:rPr>
        <w:t xml:space="preserve">whole-person care, which integrates </w:t>
      </w:r>
      <w:r w:rsidRPr="0090675D">
        <w:rPr>
          <w:rFonts w:cstheme="minorHAnsi"/>
          <w:sz w:val="22"/>
          <w:szCs w:val="22"/>
        </w:rPr>
        <w:t>behavioral and physical health</w:t>
      </w:r>
      <w:r>
        <w:rPr>
          <w:rFonts w:cstheme="minorHAnsi"/>
          <w:sz w:val="22"/>
          <w:szCs w:val="22"/>
        </w:rPr>
        <w:t>care services</w:t>
      </w:r>
      <w:r w:rsidRPr="0090675D">
        <w:rPr>
          <w:rFonts w:cstheme="minorHAnsi"/>
          <w:sz w:val="22"/>
          <w:szCs w:val="22"/>
        </w:rPr>
        <w:t>.</w:t>
      </w:r>
      <w:r w:rsidRPr="00492DB6">
        <w:rPr>
          <w:rFonts w:cstheme="minorHAnsi"/>
          <w:b/>
          <w:bCs/>
          <w:color w:val="385623" w:themeColor="accent6" w:themeShade="80"/>
          <w:sz w:val="22"/>
          <w:szCs w:val="22"/>
        </w:rPr>
        <w:t xml:space="preserve"> </w:t>
      </w:r>
      <w:r w:rsidRPr="0090675D">
        <w:rPr>
          <w:rFonts w:cstheme="minorHAnsi"/>
          <w:bCs/>
          <w:color w:val="000000" w:themeColor="text1"/>
          <w:sz w:val="22"/>
          <w:szCs w:val="22"/>
        </w:rPr>
        <w:t xml:space="preserve">CCBHCs offer services that result in improved individual and community health outcomes but do not lower overall </w:t>
      </w:r>
      <w:r>
        <w:rPr>
          <w:rFonts w:cstheme="minorHAnsi"/>
          <w:bCs/>
          <w:color w:val="000000" w:themeColor="text1"/>
          <w:sz w:val="22"/>
          <w:szCs w:val="22"/>
        </w:rPr>
        <w:t>healthcare</w:t>
      </w:r>
      <w:r w:rsidRPr="0090675D">
        <w:rPr>
          <w:rFonts w:cstheme="minorHAnsi"/>
          <w:bCs/>
          <w:color w:val="000000" w:themeColor="text1"/>
          <w:sz w:val="22"/>
          <w:szCs w:val="22"/>
        </w:rPr>
        <w:t xml:space="preserve"> costs</w:t>
      </w:r>
      <w:r>
        <w:rPr>
          <w:rFonts w:cstheme="minorHAnsi"/>
          <w:bCs/>
          <w:color w:val="000000" w:themeColor="text1"/>
          <w:sz w:val="22"/>
          <w:szCs w:val="22"/>
        </w:rPr>
        <w:t xml:space="preserve"> for service users on OHP or any other payor. </w:t>
      </w:r>
      <w:r>
        <w:rPr>
          <w:rFonts w:cstheme="minorHAnsi"/>
          <w:sz w:val="22"/>
          <w:szCs w:val="22"/>
        </w:rPr>
        <w:t>While the CCBHC model may contribute to cost savings in the longer term, short term financial savings are limited as the provision of services is expanded to reach the substantial number of Oregonians who previously have not had access to comprehensive behavioral health services.</w:t>
      </w:r>
      <w:r>
        <w:rPr>
          <w:rFonts w:cstheme="minorHAnsi"/>
          <w:bCs/>
          <w:color w:val="000000" w:themeColor="text1"/>
          <w:sz w:val="22"/>
          <w:szCs w:val="22"/>
        </w:rPr>
        <w:t xml:space="preserve"> These increases in costs may be appropriate given the historic underinvestment in Oregon’s behavioral health system and the focus on expansion of access and services. </w:t>
      </w:r>
    </w:p>
    <w:p w14:paraId="636FFD26" w14:textId="77777777" w:rsidR="00C233F0" w:rsidRDefault="00C233F0" w:rsidP="00C233F0">
      <w:pPr>
        <w:autoSpaceDE w:val="0"/>
        <w:autoSpaceDN w:val="0"/>
        <w:adjustRightInd w:val="0"/>
        <w:rPr>
          <w:rFonts w:cstheme="minorHAnsi"/>
          <w:sz w:val="22"/>
          <w:szCs w:val="22"/>
        </w:rPr>
      </w:pPr>
    </w:p>
    <w:p w14:paraId="5A4F92C3" w14:textId="77777777" w:rsidR="00C233F0" w:rsidRDefault="00C233F0" w:rsidP="00C233F0">
      <w:pPr>
        <w:autoSpaceDE w:val="0"/>
        <w:autoSpaceDN w:val="0"/>
        <w:adjustRightInd w:val="0"/>
        <w:rPr>
          <w:rFonts w:cstheme="minorHAnsi"/>
          <w:sz w:val="22"/>
          <w:szCs w:val="22"/>
        </w:rPr>
      </w:pPr>
      <w:r>
        <w:rPr>
          <w:rFonts w:cstheme="minorHAnsi"/>
          <w:sz w:val="22"/>
          <w:szCs w:val="22"/>
        </w:rPr>
        <w:t>CCBHCs may hold promise in catalyzing a statewide cultural shift where behavioral health needs are viewed as central to individual well-being. CCBHCs could be the local community organizations where physical health and social services are integrated and coordinated, collectively working to ensure that all Oregonians have their behavioral health needs met and can thrive as engaged members of their communities. Given the role of CMHPs as the center of county-based safety net behavioral health services</w:t>
      </w:r>
      <w:r w:rsidRPr="00805079">
        <w:rPr>
          <w:rFonts w:cstheme="minorHAnsi"/>
          <w:sz w:val="22"/>
          <w:szCs w:val="22"/>
        </w:rPr>
        <w:t xml:space="preserve">, </w:t>
      </w:r>
      <w:r w:rsidRPr="00805079">
        <w:rPr>
          <w:rFonts w:cstheme="minorHAnsi"/>
          <w:color w:val="000000"/>
          <w:sz w:val="22"/>
          <w:szCs w:val="22"/>
        </w:rPr>
        <w:t>ensur</w:t>
      </w:r>
      <w:r>
        <w:rPr>
          <w:rFonts w:cstheme="minorHAnsi"/>
          <w:color w:val="000000"/>
          <w:sz w:val="22"/>
          <w:szCs w:val="22"/>
        </w:rPr>
        <w:t>ing</w:t>
      </w:r>
      <w:r w:rsidRPr="00805079">
        <w:rPr>
          <w:rFonts w:cstheme="minorHAnsi"/>
          <w:color w:val="000000"/>
          <w:sz w:val="22"/>
          <w:szCs w:val="22"/>
        </w:rPr>
        <w:t xml:space="preserve"> that all CMHPs have</w:t>
      </w:r>
      <w:r>
        <w:rPr>
          <w:rFonts w:cstheme="minorHAnsi"/>
          <w:color w:val="000000"/>
          <w:sz w:val="22"/>
          <w:szCs w:val="22"/>
        </w:rPr>
        <w:t xml:space="preserve"> </w:t>
      </w:r>
      <w:r w:rsidRPr="00805079">
        <w:rPr>
          <w:rFonts w:cstheme="minorHAnsi"/>
          <w:sz w:val="22"/>
          <w:szCs w:val="22"/>
        </w:rPr>
        <w:t>CCBHC capabilities</w:t>
      </w:r>
      <w:r>
        <w:rPr>
          <w:rFonts w:cstheme="minorHAnsi"/>
          <w:sz w:val="22"/>
          <w:szCs w:val="22"/>
        </w:rPr>
        <w:t>, such that there would be a CCBHC in every county,</w:t>
      </w:r>
      <w:r w:rsidRPr="00805079">
        <w:rPr>
          <w:rFonts w:cstheme="minorHAnsi"/>
          <w:sz w:val="22"/>
          <w:szCs w:val="22"/>
        </w:rPr>
        <w:t xml:space="preserve"> </w:t>
      </w:r>
      <w:r>
        <w:rPr>
          <w:rFonts w:cstheme="minorHAnsi"/>
          <w:sz w:val="22"/>
          <w:szCs w:val="22"/>
        </w:rPr>
        <w:t>may present a practical path going forward so</w:t>
      </w:r>
      <w:r w:rsidRPr="00805079">
        <w:rPr>
          <w:rFonts w:cstheme="minorHAnsi"/>
          <w:sz w:val="22"/>
          <w:szCs w:val="22"/>
        </w:rPr>
        <w:t xml:space="preserve"> that each county is</w:t>
      </w:r>
      <w:r>
        <w:rPr>
          <w:rFonts w:cstheme="minorHAnsi"/>
          <w:sz w:val="22"/>
          <w:szCs w:val="22"/>
        </w:rPr>
        <w:t xml:space="preserve"> prepared to serve all of its residents. This could</w:t>
      </w:r>
      <w:r w:rsidRPr="007456F8">
        <w:rPr>
          <w:rFonts w:cstheme="minorHAnsi"/>
          <w:sz w:val="22"/>
          <w:szCs w:val="22"/>
        </w:rPr>
        <w:t xml:space="preserve"> </w:t>
      </w:r>
      <w:r>
        <w:rPr>
          <w:rFonts w:cstheme="minorHAnsi"/>
          <w:sz w:val="22"/>
          <w:szCs w:val="22"/>
        </w:rPr>
        <w:t>greatly expand access to needed behavioral health services for Oregon residents.</w:t>
      </w:r>
    </w:p>
    <w:p w14:paraId="39BE3BA0" w14:textId="77777777" w:rsidR="00C233F0" w:rsidRDefault="00C233F0" w:rsidP="00C233F0">
      <w:pPr>
        <w:autoSpaceDE w:val="0"/>
        <w:autoSpaceDN w:val="0"/>
        <w:adjustRightInd w:val="0"/>
        <w:rPr>
          <w:rFonts w:cstheme="minorHAnsi"/>
          <w:sz w:val="22"/>
          <w:szCs w:val="22"/>
        </w:rPr>
      </w:pPr>
    </w:p>
    <w:p w14:paraId="52023B78" w14:textId="77777777" w:rsidR="00C233F0" w:rsidRDefault="00C233F0" w:rsidP="00C233F0">
      <w:pPr>
        <w:autoSpaceDE w:val="0"/>
        <w:autoSpaceDN w:val="0"/>
        <w:adjustRightInd w:val="0"/>
        <w:rPr>
          <w:rFonts w:cstheme="minorHAnsi"/>
          <w:sz w:val="22"/>
          <w:szCs w:val="22"/>
        </w:rPr>
      </w:pPr>
      <w:r>
        <w:rPr>
          <w:rFonts w:cstheme="minorHAnsi"/>
          <w:sz w:val="22"/>
          <w:szCs w:val="22"/>
        </w:rPr>
        <w:t xml:space="preserve">CCBHCs have made important contributions in their communities, despite the limited awareness of their CCBHC status among local CBOs and community members. CCBHCs need practical technical assistance and training, ideally learning from and with other CCBHCs, on </w:t>
      </w:r>
      <w:r w:rsidRPr="007E6B81">
        <w:rPr>
          <w:rFonts w:cstheme="minorHAnsi"/>
          <w:sz w:val="22"/>
          <w:szCs w:val="22"/>
        </w:rPr>
        <w:t xml:space="preserve">how to identify and collaborate with relevant CBOs, community leaders, and service users </w:t>
      </w:r>
      <w:r>
        <w:rPr>
          <w:rFonts w:cstheme="minorHAnsi"/>
          <w:sz w:val="22"/>
          <w:szCs w:val="22"/>
        </w:rPr>
        <w:t xml:space="preserve">in order </w:t>
      </w:r>
      <w:r w:rsidRPr="007E6B81">
        <w:rPr>
          <w:rFonts w:cstheme="minorHAnsi"/>
          <w:sz w:val="22"/>
          <w:szCs w:val="22"/>
        </w:rPr>
        <w:t xml:space="preserve">to better understand service gaps in their communities </w:t>
      </w:r>
      <w:r>
        <w:rPr>
          <w:rFonts w:cstheme="minorHAnsi"/>
          <w:sz w:val="22"/>
          <w:szCs w:val="22"/>
        </w:rPr>
        <w:t xml:space="preserve">and </w:t>
      </w:r>
      <w:r w:rsidRPr="007E6B81">
        <w:rPr>
          <w:rFonts w:cstheme="minorHAnsi"/>
          <w:sz w:val="22"/>
          <w:szCs w:val="22"/>
        </w:rPr>
        <w:t>develop culturally and linguistically responsive outreach and services</w:t>
      </w:r>
      <w:r>
        <w:rPr>
          <w:rFonts w:cstheme="minorHAnsi"/>
          <w:sz w:val="22"/>
          <w:szCs w:val="22"/>
        </w:rPr>
        <w:t xml:space="preserve">. CCBHCs will benefit from further clarification and guidance on how to best work toward achieving Oregon’s equity goals and translating state-level priorities into the realities of their local communities. </w:t>
      </w:r>
    </w:p>
    <w:p w14:paraId="3AB05C56" w14:textId="77777777" w:rsidR="00C233F0" w:rsidRDefault="00C233F0" w:rsidP="00C233F0">
      <w:pPr>
        <w:autoSpaceDE w:val="0"/>
        <w:autoSpaceDN w:val="0"/>
        <w:adjustRightInd w:val="0"/>
        <w:rPr>
          <w:rFonts w:cstheme="minorHAnsi"/>
          <w:sz w:val="22"/>
          <w:szCs w:val="22"/>
        </w:rPr>
      </w:pPr>
    </w:p>
    <w:p w14:paraId="1AD31EBE" w14:textId="77777777" w:rsidR="00C233F0" w:rsidRPr="003F6306" w:rsidRDefault="00C233F0" w:rsidP="00C233F0">
      <w:pPr>
        <w:rPr>
          <w:sz w:val="22"/>
          <w:szCs w:val="22"/>
        </w:rPr>
      </w:pPr>
      <w:r>
        <w:rPr>
          <w:rFonts w:cstheme="minorHAnsi"/>
          <w:sz w:val="22"/>
          <w:szCs w:val="22"/>
        </w:rPr>
        <w:t xml:space="preserve">While Oregon’s directive that CCBHCs offer primary care integration is important, this requirement must offer some level of flexibility to account for varying population sizes, service user preferences, and </w:t>
      </w:r>
      <w:r w:rsidRPr="001115FE">
        <w:rPr>
          <w:rFonts w:cstheme="minorHAnsi"/>
          <w:sz w:val="22"/>
          <w:szCs w:val="22"/>
        </w:rPr>
        <w:t xml:space="preserve">workforce availability at the local context. </w:t>
      </w:r>
      <w:r w:rsidRPr="001115FE">
        <w:rPr>
          <w:rFonts w:cstheme="minorHAnsi"/>
          <w:color w:val="000000" w:themeColor="text1"/>
          <w:sz w:val="22"/>
          <w:szCs w:val="22"/>
        </w:rPr>
        <w:t xml:space="preserve">Future </w:t>
      </w:r>
      <w:r w:rsidRPr="001115FE">
        <w:rPr>
          <w:rFonts w:cstheme="minorHAnsi"/>
          <w:bCs/>
          <w:color w:val="000000" w:themeColor="text1"/>
          <w:sz w:val="22"/>
          <w:szCs w:val="22"/>
        </w:rPr>
        <w:t>CCBHC sustainability/expansion</w:t>
      </w:r>
      <w:r w:rsidRPr="001115FE">
        <w:rPr>
          <w:rFonts w:cstheme="minorHAnsi"/>
          <w:sz w:val="22"/>
          <w:szCs w:val="22"/>
        </w:rPr>
        <w:t xml:space="preserve"> efforts </w:t>
      </w:r>
      <w:r>
        <w:rPr>
          <w:rFonts w:cstheme="minorHAnsi"/>
          <w:sz w:val="22"/>
          <w:szCs w:val="22"/>
        </w:rPr>
        <w:t>ideally will</w:t>
      </w:r>
      <w:r w:rsidRPr="001115FE">
        <w:rPr>
          <w:rFonts w:cstheme="minorHAnsi"/>
          <w:sz w:val="22"/>
          <w:szCs w:val="22"/>
        </w:rPr>
        <w:t xml:space="preserve"> include extensive technical assistance from OHA to support CCBHCs </w:t>
      </w:r>
      <w:r>
        <w:rPr>
          <w:sz w:val="22"/>
          <w:szCs w:val="22"/>
        </w:rPr>
        <w:t>to</w:t>
      </w:r>
      <w:r w:rsidRPr="003F6306">
        <w:rPr>
          <w:sz w:val="22"/>
          <w:szCs w:val="22"/>
        </w:rPr>
        <w:t xml:space="preserve"> provid</w:t>
      </w:r>
      <w:r>
        <w:rPr>
          <w:sz w:val="22"/>
          <w:szCs w:val="22"/>
        </w:rPr>
        <w:t>e</w:t>
      </w:r>
      <w:r w:rsidRPr="003F6306">
        <w:rPr>
          <w:sz w:val="22"/>
          <w:szCs w:val="22"/>
        </w:rPr>
        <w:t xml:space="preserve"> high-quality </w:t>
      </w:r>
      <w:r>
        <w:rPr>
          <w:sz w:val="22"/>
          <w:szCs w:val="22"/>
        </w:rPr>
        <w:t xml:space="preserve">coordinated </w:t>
      </w:r>
      <w:r w:rsidRPr="003F6306">
        <w:rPr>
          <w:sz w:val="22"/>
          <w:szCs w:val="22"/>
        </w:rPr>
        <w:t>care</w:t>
      </w:r>
      <w:r>
        <w:rPr>
          <w:sz w:val="22"/>
          <w:szCs w:val="22"/>
        </w:rPr>
        <w:t xml:space="preserve">, </w:t>
      </w:r>
      <w:r>
        <w:rPr>
          <w:rFonts w:cstheme="minorHAnsi"/>
          <w:sz w:val="22"/>
          <w:szCs w:val="22"/>
        </w:rPr>
        <w:t xml:space="preserve">increasing access to services, enhancing their scope of services, and centering equity in their work. </w:t>
      </w:r>
    </w:p>
    <w:p w14:paraId="304F2E26" w14:textId="77777777" w:rsidR="00C233F0" w:rsidRDefault="00C233F0" w:rsidP="00C233F0">
      <w:pPr>
        <w:autoSpaceDE w:val="0"/>
        <w:autoSpaceDN w:val="0"/>
        <w:adjustRightInd w:val="0"/>
        <w:rPr>
          <w:rFonts w:cstheme="minorHAnsi"/>
          <w:sz w:val="22"/>
          <w:szCs w:val="22"/>
        </w:rPr>
      </w:pPr>
    </w:p>
    <w:p w14:paraId="68AA3A73" w14:textId="77777777" w:rsidR="00C233F0" w:rsidRPr="0043136F" w:rsidRDefault="00C233F0" w:rsidP="00C233F0">
      <w:pPr>
        <w:rPr>
          <w:rFonts w:cstheme="minorHAnsi"/>
          <w:color w:val="000000" w:themeColor="text1"/>
          <w:sz w:val="22"/>
          <w:szCs w:val="22"/>
        </w:rPr>
      </w:pPr>
      <w:r>
        <w:rPr>
          <w:rFonts w:cstheme="minorHAnsi"/>
          <w:sz w:val="22"/>
          <w:szCs w:val="22"/>
        </w:rPr>
        <w:t xml:space="preserve">In order to promote successful expansion of Oregon’s CCBHC program, additional support from the state legislature and from OHA is needed to strengthen CCBHC effectiveness and sustainability and ensure a strong and diverse behavioral health workforce, particularly as CCBHCs continue to bridge existing gaps </w:t>
      </w:r>
      <w:r w:rsidRPr="0043136F">
        <w:rPr>
          <w:rFonts w:cstheme="minorHAnsi"/>
          <w:color w:val="000000" w:themeColor="text1"/>
          <w:sz w:val="22"/>
          <w:szCs w:val="22"/>
        </w:rPr>
        <w:t xml:space="preserve">in the provision of services for non-OHP members. </w:t>
      </w:r>
    </w:p>
    <w:p w14:paraId="65913507" w14:textId="77777777" w:rsidR="00C233F0" w:rsidRPr="0043136F" w:rsidRDefault="00C233F0" w:rsidP="00C233F0">
      <w:pPr>
        <w:rPr>
          <w:rFonts w:cstheme="minorHAnsi"/>
          <w:color w:val="000000" w:themeColor="text1"/>
          <w:sz w:val="22"/>
          <w:szCs w:val="22"/>
        </w:rPr>
      </w:pPr>
    </w:p>
    <w:p w14:paraId="0EAC32ED" w14:textId="1470C1F8" w:rsidR="00C233F0" w:rsidRDefault="00C233F0" w:rsidP="00C233F0">
      <w:pPr>
        <w:rPr>
          <w:rFonts w:cstheme="minorHAnsi"/>
          <w:sz w:val="22"/>
          <w:szCs w:val="22"/>
        </w:rPr>
      </w:pPr>
      <w:r w:rsidRPr="0043136F">
        <w:rPr>
          <w:rFonts w:cstheme="minorHAnsi"/>
          <w:color w:val="000000" w:themeColor="text1"/>
          <w:sz w:val="22"/>
          <w:szCs w:val="22"/>
        </w:rPr>
        <w:t xml:space="preserve">CCBHCs have contributed to widespread increases in access to behavioral health services; continued financial investment is necessary to move Oregon’s behavioral health system into the future. This is increasingly relevant given the 2020 approval of Measure 110, the Drug Addiction Treatment </w:t>
      </w:r>
      <w:r w:rsidR="009810F5">
        <w:rPr>
          <w:rFonts w:cstheme="minorHAnsi"/>
          <w:color w:val="000000" w:themeColor="text1"/>
          <w:sz w:val="22"/>
          <w:szCs w:val="22"/>
        </w:rPr>
        <w:t>and Recovery Act</w:t>
      </w:r>
      <w:r w:rsidRPr="0043136F">
        <w:rPr>
          <w:rFonts w:cstheme="minorHAnsi"/>
          <w:color w:val="000000" w:themeColor="text1"/>
          <w:sz w:val="22"/>
          <w:szCs w:val="22"/>
        </w:rPr>
        <w:t xml:space="preserve">, </w:t>
      </w:r>
      <w:r>
        <w:rPr>
          <w:rFonts w:cstheme="minorHAnsi"/>
          <w:color w:val="000000" w:themeColor="text1"/>
          <w:sz w:val="22"/>
          <w:szCs w:val="22"/>
        </w:rPr>
        <w:t xml:space="preserve">which over time may </w:t>
      </w:r>
      <w:r w:rsidRPr="0043136F">
        <w:rPr>
          <w:rFonts w:cstheme="minorHAnsi"/>
          <w:sz w:val="22"/>
          <w:szCs w:val="22"/>
        </w:rPr>
        <w:t>increase the number of Oregonians seeking community-based services for substance use disorder</w:t>
      </w:r>
      <w:r>
        <w:rPr>
          <w:rFonts w:cstheme="minorHAnsi"/>
          <w:sz w:val="22"/>
          <w:szCs w:val="22"/>
        </w:rPr>
        <w:t xml:space="preserve">, and the recent approval </w:t>
      </w:r>
      <w:r w:rsidRPr="001B3D61">
        <w:rPr>
          <w:rFonts w:cstheme="minorHAnsi"/>
          <w:sz w:val="22"/>
          <w:szCs w:val="22"/>
        </w:rPr>
        <w:t xml:space="preserve">of Oregon Measure 111, which </w:t>
      </w:r>
      <w:r>
        <w:rPr>
          <w:rFonts w:cstheme="minorHAnsi"/>
          <w:sz w:val="22"/>
          <w:szCs w:val="22"/>
        </w:rPr>
        <w:t>a</w:t>
      </w:r>
      <w:r w:rsidRPr="001B3D61">
        <w:rPr>
          <w:rFonts w:cstheme="minorHAnsi"/>
          <w:sz w:val="22"/>
          <w:szCs w:val="22"/>
        </w:rPr>
        <w:t>mends the Oregon Constitution to require the state to ensure that every resident has access to affordable health care as a fundamental right.</w:t>
      </w:r>
    </w:p>
    <w:p w14:paraId="7F2A585B" w14:textId="77777777" w:rsidR="00C233F0" w:rsidRDefault="00C233F0" w:rsidP="00C233F0">
      <w:pPr>
        <w:rPr>
          <w:rFonts w:cstheme="minorHAnsi"/>
          <w:sz w:val="22"/>
          <w:szCs w:val="22"/>
        </w:rPr>
      </w:pPr>
    </w:p>
    <w:p w14:paraId="036DD178" w14:textId="474FF2E3" w:rsidR="0079422B" w:rsidRPr="0072001D" w:rsidRDefault="00C233F0" w:rsidP="00C233F0">
      <w:pPr>
        <w:rPr>
          <w:rFonts w:cstheme="minorHAnsi"/>
          <w:sz w:val="22"/>
          <w:szCs w:val="22"/>
        </w:rPr>
      </w:pPr>
      <w:r>
        <w:rPr>
          <w:rFonts w:cstheme="minorHAnsi"/>
          <w:sz w:val="22"/>
          <w:szCs w:val="22"/>
        </w:rPr>
        <w:t xml:space="preserve">This evaluation was conducted in a relatively short period of time, and provides a point-in-time assessment of the CCBHC program. Continued systematic </w:t>
      </w:r>
      <w:r w:rsidR="009B5182">
        <w:rPr>
          <w:rFonts w:cstheme="minorHAnsi"/>
          <w:sz w:val="22"/>
          <w:szCs w:val="22"/>
        </w:rPr>
        <w:t>program monitoring</w:t>
      </w:r>
      <w:r>
        <w:rPr>
          <w:rFonts w:cstheme="minorHAnsi"/>
          <w:sz w:val="22"/>
          <w:szCs w:val="22"/>
        </w:rPr>
        <w:t xml:space="preserve">, perhaps with annual reporting as well as </w:t>
      </w:r>
      <w:r w:rsidR="009B5182">
        <w:rPr>
          <w:rFonts w:cstheme="minorHAnsi"/>
          <w:sz w:val="22"/>
          <w:szCs w:val="22"/>
        </w:rPr>
        <w:t>a robust evaluation every two years</w:t>
      </w:r>
      <w:r>
        <w:rPr>
          <w:rFonts w:cstheme="minorHAnsi"/>
          <w:sz w:val="22"/>
          <w:szCs w:val="22"/>
        </w:rPr>
        <w:t xml:space="preserve">, would assist the Oregon Legislature and the Oregon Health Authority in understanding the evolution of the CCBHC program, its impact on community health outcomes, and its role in the transformation of </w:t>
      </w:r>
      <w:r w:rsidRPr="001348E6">
        <w:rPr>
          <w:rFonts w:cstheme="minorHAnsi"/>
          <w:sz w:val="22"/>
          <w:szCs w:val="22"/>
        </w:rPr>
        <w:t xml:space="preserve">behavioral health in Oregon. </w:t>
      </w:r>
      <w:r>
        <w:rPr>
          <w:rFonts w:cstheme="minorHAnsi"/>
          <w:sz w:val="22"/>
          <w:szCs w:val="22"/>
        </w:rPr>
        <w:t>Ongoing evaluation should include both quantitative findings, recognizing limitations in the data systems available, and qualitative participatory insights that reflect the experiences of service users, advocates, community members, CCBHC leaders</w:t>
      </w:r>
      <w:r w:rsidR="009B5182">
        <w:rPr>
          <w:rFonts w:cstheme="minorHAnsi"/>
          <w:sz w:val="22"/>
          <w:szCs w:val="22"/>
        </w:rPr>
        <w:t>, and key interested parties</w:t>
      </w:r>
      <w:r>
        <w:rPr>
          <w:rFonts w:cstheme="minorHAnsi"/>
          <w:sz w:val="22"/>
          <w:szCs w:val="22"/>
        </w:rPr>
        <w:t xml:space="preserve">. Regular data-driven, systematically assembled reports on CCBHC performance will be </w:t>
      </w:r>
      <w:r w:rsidRPr="001348E6">
        <w:rPr>
          <w:rFonts w:cstheme="minorHAnsi"/>
          <w:sz w:val="22"/>
          <w:szCs w:val="22"/>
        </w:rPr>
        <w:t xml:space="preserve">particularly important given the anticipated attention to behavioral health in the 2023 Legislative </w:t>
      </w:r>
      <w:r w:rsidRPr="0072001D">
        <w:rPr>
          <w:rFonts w:cstheme="minorHAnsi"/>
          <w:sz w:val="22"/>
          <w:szCs w:val="22"/>
        </w:rPr>
        <w:t>Session.</w:t>
      </w:r>
    </w:p>
    <w:p w14:paraId="0CAA023F" w14:textId="77777777" w:rsidR="00C233F0" w:rsidRPr="0072001D" w:rsidRDefault="00C233F0" w:rsidP="00C233F0">
      <w:pPr>
        <w:rPr>
          <w:rFonts w:cstheme="minorHAnsi"/>
          <w:sz w:val="22"/>
          <w:szCs w:val="22"/>
        </w:rPr>
      </w:pPr>
    </w:p>
    <w:p w14:paraId="296913AB" w14:textId="643EFBAF" w:rsidR="006C3F9D" w:rsidRDefault="0079422B" w:rsidP="006C3F9D">
      <w:pPr>
        <w:rPr>
          <w:rFonts w:cstheme="minorHAnsi"/>
          <w:color w:val="000000" w:themeColor="text1"/>
          <w:sz w:val="22"/>
          <w:szCs w:val="22"/>
        </w:rPr>
      </w:pPr>
      <w:r w:rsidRPr="0072001D">
        <w:rPr>
          <w:rFonts w:cstheme="minorHAnsi"/>
          <w:b/>
          <w:bCs/>
          <w:color w:val="6A7F0F"/>
          <w:sz w:val="22"/>
          <w:szCs w:val="22"/>
        </w:rPr>
        <w:t>Recommendation</w:t>
      </w:r>
      <w:r w:rsidRPr="0072001D">
        <w:rPr>
          <w:rFonts w:cstheme="minorHAnsi"/>
          <w:color w:val="6A7F0F"/>
          <w:sz w:val="22"/>
          <w:szCs w:val="22"/>
        </w:rPr>
        <w:t xml:space="preserve">: </w:t>
      </w:r>
      <w:r w:rsidR="00C233F0" w:rsidRPr="0072001D">
        <w:rPr>
          <w:rFonts w:cstheme="minorHAnsi"/>
          <w:color w:val="000000" w:themeColor="text1"/>
          <w:sz w:val="22"/>
          <w:szCs w:val="22"/>
        </w:rPr>
        <w:t>Continue to evaluate the CCBHC program operations and performance, potentially using community-centered participatory approaches to engage community members, service users, and advocates.</w:t>
      </w:r>
    </w:p>
    <w:p w14:paraId="5F4A5A64" w14:textId="77777777" w:rsidR="00310852" w:rsidRPr="0072001D" w:rsidRDefault="00310852" w:rsidP="006C3F9D">
      <w:pPr>
        <w:rPr>
          <w:rFonts w:cstheme="minorHAnsi"/>
          <w:color w:val="000000" w:themeColor="text1"/>
          <w:sz w:val="22"/>
          <w:szCs w:val="22"/>
        </w:rPr>
      </w:pPr>
    </w:p>
    <w:p w14:paraId="3C2CACE3" w14:textId="77777777" w:rsidR="0070568A" w:rsidRDefault="0070568A" w:rsidP="006C3F9D">
      <w:pPr>
        <w:rPr>
          <w:rFonts w:cstheme="minorHAnsi"/>
          <w:color w:val="000000" w:themeColor="text1"/>
          <w:sz w:val="22"/>
          <w:szCs w:val="22"/>
        </w:rPr>
      </w:pPr>
    </w:p>
    <w:p w14:paraId="71B9CE43" w14:textId="0533D71E" w:rsidR="006C3F9D" w:rsidRDefault="006C3F9D" w:rsidP="008854FA">
      <w:pPr>
        <w:pStyle w:val="Heading2"/>
        <w:spacing w:after="120"/>
        <w:rPr>
          <w:rFonts w:asciiTheme="minorHAnsi" w:hAnsiTheme="minorHAnsi" w:cstheme="minorHAnsi"/>
          <w:b/>
          <w:bCs/>
          <w:color w:val="6A7F0F"/>
        </w:rPr>
      </w:pPr>
      <w:bookmarkStart w:id="49" w:name="_Toc126068189"/>
      <w:r w:rsidRPr="0072001D">
        <w:rPr>
          <w:rFonts w:asciiTheme="minorHAnsi" w:hAnsiTheme="minorHAnsi" w:cstheme="minorHAnsi"/>
          <w:b/>
          <w:bCs/>
          <w:color w:val="6A7F0F"/>
        </w:rPr>
        <w:t>Summary of Recommendations</w:t>
      </w:r>
      <w:bookmarkEnd w:id="49"/>
    </w:p>
    <w:p w14:paraId="24C76795" w14:textId="5A1A7272" w:rsidR="0009319E" w:rsidRPr="0009319E" w:rsidRDefault="0009319E" w:rsidP="0009319E">
      <w:pPr>
        <w:rPr>
          <w:sz w:val="22"/>
          <w:szCs w:val="22"/>
        </w:rPr>
      </w:pPr>
      <w:r w:rsidRPr="0009319E">
        <w:rPr>
          <w:sz w:val="22"/>
          <w:szCs w:val="22"/>
        </w:rPr>
        <w:t xml:space="preserve">The following are the recommendations made in this report to the Oregon Legislature and the Oregon Health Authority to advance the CCBHC program as part of improving Oregon’s behavioral health system: </w:t>
      </w:r>
    </w:p>
    <w:p w14:paraId="1F2B6050" w14:textId="77777777"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Develop strategies to ensure sustainable CCBHC funding while redirecting the focus of behavioral health from an emphasis on cost savings to provision of equitable, quality care to all Oregonians.</w:t>
      </w:r>
    </w:p>
    <w:p w14:paraId="5E1AA032" w14:textId="77777777" w:rsidR="0009319E" w:rsidRPr="0009319E" w:rsidRDefault="0009319E">
      <w:pPr>
        <w:pStyle w:val="ListParagraph"/>
        <w:numPr>
          <w:ilvl w:val="0"/>
          <w:numId w:val="11"/>
        </w:numPr>
        <w:contextualSpacing w:val="0"/>
        <w:rPr>
          <w:color w:val="000000" w:themeColor="text1"/>
          <w:sz w:val="22"/>
        </w:rPr>
      </w:pPr>
      <w:r w:rsidRPr="0009319E">
        <w:rPr>
          <w:rFonts w:cstheme="minorHAnsi"/>
          <w:color w:val="000000" w:themeColor="text1"/>
          <w:sz w:val="22"/>
          <w:szCs w:val="22"/>
        </w:rPr>
        <w:t>Expand the CCBHC program so that a CCBHC is located and supported in every Oregon county, to help ensure all Oregonians have access to essential behavioral health services.</w:t>
      </w:r>
    </w:p>
    <w:p w14:paraId="3E8094C7" w14:textId="77777777" w:rsidR="0009319E" w:rsidRPr="0009319E" w:rsidRDefault="0009319E">
      <w:pPr>
        <w:pStyle w:val="ListParagraph"/>
        <w:numPr>
          <w:ilvl w:val="0"/>
          <w:numId w:val="11"/>
        </w:numPr>
        <w:tabs>
          <w:tab w:val="left" w:pos="1170"/>
        </w:tabs>
        <w:contextualSpacing w:val="0"/>
        <w:rPr>
          <w:rFonts w:cstheme="minorHAnsi"/>
          <w:color w:val="000000" w:themeColor="text1"/>
          <w:sz w:val="22"/>
          <w:szCs w:val="22"/>
        </w:rPr>
      </w:pPr>
      <w:r w:rsidRPr="0009319E">
        <w:rPr>
          <w:rFonts w:cstheme="minorHAnsi"/>
          <w:color w:val="000000" w:themeColor="text1"/>
          <w:sz w:val="22"/>
          <w:szCs w:val="22"/>
        </w:rPr>
        <w:t xml:space="preserve">Establish clearer standards for primary and behavioral care coordination and integration that </w:t>
      </w:r>
      <w:r w:rsidRPr="0009319E">
        <w:rPr>
          <w:color w:val="000000" w:themeColor="text1"/>
          <w:sz w:val="22"/>
          <w:szCs w:val="22"/>
        </w:rPr>
        <w:t xml:space="preserve">enable CCBHCs to better provide whole-person care and services </w:t>
      </w:r>
      <w:r w:rsidRPr="0009319E">
        <w:rPr>
          <w:rFonts w:cstheme="minorHAnsi"/>
          <w:color w:val="000000" w:themeColor="text1"/>
          <w:sz w:val="22"/>
          <w:szCs w:val="22"/>
        </w:rPr>
        <w:t>that meet the complex and multiple needs of diverse service users.</w:t>
      </w:r>
    </w:p>
    <w:p w14:paraId="38A958AD" w14:textId="77777777"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ascii="Calibri" w:eastAsia="Calibri" w:hAnsi="Calibri" w:cs="Calibri"/>
          <w:color w:val="000000" w:themeColor="text1"/>
          <w:sz w:val="22"/>
          <w:szCs w:val="22"/>
        </w:rPr>
        <w:t xml:space="preserve">Engage advocates and community leaders to recommend actions for the development and implementation of culturally and linguistically responsive outreach and services. </w:t>
      </w:r>
    </w:p>
    <w:p w14:paraId="53BBA97B" w14:textId="08EC25DB"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ascii="Calibri" w:eastAsia="Calibri" w:hAnsi="Calibri" w:cs="Calibri"/>
          <w:color w:val="000000" w:themeColor="text1"/>
          <w:sz w:val="22"/>
          <w:szCs w:val="22"/>
        </w:rPr>
        <w:t>Make investments in new or enhanced behavioral health workforce incentives (such as salaries, loan repayment, educational support, etc.) to augment the workforce in Oregon’s CCBHCs.</w:t>
      </w:r>
    </w:p>
    <w:p w14:paraId="6674EB9E" w14:textId="2D7C869C"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Invest in the development and implementation of a health information exchange (HIE) to support coordination of care and identification of health inequities, building upon current initiatives such as the HIT Commons.</w:t>
      </w:r>
    </w:p>
    <w:p w14:paraId="73CA1918" w14:textId="77777777" w:rsidR="0009319E" w:rsidRPr="0009319E" w:rsidRDefault="0009319E">
      <w:pPr>
        <w:pStyle w:val="ListParagraph"/>
        <w:numPr>
          <w:ilvl w:val="0"/>
          <w:numId w:val="11"/>
        </w:numPr>
        <w:tabs>
          <w:tab w:val="left" w:pos="1080"/>
        </w:tabs>
        <w:autoSpaceDE w:val="0"/>
        <w:autoSpaceDN w:val="0"/>
        <w:adjustRightInd w:val="0"/>
        <w:contextualSpacing w:val="0"/>
        <w:rPr>
          <w:rFonts w:eastAsia="Calibri" w:cstheme="minorHAnsi"/>
          <w:color w:val="000000" w:themeColor="text1"/>
          <w:sz w:val="22"/>
          <w:szCs w:val="22"/>
        </w:rPr>
      </w:pPr>
      <w:r w:rsidRPr="0009319E">
        <w:rPr>
          <w:rFonts w:eastAsia="Calibri" w:cstheme="minorHAnsi"/>
          <w:color w:val="000000" w:themeColor="text1"/>
          <w:sz w:val="22"/>
          <w:szCs w:val="22"/>
        </w:rPr>
        <w:t xml:space="preserve">Streamline CCBHC reporting requirements to reduce administrative burden </w:t>
      </w:r>
      <w:r w:rsidRPr="0009319E">
        <w:rPr>
          <w:rFonts w:cstheme="minorHAnsi"/>
          <w:color w:val="000000" w:themeColor="text1"/>
          <w:sz w:val="22"/>
          <w:szCs w:val="22"/>
        </w:rPr>
        <w:t>wherever possible and enhance the utility and relevance to clinics of metrics and data collected</w:t>
      </w:r>
      <w:r w:rsidRPr="0009319E">
        <w:rPr>
          <w:rFonts w:eastAsia="Calibri" w:cstheme="minorHAnsi"/>
          <w:color w:val="000000" w:themeColor="text1"/>
          <w:sz w:val="22"/>
          <w:szCs w:val="22"/>
        </w:rPr>
        <w:t>.</w:t>
      </w:r>
    </w:p>
    <w:p w14:paraId="2B31A934" w14:textId="3A6EF96B"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Identify opportunities to intentionally build upon or partner with other community-based initiatives, such as OHA’s Regional Health Equity Coalitions and the Behavioral Health Re</w:t>
      </w:r>
      <w:r w:rsidR="00894B52">
        <w:rPr>
          <w:rFonts w:cstheme="minorHAnsi"/>
          <w:color w:val="000000" w:themeColor="text1"/>
          <w:sz w:val="22"/>
          <w:szCs w:val="22"/>
        </w:rPr>
        <w:t>source</w:t>
      </w:r>
      <w:r w:rsidRPr="0009319E">
        <w:rPr>
          <w:rFonts w:cstheme="minorHAnsi"/>
          <w:color w:val="000000" w:themeColor="text1"/>
          <w:sz w:val="22"/>
          <w:szCs w:val="22"/>
        </w:rPr>
        <w:t xml:space="preserve"> Network</w:t>
      </w:r>
      <w:r w:rsidR="00894B52">
        <w:rPr>
          <w:rFonts w:cstheme="minorHAnsi"/>
          <w:color w:val="000000" w:themeColor="text1"/>
          <w:sz w:val="22"/>
          <w:szCs w:val="22"/>
        </w:rPr>
        <w:t>s</w:t>
      </w:r>
      <w:r w:rsidRPr="0009319E">
        <w:rPr>
          <w:rFonts w:cstheme="minorHAnsi"/>
          <w:color w:val="000000" w:themeColor="text1"/>
          <w:sz w:val="22"/>
          <w:szCs w:val="22"/>
        </w:rPr>
        <w:t xml:space="preserve">, to support CCBHCs in identifying potential partners and building effective, mutually beneficial local relationships, including with CCOs. </w:t>
      </w:r>
    </w:p>
    <w:p w14:paraId="2B34F08E" w14:textId="77777777"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Continue and expand current technical assistance efforts to support CCBHCs to achieve statewide CCBHC goals and meet local needs identified by CCBHC clinic leaders and service users.</w:t>
      </w:r>
    </w:p>
    <w:p w14:paraId="28FD4810" w14:textId="77777777" w:rsidR="0009319E" w:rsidRPr="0009319E" w:rsidRDefault="0009319E">
      <w:pPr>
        <w:pStyle w:val="ListParagraph"/>
        <w:numPr>
          <w:ilvl w:val="0"/>
          <w:numId w:val="11"/>
        </w:numPr>
        <w:tabs>
          <w:tab w:val="left" w:pos="1080"/>
        </w:tabs>
        <w:autoSpaceDE w:val="0"/>
        <w:autoSpaceDN w:val="0"/>
        <w:adjustRightInd w:val="0"/>
        <w:contextualSpacing w:val="0"/>
        <w:rPr>
          <w:rFonts w:cstheme="minorHAnsi"/>
          <w:color w:val="000000" w:themeColor="text1"/>
          <w:sz w:val="22"/>
          <w:szCs w:val="22"/>
        </w:rPr>
      </w:pPr>
      <w:r w:rsidRPr="0009319E">
        <w:rPr>
          <w:rFonts w:eastAsia="Calibri" w:cstheme="minorHAnsi"/>
          <w:color w:val="000000" w:themeColor="text1"/>
          <w:sz w:val="22"/>
          <w:szCs w:val="22"/>
        </w:rPr>
        <w:t>Elevate awareness of the CCBHC program in local communities and provide practical tools for communities to leverage the work of CCBHCs to address priority community health concerns.</w:t>
      </w:r>
    </w:p>
    <w:p w14:paraId="17C24470" w14:textId="77777777"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Continue to evaluate the CCBHC program operations and performance, using community-centered participatory approaches to engage community members, service users, and advocates.</w:t>
      </w:r>
    </w:p>
    <w:p w14:paraId="1D44CF1C" w14:textId="2A23F99B" w:rsidR="0009319E" w:rsidRPr="0009319E" w:rsidRDefault="0009319E">
      <w:pPr>
        <w:pStyle w:val="ListParagraph"/>
        <w:numPr>
          <w:ilvl w:val="0"/>
          <w:numId w:val="11"/>
        </w:numPr>
        <w:contextualSpacing w:val="0"/>
        <w:rPr>
          <w:rFonts w:cstheme="minorHAnsi"/>
          <w:color w:val="000000" w:themeColor="text1"/>
          <w:sz w:val="22"/>
          <w:szCs w:val="22"/>
        </w:rPr>
      </w:pPr>
      <w:r w:rsidRPr="0009319E">
        <w:rPr>
          <w:rFonts w:cstheme="minorHAnsi"/>
          <w:color w:val="000000" w:themeColor="text1"/>
          <w:sz w:val="22"/>
          <w:szCs w:val="22"/>
        </w:rPr>
        <w:t xml:space="preserve">Commission ongoing research to understand how investments in the CCBHCs and behavioral health more broadly can have an impact on improving health outcomes and community health. </w:t>
      </w:r>
    </w:p>
    <w:p w14:paraId="30D03E8A" w14:textId="3FFC0727" w:rsidR="0009319E" w:rsidRDefault="0009319E" w:rsidP="0009319E"/>
    <w:p w14:paraId="1824F5AE" w14:textId="360D884A" w:rsidR="0079422B" w:rsidRPr="0043136F" w:rsidRDefault="0079422B" w:rsidP="0079422B">
      <w:pPr>
        <w:rPr>
          <w:rFonts w:cstheme="minorHAnsi"/>
          <w:sz w:val="22"/>
          <w:szCs w:val="22"/>
        </w:rPr>
      </w:pPr>
      <w:r>
        <w:rPr>
          <w:rFonts w:cstheme="minorHAnsi"/>
          <w:sz w:val="22"/>
          <w:szCs w:val="22"/>
        </w:rPr>
        <w:t>I</w:t>
      </w:r>
      <w:r w:rsidRPr="00D24114">
        <w:rPr>
          <w:rFonts w:cstheme="minorHAnsi"/>
          <w:sz w:val="22"/>
          <w:szCs w:val="22"/>
        </w:rPr>
        <w:t>n keeping with OHA’s strategic goal to eliminate health inequities by 2030,</w:t>
      </w:r>
      <w:r>
        <w:rPr>
          <w:rFonts w:cstheme="minorHAnsi"/>
          <w:sz w:val="22"/>
          <w:szCs w:val="22"/>
        </w:rPr>
        <w:t xml:space="preserve"> it is appropriate to conclude with this quote from Yearby (2020): </w:t>
      </w:r>
    </w:p>
    <w:p w14:paraId="34708A56" w14:textId="77777777" w:rsidR="0079422B" w:rsidRDefault="0079422B" w:rsidP="0079422B">
      <w:pPr>
        <w:autoSpaceDE w:val="0"/>
        <w:autoSpaceDN w:val="0"/>
        <w:adjustRightInd w:val="0"/>
        <w:ind w:left="720"/>
        <w:rPr>
          <w:rFonts w:cstheme="minorHAnsi"/>
          <w:i/>
          <w:iCs/>
          <w:sz w:val="22"/>
          <w:szCs w:val="22"/>
        </w:rPr>
      </w:pPr>
    </w:p>
    <w:p w14:paraId="5CF1DBFE" w14:textId="27098CF0" w:rsidR="0079422B" w:rsidRDefault="0079422B" w:rsidP="0079422B">
      <w:pPr>
        <w:autoSpaceDE w:val="0"/>
        <w:autoSpaceDN w:val="0"/>
        <w:adjustRightInd w:val="0"/>
        <w:ind w:left="720"/>
        <w:rPr>
          <w:rFonts w:cstheme="minorHAnsi"/>
          <w:i/>
          <w:iCs/>
          <w:sz w:val="22"/>
          <w:szCs w:val="22"/>
        </w:rPr>
      </w:pPr>
      <w:r w:rsidRPr="00BC2391">
        <w:rPr>
          <w:rFonts w:cstheme="minorHAnsi"/>
          <w:i/>
          <w:iCs/>
          <w:sz w:val="22"/>
          <w:szCs w:val="22"/>
        </w:rPr>
        <w:t>To achieve racial health equity, government and public health officials must aggressively work to end structural racism and revamp all of our systems, especially the public health system, to ensure that racial and ethnic minorities are not only treated equally, but also receive the material support they need to overcome the harms they have already suffered. Only then can we truly begin to work towards improving the health and wellbeing of racial and ethnic minorities, so that we can achieve racial health equity.</w:t>
      </w:r>
    </w:p>
    <w:p w14:paraId="45917990" w14:textId="77777777" w:rsidR="0079422B" w:rsidRDefault="0079422B" w:rsidP="0079422B">
      <w:pPr>
        <w:autoSpaceDE w:val="0"/>
        <w:autoSpaceDN w:val="0"/>
        <w:adjustRightInd w:val="0"/>
        <w:ind w:left="720"/>
        <w:rPr>
          <w:rFonts w:cstheme="minorHAnsi"/>
          <w:i/>
          <w:iCs/>
          <w:sz w:val="22"/>
          <w:szCs w:val="22"/>
        </w:rPr>
      </w:pPr>
    </w:p>
    <w:p w14:paraId="78F15E6E" w14:textId="4E73A1F4" w:rsidR="0079422B" w:rsidRPr="00BC59E8" w:rsidRDefault="0079422B" w:rsidP="0079422B">
      <w:pPr>
        <w:autoSpaceDE w:val="0"/>
        <w:autoSpaceDN w:val="0"/>
        <w:adjustRightInd w:val="0"/>
        <w:rPr>
          <w:rFonts w:cstheme="minorHAnsi"/>
          <w:sz w:val="22"/>
          <w:szCs w:val="22"/>
        </w:rPr>
      </w:pPr>
      <w:r>
        <w:rPr>
          <w:rFonts w:cstheme="minorHAnsi"/>
          <w:sz w:val="22"/>
          <w:szCs w:val="22"/>
        </w:rPr>
        <w:t>Portland, January 2023</w:t>
      </w:r>
    </w:p>
    <w:p w14:paraId="17CFBFA7" w14:textId="77777777" w:rsidR="0079422B" w:rsidRDefault="0079422B" w:rsidP="00A32D37"/>
    <w:p w14:paraId="3074DB7A" w14:textId="7E33A716" w:rsidR="00845716" w:rsidRDefault="00845716" w:rsidP="00A32D37">
      <w:r>
        <w:br w:type="page"/>
      </w:r>
    </w:p>
    <w:p w14:paraId="026C6484" w14:textId="1801E3D0" w:rsidR="003C684B" w:rsidRPr="007523A8" w:rsidRDefault="00A32D37" w:rsidP="00F91A92">
      <w:pPr>
        <w:pStyle w:val="Heading1"/>
        <w:spacing w:before="0" w:after="120"/>
        <w:rPr>
          <w:rFonts w:asciiTheme="minorHAnsi" w:hAnsiTheme="minorHAnsi" w:cstheme="minorHAnsi"/>
          <w:b/>
          <w:bCs/>
          <w:color w:val="6A7F0F"/>
          <w:sz w:val="40"/>
          <w:szCs w:val="40"/>
        </w:rPr>
      </w:pPr>
      <w:bookmarkStart w:id="50" w:name="_Toc126068190"/>
      <w:r w:rsidRPr="007523A8">
        <w:rPr>
          <w:rFonts w:asciiTheme="minorHAnsi" w:hAnsiTheme="minorHAnsi" w:cstheme="minorHAnsi"/>
          <w:b/>
          <w:bCs/>
          <w:color w:val="6A7F0F"/>
          <w:sz w:val="40"/>
          <w:szCs w:val="40"/>
        </w:rPr>
        <w:t>References</w:t>
      </w:r>
      <w:bookmarkEnd w:id="50"/>
    </w:p>
    <w:p w14:paraId="59E98A94" w14:textId="19AAFFB2" w:rsidR="006C3F9D" w:rsidRPr="006C3F9D" w:rsidRDefault="006C3F9D" w:rsidP="006C3F9D">
      <w:pPr>
        <w:rPr>
          <w:rFonts w:cstheme="minorHAnsi"/>
          <w:sz w:val="22"/>
          <w:szCs w:val="22"/>
        </w:rPr>
      </w:pPr>
      <w:r w:rsidRPr="006C3F9D">
        <w:rPr>
          <w:rFonts w:cstheme="minorHAnsi"/>
          <w:sz w:val="22"/>
          <w:szCs w:val="22"/>
        </w:rPr>
        <w:t>Assistant Secretary for Planning and Evaluation</w:t>
      </w:r>
      <w:r w:rsidR="009022DA">
        <w:rPr>
          <w:rFonts w:cstheme="minorHAnsi"/>
          <w:sz w:val="22"/>
          <w:szCs w:val="22"/>
        </w:rPr>
        <w:t xml:space="preserve"> [</w:t>
      </w:r>
      <w:r w:rsidR="009022DA" w:rsidRPr="006C3F9D">
        <w:rPr>
          <w:rFonts w:cstheme="minorHAnsi"/>
          <w:sz w:val="22"/>
          <w:szCs w:val="22"/>
        </w:rPr>
        <w:t>ASPE</w:t>
      </w:r>
      <w:r w:rsidR="009022DA">
        <w:rPr>
          <w:rFonts w:cstheme="minorHAnsi"/>
          <w:sz w:val="22"/>
          <w:szCs w:val="22"/>
        </w:rPr>
        <w:t>]</w:t>
      </w:r>
      <w:r w:rsidRPr="006C3F9D">
        <w:rPr>
          <w:rFonts w:cstheme="minorHAnsi"/>
          <w:sz w:val="22"/>
          <w:szCs w:val="22"/>
        </w:rPr>
        <w:t xml:space="preserve">. (September 14, 2022). “HHS Roadmap for Behavioral Health Integration.” </w:t>
      </w:r>
      <w:r w:rsidRPr="006C3F9D">
        <w:rPr>
          <w:rFonts w:cstheme="minorHAnsi"/>
          <w:sz w:val="22"/>
          <w:szCs w:val="22"/>
          <w:u w:val="single"/>
        </w:rPr>
        <w:t>Issue Brief</w:t>
      </w:r>
      <w:r w:rsidRPr="006C3F9D">
        <w:rPr>
          <w:rFonts w:cstheme="minorHAnsi"/>
          <w:i/>
          <w:iCs/>
          <w:sz w:val="22"/>
          <w:szCs w:val="22"/>
        </w:rPr>
        <w:t>.</w:t>
      </w:r>
      <w:r w:rsidRPr="006C3F9D">
        <w:rPr>
          <w:rFonts w:cstheme="minorHAnsi"/>
          <w:sz w:val="22"/>
          <w:szCs w:val="22"/>
        </w:rPr>
        <w:t xml:space="preserve"> U.S. Department of Health and Human Services. </w:t>
      </w:r>
      <w:hyperlink r:id="rId25" w:history="1">
        <w:r w:rsidRPr="006C3F9D">
          <w:rPr>
            <w:rStyle w:val="Hyperlink"/>
            <w:rFonts w:cstheme="minorHAnsi"/>
            <w:sz w:val="22"/>
            <w:szCs w:val="22"/>
          </w:rPr>
          <w:t>https://aspe.hhs.gov/reports/hhs-roadmap-behavioral-health-integration</w:t>
        </w:r>
      </w:hyperlink>
      <w:r w:rsidRPr="006C3F9D">
        <w:rPr>
          <w:rFonts w:cstheme="minorHAnsi"/>
          <w:sz w:val="22"/>
          <w:szCs w:val="22"/>
        </w:rPr>
        <w:t xml:space="preserve"> </w:t>
      </w:r>
    </w:p>
    <w:p w14:paraId="6F762B7A" w14:textId="77777777" w:rsidR="006C3F9D" w:rsidRPr="006C3F9D" w:rsidRDefault="006C3F9D" w:rsidP="006C3F9D">
      <w:pPr>
        <w:rPr>
          <w:rFonts w:cstheme="minorHAnsi"/>
          <w:sz w:val="22"/>
          <w:szCs w:val="22"/>
        </w:rPr>
      </w:pPr>
    </w:p>
    <w:p w14:paraId="236ECDC0" w14:textId="77777777" w:rsidR="006C3F9D" w:rsidRPr="006C3F9D" w:rsidRDefault="006C3F9D" w:rsidP="006C3F9D">
      <w:pPr>
        <w:rPr>
          <w:rFonts w:cstheme="minorHAnsi"/>
          <w:sz w:val="22"/>
          <w:szCs w:val="22"/>
        </w:rPr>
      </w:pPr>
      <w:r w:rsidRPr="006C3F9D">
        <w:rPr>
          <w:rFonts w:cstheme="minorHAnsi"/>
          <w:sz w:val="22"/>
          <w:szCs w:val="22"/>
        </w:rPr>
        <w:t xml:space="preserve">Berwick, D.M., Nolan, T.W. and Whittington, J. (2008). “The Triple Aim:  Care, Health, and Cost.” </w:t>
      </w:r>
      <w:r w:rsidRPr="006C3F9D">
        <w:rPr>
          <w:rFonts w:cstheme="minorHAnsi"/>
          <w:sz w:val="22"/>
          <w:szCs w:val="22"/>
          <w:u w:val="single"/>
        </w:rPr>
        <w:t>Health Affairs</w:t>
      </w:r>
      <w:r w:rsidRPr="006C3F9D">
        <w:rPr>
          <w:rFonts w:cstheme="minorHAnsi"/>
          <w:sz w:val="22"/>
          <w:szCs w:val="22"/>
        </w:rPr>
        <w:t xml:space="preserve"> 27 (May/June): 759-769.</w:t>
      </w:r>
    </w:p>
    <w:p w14:paraId="6CD7FDEA" w14:textId="77777777" w:rsidR="006C3F9D" w:rsidRPr="006C3F9D" w:rsidRDefault="006C3F9D" w:rsidP="006C3F9D">
      <w:pPr>
        <w:rPr>
          <w:rFonts w:cstheme="minorHAnsi"/>
          <w:color w:val="000000" w:themeColor="text1"/>
          <w:sz w:val="22"/>
          <w:szCs w:val="22"/>
        </w:rPr>
      </w:pPr>
    </w:p>
    <w:p w14:paraId="3534D891" w14:textId="3DB2CD9F" w:rsidR="006C3F9D" w:rsidRDefault="006C3F9D" w:rsidP="006C3F9D">
      <w:pPr>
        <w:rPr>
          <w:rFonts w:cstheme="minorHAnsi"/>
          <w:sz w:val="22"/>
          <w:szCs w:val="22"/>
        </w:rPr>
      </w:pPr>
      <w:r w:rsidRPr="006C3F9D">
        <w:rPr>
          <w:rFonts w:cstheme="minorHAnsi"/>
          <w:sz w:val="22"/>
          <w:szCs w:val="22"/>
        </w:rPr>
        <w:t xml:space="preserve">Centers for Disease Control and Prevention/ </w:t>
      </w:r>
      <w:r w:rsidRPr="006C3F9D">
        <w:rPr>
          <w:rStyle w:val="Strong"/>
          <w:rFonts w:cstheme="minorHAnsi"/>
          <w:b w:val="0"/>
          <w:bCs w:val="0"/>
          <w:sz w:val="22"/>
          <w:szCs w:val="22"/>
        </w:rPr>
        <w:t>Agency for Toxic Substances and Disease Registry</w:t>
      </w:r>
      <w:r w:rsidRPr="006C3F9D">
        <w:rPr>
          <w:rStyle w:val="Strong"/>
          <w:rFonts w:cstheme="minorHAnsi"/>
          <w:sz w:val="22"/>
          <w:szCs w:val="22"/>
        </w:rPr>
        <w:t xml:space="preserve"> [</w:t>
      </w:r>
      <w:r w:rsidRPr="006C3F9D">
        <w:rPr>
          <w:rFonts w:cstheme="minorHAnsi"/>
          <w:sz w:val="22"/>
          <w:szCs w:val="22"/>
        </w:rPr>
        <w:t>CDC/ATSDR]</w:t>
      </w:r>
      <w:r w:rsidR="00ED2F5A" w:rsidRPr="00ED2F5A">
        <w:rPr>
          <w:rFonts w:cstheme="minorHAnsi"/>
          <w:sz w:val="22"/>
          <w:szCs w:val="22"/>
        </w:rPr>
        <w:t xml:space="preserve">, Geospatial Research, Analysis, and Services Program. (2022). “CDC/ATSDR Social Vulnerability Index 2020 Database Oregon.” </w:t>
      </w:r>
      <w:hyperlink r:id="rId26" w:history="1">
        <w:r w:rsidR="00ED2F5A" w:rsidRPr="00AE053B">
          <w:rPr>
            <w:rStyle w:val="Hyperlink"/>
            <w:rFonts w:cstheme="minorHAnsi"/>
            <w:sz w:val="22"/>
            <w:szCs w:val="22"/>
          </w:rPr>
          <w:t>https://www.atsdr.cdc.gov/placeandhealth/svi/data_documentation_download.html</w:t>
        </w:r>
      </w:hyperlink>
    </w:p>
    <w:p w14:paraId="47651582" w14:textId="77777777" w:rsidR="006C3F9D" w:rsidRPr="006C3F9D" w:rsidRDefault="006C3F9D" w:rsidP="006C3F9D">
      <w:pPr>
        <w:rPr>
          <w:rFonts w:cstheme="minorHAnsi"/>
          <w:color w:val="000000" w:themeColor="text1"/>
          <w:sz w:val="22"/>
          <w:szCs w:val="22"/>
        </w:rPr>
      </w:pPr>
    </w:p>
    <w:p w14:paraId="0BF6E61C"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Coalition of Communities of Color. (2021). “Investing in Culturally and Linguistically Responsive Behavioral Health Care in Oregon.” Coalition of Communities of Color and Oregon Health Authority. </w:t>
      </w:r>
      <w:hyperlink r:id="rId27" w:history="1">
        <w:r w:rsidRPr="006C3F9D">
          <w:rPr>
            <w:rStyle w:val="Hyperlink"/>
            <w:rFonts w:cstheme="minorHAnsi"/>
            <w:sz w:val="22"/>
            <w:szCs w:val="22"/>
          </w:rPr>
          <w:t>https://www.coalitioncommunitiescolor.org/research-and-publications/2021-behavioral-health-eng</w:t>
        </w:r>
      </w:hyperlink>
    </w:p>
    <w:p w14:paraId="19E67766"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397F3283"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Equitable Evaluation Initiative. (n.d.). “Equitable Evaluation Framework.”  </w:t>
      </w:r>
      <w:r w:rsidRPr="006C3F9D">
        <w:rPr>
          <w:rFonts w:cstheme="minorHAnsi"/>
          <w:color w:val="094FD1"/>
          <w:sz w:val="22"/>
          <w:szCs w:val="22"/>
          <w:u w:val="single" w:color="094FD1"/>
        </w:rPr>
        <w:t>https://www.equitableeval.org/framework</w:t>
      </w:r>
    </w:p>
    <w:p w14:paraId="5FC196BE"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theme="minorHAnsi"/>
          <w:sz w:val="22"/>
          <w:szCs w:val="22"/>
        </w:rPr>
      </w:pPr>
    </w:p>
    <w:p w14:paraId="20C0D7FC"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theme="minorHAnsi"/>
          <w:sz w:val="22"/>
          <w:szCs w:val="22"/>
        </w:rPr>
      </w:pPr>
      <w:r w:rsidRPr="006C3F9D">
        <w:rPr>
          <w:rFonts w:eastAsia="Calibri" w:cstheme="minorHAnsi"/>
          <w:sz w:val="22"/>
          <w:szCs w:val="22"/>
        </w:rPr>
        <w:t xml:space="preserve">Goodman, R.A., Bunnell, R., and Posner, S.F. (2014). “What is ‘Community Health’? Examining the Meaning of an Evolving Field in Public Health.” </w:t>
      </w:r>
      <w:r w:rsidRPr="006C3F9D">
        <w:rPr>
          <w:rFonts w:eastAsia="Calibri" w:cstheme="minorHAnsi"/>
          <w:sz w:val="22"/>
          <w:szCs w:val="22"/>
          <w:u w:val="single"/>
        </w:rPr>
        <w:t xml:space="preserve">Preventive Medicine </w:t>
      </w:r>
      <w:r w:rsidRPr="006C3F9D">
        <w:rPr>
          <w:rFonts w:eastAsia="Calibri" w:cstheme="minorHAnsi"/>
          <w:sz w:val="22"/>
          <w:szCs w:val="22"/>
        </w:rPr>
        <w:t>67 (Supplement 1, October): S58-S61.</w:t>
      </w:r>
    </w:p>
    <w:p w14:paraId="212A93AC"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796FFF01" w14:textId="5774895B"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cstheme="minorHAnsi"/>
          <w:sz w:val="22"/>
          <w:szCs w:val="22"/>
        </w:rPr>
      </w:pPr>
      <w:r w:rsidRPr="006C3F9D">
        <w:rPr>
          <w:rFonts w:cstheme="minorHAnsi"/>
          <w:sz w:val="22"/>
          <w:szCs w:val="22"/>
        </w:rPr>
        <w:t>Governor’s Behavioral Health Advisory Council</w:t>
      </w:r>
      <w:r w:rsidR="009022DA">
        <w:rPr>
          <w:rFonts w:cstheme="minorHAnsi"/>
          <w:sz w:val="22"/>
          <w:szCs w:val="22"/>
        </w:rPr>
        <w:t xml:space="preserve"> [GBHAC]</w:t>
      </w:r>
      <w:r w:rsidRPr="006C3F9D">
        <w:rPr>
          <w:rFonts w:cstheme="minorHAnsi"/>
          <w:sz w:val="22"/>
          <w:szCs w:val="22"/>
        </w:rPr>
        <w:t xml:space="preserve">. (2020). “Governor’s Behavioral Health Advisory Council Recommendations.” </w:t>
      </w:r>
      <w:r w:rsidRPr="006C3F9D">
        <w:rPr>
          <w:rFonts w:cstheme="minorHAnsi"/>
          <w:color w:val="000000" w:themeColor="text1"/>
          <w:sz w:val="22"/>
          <w:szCs w:val="22"/>
        </w:rPr>
        <w:t xml:space="preserve">Oregon Health Authority. </w:t>
      </w:r>
      <w:hyperlink r:id="rId28" w:history="1">
        <w:r w:rsidRPr="006C3F9D">
          <w:rPr>
            <w:rStyle w:val="Hyperlink"/>
            <w:rFonts w:cstheme="minorHAnsi"/>
            <w:sz w:val="22"/>
            <w:szCs w:val="22"/>
          </w:rPr>
          <w:t>https://www.oregon.gov/oha/HSD/BHP/Documents/GBHAC-Final-Recommendations-Report.pdf</w:t>
        </w:r>
      </w:hyperlink>
    </w:p>
    <w:p w14:paraId="5896BB2E"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2997AA41" w14:textId="0440CED6" w:rsid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r w:rsidRPr="006C3F9D">
        <w:rPr>
          <w:rFonts w:cstheme="minorHAnsi"/>
          <w:color w:val="000000" w:themeColor="text1"/>
          <w:sz w:val="22"/>
          <w:szCs w:val="22"/>
        </w:rPr>
        <w:t xml:space="preserve">Heath, B., Wise Romero, P., and Reynolds, K.A. (March 2013). “A Standard Framework for Levels of Integrated Healthcare.” SAMHSA-HRSA Center for Integrated Health Solutions. </w:t>
      </w:r>
      <w:hyperlink r:id="rId29" w:history="1">
        <w:r w:rsidR="00ED2F5A" w:rsidRPr="00AE053B">
          <w:rPr>
            <w:rStyle w:val="Hyperlink"/>
            <w:rFonts w:cstheme="minorHAnsi"/>
            <w:sz w:val="22"/>
            <w:szCs w:val="22"/>
          </w:rPr>
          <w:t>https://www.pcpcc.org/sites/default/files/resources/SAMHSA-HRSA%202013%20Framework%20for%20Levels%20of%20Integrated%20Healthcare.pdf</w:t>
        </w:r>
      </w:hyperlink>
    </w:p>
    <w:p w14:paraId="3A6B5196"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4225B664" w14:textId="77777777" w:rsidR="006C3F9D" w:rsidRPr="006C3F9D" w:rsidRDefault="006C3F9D" w:rsidP="006C3F9D">
      <w:pPr>
        <w:rPr>
          <w:rFonts w:cstheme="minorHAnsi"/>
          <w:sz w:val="22"/>
          <w:szCs w:val="22"/>
        </w:rPr>
      </w:pPr>
      <w:r w:rsidRPr="006C3F9D">
        <w:rPr>
          <w:rStyle w:val="markedcontent"/>
          <w:rFonts w:cstheme="minorHAnsi"/>
          <w:sz w:val="22"/>
          <w:szCs w:val="22"/>
        </w:rPr>
        <w:t>Lenahan, K., Rainer, S., Baker, R., and Waddell, E.N. (2022). “Oregon Substance Use Disorder Services</w:t>
      </w:r>
      <w:r w:rsidRPr="006C3F9D">
        <w:rPr>
          <w:rFonts w:cstheme="minorHAnsi"/>
          <w:sz w:val="22"/>
          <w:szCs w:val="22"/>
        </w:rPr>
        <w:br/>
      </w:r>
      <w:r w:rsidRPr="006C3F9D">
        <w:rPr>
          <w:rStyle w:val="markedcontent"/>
          <w:rFonts w:cstheme="minorHAnsi"/>
          <w:sz w:val="22"/>
          <w:szCs w:val="22"/>
        </w:rPr>
        <w:t>Inventory and Gap Analysis.” OHSU-PSU School of Public Health, Oregon Health and Science</w:t>
      </w:r>
      <w:r w:rsidRPr="006C3F9D">
        <w:rPr>
          <w:rFonts w:cstheme="minorHAnsi"/>
          <w:sz w:val="22"/>
          <w:szCs w:val="22"/>
        </w:rPr>
        <w:br/>
      </w:r>
      <w:r w:rsidRPr="006C3F9D">
        <w:rPr>
          <w:rStyle w:val="markedcontent"/>
          <w:rFonts w:cstheme="minorHAnsi"/>
          <w:sz w:val="22"/>
          <w:szCs w:val="22"/>
        </w:rPr>
        <w:t>University, Oregon Alcohol and Drug Policy Commission, and Oregon Health Authority, Health</w:t>
      </w:r>
      <w:r w:rsidRPr="006C3F9D">
        <w:rPr>
          <w:rFonts w:cstheme="minorHAnsi"/>
          <w:sz w:val="22"/>
          <w:szCs w:val="22"/>
        </w:rPr>
        <w:br/>
      </w:r>
      <w:r w:rsidRPr="006C3F9D">
        <w:rPr>
          <w:rStyle w:val="markedcontent"/>
          <w:rFonts w:cstheme="minorHAnsi"/>
          <w:sz w:val="22"/>
          <w:szCs w:val="22"/>
        </w:rPr>
        <w:t xml:space="preserve">Systems Division and Public Health Division. </w:t>
      </w:r>
      <w:hyperlink r:id="rId30" w:history="1">
        <w:r w:rsidRPr="006C3F9D">
          <w:rPr>
            <w:rStyle w:val="Hyperlink"/>
            <w:rFonts w:cstheme="minorHAnsi"/>
            <w:sz w:val="22"/>
            <w:szCs w:val="22"/>
          </w:rPr>
          <w:t>https://www.oregon.gov/adpc/SiteAssets/Pages/index/OHSU%20-%20Oregon%20Gap%20Analysis%20and%20Inventory%20Report.pdf</w:t>
        </w:r>
      </w:hyperlink>
    </w:p>
    <w:p w14:paraId="3BD2FE6F"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2877B594" w14:textId="4C7CB6B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markedcontent"/>
          <w:rFonts w:cstheme="minorHAnsi"/>
          <w:sz w:val="22"/>
          <w:szCs w:val="22"/>
        </w:rPr>
      </w:pPr>
      <w:r w:rsidRPr="006C3F9D">
        <w:rPr>
          <w:rStyle w:val="markedcontent"/>
          <w:rFonts w:cstheme="minorHAnsi"/>
          <w:sz w:val="22"/>
          <w:szCs w:val="22"/>
        </w:rPr>
        <w:t xml:space="preserve">National Association of Addiction Treatment Providers </w:t>
      </w:r>
      <w:r w:rsidR="009022DA">
        <w:rPr>
          <w:rStyle w:val="markedcontent"/>
          <w:rFonts w:cstheme="minorHAnsi"/>
          <w:sz w:val="22"/>
          <w:szCs w:val="22"/>
        </w:rPr>
        <w:t>[</w:t>
      </w:r>
      <w:r w:rsidRPr="006C3F9D">
        <w:rPr>
          <w:rStyle w:val="markedcontent"/>
          <w:rFonts w:cstheme="minorHAnsi"/>
          <w:sz w:val="22"/>
          <w:szCs w:val="22"/>
        </w:rPr>
        <w:t>NAATP</w:t>
      </w:r>
      <w:r w:rsidR="009022DA">
        <w:rPr>
          <w:rStyle w:val="markedcontent"/>
          <w:rFonts w:cstheme="minorHAnsi"/>
          <w:sz w:val="22"/>
          <w:szCs w:val="22"/>
        </w:rPr>
        <w:t>]</w:t>
      </w:r>
      <w:r w:rsidRPr="006C3F9D">
        <w:rPr>
          <w:rStyle w:val="markedcontent"/>
          <w:rFonts w:cstheme="minorHAnsi"/>
          <w:sz w:val="22"/>
          <w:szCs w:val="22"/>
        </w:rPr>
        <w:t xml:space="preserve">. (November 29, 2022). “HHS Releases Changes to Confidentiality Rules 42 CFR Part 2 to HIPAA.” </w:t>
      </w:r>
      <w:hyperlink r:id="rId31" w:history="1">
        <w:r w:rsidRPr="006C3F9D">
          <w:rPr>
            <w:rStyle w:val="Hyperlink"/>
            <w:rFonts w:cstheme="minorHAnsi"/>
            <w:sz w:val="22"/>
            <w:szCs w:val="22"/>
          </w:rPr>
          <w:t>https://www.naatp.org/advocacy/public-policy/hhs-releases-changes-confidentiality-rules-42-cfr-part-2-hipaa/nov-29-2022</w:t>
        </w:r>
      </w:hyperlink>
      <w:r w:rsidRPr="006C3F9D">
        <w:rPr>
          <w:rStyle w:val="markedcontent"/>
          <w:rFonts w:cstheme="minorHAnsi"/>
          <w:sz w:val="22"/>
          <w:szCs w:val="22"/>
        </w:rPr>
        <w:t xml:space="preserve">  </w:t>
      </w:r>
    </w:p>
    <w:p w14:paraId="137DACA9"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57558438"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r w:rsidRPr="006C3F9D">
        <w:rPr>
          <w:rFonts w:cstheme="minorHAnsi"/>
          <w:sz w:val="22"/>
          <w:szCs w:val="22"/>
        </w:rPr>
        <w:t xml:space="preserve">National Council for Behavioral Health. (n.d.) “What Is a CCBHC?” </w:t>
      </w:r>
      <w:hyperlink r:id="rId32" w:history="1">
        <w:r w:rsidRPr="006C3F9D">
          <w:rPr>
            <w:rStyle w:val="Hyperlink"/>
            <w:rFonts w:cstheme="minorHAnsi"/>
            <w:sz w:val="22"/>
            <w:szCs w:val="22"/>
          </w:rPr>
          <w:t>https://www.oregon.gov/oha/HSD/BHP/CCBHC%20Documents/What-is-a-CCBHC.pdf</w:t>
        </w:r>
      </w:hyperlink>
    </w:p>
    <w:p w14:paraId="06BE345C"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49EB62FF" w14:textId="38AF11B6" w:rsidR="006C3F9D" w:rsidRPr="006C3F9D" w:rsidRDefault="006C3F9D" w:rsidP="006C3F9D">
      <w:pPr>
        <w:rPr>
          <w:rFonts w:cstheme="minorHAnsi"/>
          <w:b/>
          <w:bCs/>
          <w:sz w:val="22"/>
          <w:szCs w:val="22"/>
        </w:rPr>
      </w:pPr>
      <w:r w:rsidRPr="006C3F9D">
        <w:rPr>
          <w:rFonts w:cstheme="minorHAnsi"/>
          <w:sz w:val="22"/>
          <w:szCs w:val="22"/>
        </w:rPr>
        <w:t>Oregon Health Authority</w:t>
      </w:r>
      <w:r w:rsidR="006F1F0D">
        <w:rPr>
          <w:rFonts w:cstheme="minorHAnsi"/>
          <w:sz w:val="22"/>
          <w:szCs w:val="22"/>
        </w:rPr>
        <w:t xml:space="preserve"> [OHA]</w:t>
      </w:r>
      <w:r w:rsidRPr="006C3F9D">
        <w:rPr>
          <w:rFonts w:cstheme="minorHAnsi"/>
          <w:sz w:val="22"/>
          <w:szCs w:val="22"/>
        </w:rPr>
        <w:t xml:space="preserve">. (n.d.(a)). “Certified Community Behavioral Health Clinics Planning Grant.” </w:t>
      </w:r>
      <w:hyperlink r:id="rId33" w:history="1">
        <w:r w:rsidRPr="006C3F9D">
          <w:rPr>
            <w:rStyle w:val="Hyperlink"/>
            <w:rFonts w:eastAsia="Times New Roman" w:cstheme="minorHAnsi"/>
            <w:kern w:val="36"/>
            <w:sz w:val="22"/>
            <w:szCs w:val="22"/>
          </w:rPr>
          <w:t>https://www.oregon.gov/oha/HSD/BHP/Pages/CCBHC-Planning-Grant.aspx</w:t>
        </w:r>
      </w:hyperlink>
      <w:r w:rsidRPr="006C3F9D">
        <w:rPr>
          <w:rFonts w:cstheme="minorHAnsi"/>
          <w:sz w:val="22"/>
          <w:szCs w:val="22"/>
        </w:rPr>
        <w:t xml:space="preserve"> </w:t>
      </w:r>
    </w:p>
    <w:p w14:paraId="6641A59A"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7F7B0465" w14:textId="7B824C84" w:rsidR="006C3F9D" w:rsidRPr="006C3F9D" w:rsidRDefault="006C3F9D" w:rsidP="006C3F9D">
      <w:pPr>
        <w:rPr>
          <w:rFonts w:cstheme="minorHAnsi"/>
          <w:sz w:val="22"/>
          <w:szCs w:val="22"/>
        </w:rPr>
      </w:pPr>
      <w:r w:rsidRPr="006C3F9D">
        <w:rPr>
          <w:rFonts w:cstheme="minorHAnsi"/>
          <w:sz w:val="22"/>
          <w:szCs w:val="22"/>
        </w:rPr>
        <w:t>Oregon Health Authority</w:t>
      </w:r>
      <w:r w:rsidR="006F1F0D">
        <w:rPr>
          <w:rFonts w:cstheme="minorHAnsi"/>
          <w:sz w:val="22"/>
          <w:szCs w:val="22"/>
        </w:rPr>
        <w:t xml:space="preserve"> [OHA]</w:t>
      </w:r>
      <w:r w:rsidRPr="006C3F9D">
        <w:rPr>
          <w:rFonts w:cstheme="minorHAnsi"/>
          <w:sz w:val="22"/>
          <w:szCs w:val="22"/>
        </w:rPr>
        <w:t xml:space="preserve">. (n.d.(b)). “Certified Community Behavioral Health Clinics (CCBHC).” </w:t>
      </w:r>
      <w:hyperlink r:id="rId34" w:history="1">
        <w:r w:rsidRPr="006C3F9D">
          <w:rPr>
            <w:rStyle w:val="Hyperlink"/>
            <w:rFonts w:eastAsia="Times New Roman" w:cstheme="minorHAnsi"/>
            <w:kern w:val="36"/>
            <w:sz w:val="22"/>
            <w:szCs w:val="22"/>
          </w:rPr>
          <w:t>https://www.oregon.gov/oha/hsd/bhp/Pages/Community-BH-Clinics.aspx</w:t>
        </w:r>
      </w:hyperlink>
    </w:p>
    <w:p w14:paraId="2D6495C5" w14:textId="77777777" w:rsidR="006C3F9D" w:rsidRPr="006C3F9D" w:rsidRDefault="006C3F9D" w:rsidP="006C3F9D">
      <w:pPr>
        <w:rPr>
          <w:rFonts w:cstheme="minorHAnsi"/>
          <w:sz w:val="22"/>
          <w:szCs w:val="22"/>
        </w:rPr>
      </w:pPr>
    </w:p>
    <w:p w14:paraId="06D282CF" w14:textId="7318A7EE" w:rsidR="006C3F9D" w:rsidRPr="006C3F9D" w:rsidRDefault="006C3F9D" w:rsidP="006C3F9D">
      <w:pPr>
        <w:rPr>
          <w:rStyle w:val="markedcontent"/>
          <w:rFonts w:cstheme="minorHAnsi"/>
          <w:sz w:val="22"/>
          <w:szCs w:val="22"/>
        </w:rPr>
      </w:pPr>
      <w:r w:rsidRPr="006C3F9D">
        <w:rPr>
          <w:rFonts w:cstheme="minorHAnsi"/>
          <w:color w:val="000000" w:themeColor="text1"/>
          <w:sz w:val="22"/>
          <w:szCs w:val="22"/>
        </w:rPr>
        <w:t>Oregon Health Authority</w:t>
      </w:r>
      <w:r w:rsidR="006F1F0D">
        <w:rPr>
          <w:rFonts w:cstheme="minorHAnsi"/>
          <w:color w:val="000000" w:themeColor="text1"/>
          <w:sz w:val="22"/>
          <w:szCs w:val="22"/>
        </w:rPr>
        <w:t xml:space="preserve"> </w:t>
      </w:r>
      <w:r w:rsidR="006F1F0D">
        <w:rPr>
          <w:rFonts w:cstheme="minorHAnsi"/>
          <w:sz w:val="22"/>
          <w:szCs w:val="22"/>
        </w:rPr>
        <w:t>[OHA]</w:t>
      </w:r>
      <w:r w:rsidRPr="006C3F9D">
        <w:rPr>
          <w:rFonts w:cstheme="minorHAnsi"/>
          <w:color w:val="000000" w:themeColor="text1"/>
          <w:sz w:val="22"/>
          <w:szCs w:val="22"/>
        </w:rPr>
        <w:t>. (n.d.(c)). “</w:t>
      </w:r>
      <w:r w:rsidRPr="006C3F9D">
        <w:rPr>
          <w:rStyle w:val="markedcontent"/>
          <w:rFonts w:cstheme="minorHAnsi"/>
          <w:sz w:val="22"/>
          <w:szCs w:val="22"/>
        </w:rPr>
        <w:t xml:space="preserve">Oregon Standards for Certified Community Behavioral Health Clinics (CCBHCs).” </w:t>
      </w:r>
      <w:hyperlink r:id="rId35" w:history="1">
        <w:r w:rsidRPr="006C3F9D">
          <w:rPr>
            <w:rStyle w:val="Hyperlink"/>
            <w:rFonts w:cstheme="minorHAnsi"/>
            <w:sz w:val="22"/>
            <w:szCs w:val="22"/>
          </w:rPr>
          <w:t>https://www.oregon.gov/oha/HSD/BHP/CCBHC%20Documents/Oregon-Standards-for-CCBHCs.pdf</w:t>
        </w:r>
      </w:hyperlink>
    </w:p>
    <w:p w14:paraId="54F0E350" w14:textId="77777777" w:rsidR="006C3F9D" w:rsidRPr="006C3F9D" w:rsidRDefault="006C3F9D" w:rsidP="006C3F9D">
      <w:pPr>
        <w:rPr>
          <w:rFonts w:cstheme="minorHAnsi"/>
          <w:sz w:val="22"/>
          <w:szCs w:val="22"/>
        </w:rPr>
      </w:pPr>
    </w:p>
    <w:p w14:paraId="384D6308" w14:textId="1B723553"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Oregon Health Authority</w:t>
      </w:r>
      <w:r w:rsidR="006F1F0D">
        <w:rPr>
          <w:rFonts w:cstheme="minorHAnsi"/>
          <w:color w:val="000000"/>
          <w:sz w:val="22"/>
          <w:szCs w:val="22"/>
        </w:rPr>
        <w:t xml:space="preserve"> </w:t>
      </w:r>
      <w:r w:rsidR="006F1F0D">
        <w:rPr>
          <w:rFonts w:cstheme="minorHAnsi"/>
          <w:sz w:val="22"/>
          <w:szCs w:val="22"/>
        </w:rPr>
        <w:t>[OHA].</w:t>
      </w:r>
      <w:r w:rsidRPr="006C3F9D">
        <w:rPr>
          <w:rFonts w:cstheme="minorHAnsi"/>
          <w:color w:val="000000"/>
          <w:sz w:val="22"/>
          <w:szCs w:val="22"/>
        </w:rPr>
        <w:t xml:space="preserve"> (n.d.(d))</w:t>
      </w:r>
      <w:r w:rsidR="006F1F0D">
        <w:rPr>
          <w:rFonts w:cstheme="minorHAnsi"/>
          <w:color w:val="000000"/>
          <w:sz w:val="22"/>
          <w:szCs w:val="22"/>
        </w:rPr>
        <w:t>.</w:t>
      </w:r>
      <w:r w:rsidRPr="006C3F9D">
        <w:rPr>
          <w:rFonts w:cstheme="minorHAnsi"/>
          <w:color w:val="000000"/>
          <w:sz w:val="22"/>
          <w:szCs w:val="22"/>
        </w:rPr>
        <w:t xml:space="preserve"> “Public Health and Health System Transformation.”</w:t>
      </w:r>
    </w:p>
    <w:p w14:paraId="0BDD0420" w14:textId="77777777" w:rsidR="006C3F9D" w:rsidRPr="006C3F9D" w:rsidRDefault="00101CB3"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hyperlink r:id="rId36" w:history="1">
        <w:r w:rsidR="006C3F9D" w:rsidRPr="006C3F9D">
          <w:rPr>
            <w:rStyle w:val="Hyperlink"/>
            <w:rFonts w:cstheme="minorHAnsi"/>
            <w:sz w:val="22"/>
            <w:szCs w:val="22"/>
          </w:rPr>
          <w:t>https://www.oregon.gov/oha/ph/providerpartnerresources/healthsystemtransformation/pages/index.aspx</w:t>
        </w:r>
      </w:hyperlink>
    </w:p>
    <w:p w14:paraId="38F3E76A"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0001924C"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cstheme="minorHAnsi"/>
          <w:sz w:val="22"/>
          <w:szCs w:val="22"/>
        </w:rPr>
      </w:pPr>
      <w:r w:rsidRPr="006C3F9D">
        <w:rPr>
          <w:rFonts w:cstheme="minorHAnsi"/>
          <w:sz w:val="22"/>
          <w:szCs w:val="22"/>
        </w:rPr>
        <w:t>Oregon Health Authority. (2021a). “</w:t>
      </w:r>
      <w:r w:rsidRPr="006C3F9D">
        <w:rPr>
          <w:rStyle w:val="markedcontent"/>
          <w:rFonts w:cstheme="minorHAnsi"/>
          <w:sz w:val="22"/>
          <w:szCs w:val="22"/>
        </w:rPr>
        <w:t>Data Brief:</w:t>
      </w:r>
      <w:r w:rsidRPr="006C3F9D">
        <w:rPr>
          <w:rFonts w:cstheme="minorHAnsi"/>
          <w:sz w:val="22"/>
          <w:szCs w:val="22"/>
        </w:rPr>
        <w:t xml:space="preserve"> </w:t>
      </w:r>
      <w:r w:rsidRPr="006C3F9D">
        <w:rPr>
          <w:rStyle w:val="markedcontent"/>
          <w:rFonts w:cstheme="minorHAnsi"/>
          <w:sz w:val="22"/>
          <w:szCs w:val="22"/>
        </w:rPr>
        <w:t>COVID-19 and the Changes to Oregon Residents’</w:t>
      </w:r>
      <w:r w:rsidRPr="006C3F9D">
        <w:rPr>
          <w:rFonts w:cstheme="minorHAnsi"/>
          <w:sz w:val="22"/>
          <w:szCs w:val="22"/>
        </w:rPr>
        <w:br/>
      </w:r>
      <w:r w:rsidRPr="006C3F9D">
        <w:rPr>
          <w:rStyle w:val="markedcontent"/>
          <w:rFonts w:cstheme="minorHAnsi"/>
          <w:sz w:val="22"/>
          <w:szCs w:val="22"/>
        </w:rPr>
        <w:t>Health Insurance</w:t>
      </w:r>
      <w:r w:rsidRPr="006C3F9D">
        <w:rPr>
          <w:rFonts w:cstheme="minorHAnsi"/>
          <w:sz w:val="22"/>
          <w:szCs w:val="22"/>
        </w:rPr>
        <w:t xml:space="preserve"> </w:t>
      </w:r>
      <w:r w:rsidRPr="006C3F9D">
        <w:rPr>
          <w:rStyle w:val="markedcontent"/>
          <w:rFonts w:cstheme="minorHAnsi"/>
          <w:sz w:val="22"/>
          <w:szCs w:val="22"/>
        </w:rPr>
        <w:t>Coverage.”</w:t>
      </w:r>
      <w:r w:rsidRPr="006C3F9D">
        <w:rPr>
          <w:rFonts w:cstheme="minorHAnsi"/>
          <w:sz w:val="22"/>
          <w:szCs w:val="22"/>
        </w:rPr>
        <w:t xml:space="preserve"> </w:t>
      </w:r>
      <w:r w:rsidRPr="006C3F9D">
        <w:rPr>
          <w:rStyle w:val="markedcontent"/>
          <w:rFonts w:cstheme="minorHAnsi"/>
          <w:sz w:val="22"/>
          <w:szCs w:val="22"/>
        </w:rPr>
        <w:t xml:space="preserve">Health Policy and Analytics, Oregon Health Authority. </w:t>
      </w:r>
      <w:hyperlink r:id="rId37" w:history="1">
        <w:r w:rsidRPr="006C3F9D">
          <w:rPr>
            <w:rStyle w:val="Hyperlink"/>
            <w:rFonts w:cstheme="minorHAnsi"/>
            <w:sz w:val="22"/>
            <w:szCs w:val="22"/>
          </w:rPr>
          <w:t>https://www.oregon.gov/oha/HPA/ANALYTICS/Documents/Coverage-stats-Jan2021-1-26-21-final.pdf</w:t>
        </w:r>
      </w:hyperlink>
    </w:p>
    <w:p w14:paraId="57561758"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markedcontent"/>
          <w:rFonts w:cstheme="minorHAnsi"/>
          <w:color w:val="000000" w:themeColor="text1"/>
          <w:sz w:val="22"/>
          <w:szCs w:val="22"/>
        </w:rPr>
      </w:pPr>
    </w:p>
    <w:p w14:paraId="1CCA6B7B"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Oregon Health Authority. (2021b). </w:t>
      </w:r>
      <w:r w:rsidRPr="006C3F9D">
        <w:rPr>
          <w:rFonts w:cstheme="minorHAnsi"/>
          <w:sz w:val="22"/>
          <w:szCs w:val="22"/>
        </w:rPr>
        <w:t>“</w:t>
      </w:r>
      <w:r w:rsidRPr="006C3F9D">
        <w:rPr>
          <w:rFonts w:cstheme="minorHAnsi"/>
          <w:color w:val="000000"/>
          <w:sz w:val="22"/>
          <w:szCs w:val="22"/>
        </w:rPr>
        <w:t xml:space="preserve">Health Care Workforce Committee Equity Framework: Report to the </w:t>
      </w:r>
    </w:p>
    <w:p w14:paraId="1C8A0D3A"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Oregon Health Policy Board.” </w:t>
      </w:r>
      <w:hyperlink r:id="rId38" w:history="1">
        <w:r w:rsidRPr="006C3F9D">
          <w:rPr>
            <w:rStyle w:val="Hyperlink"/>
            <w:rFonts w:cstheme="minorHAnsi"/>
            <w:sz w:val="22"/>
            <w:szCs w:val="22"/>
          </w:rPr>
          <w:t>https://www.oregon.gov/oha/HPA/HP-HCW/Documents/HCWF-Committee-Equity-Framework-Report-final-Oct-2021.pdf</w:t>
        </w:r>
      </w:hyperlink>
      <w:r w:rsidRPr="006C3F9D">
        <w:rPr>
          <w:rFonts w:cstheme="minorHAnsi"/>
          <w:color w:val="000000"/>
          <w:sz w:val="22"/>
          <w:szCs w:val="22"/>
        </w:rPr>
        <w:t xml:space="preserve"> </w:t>
      </w:r>
    </w:p>
    <w:p w14:paraId="772A1EBE"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p>
    <w:p w14:paraId="25EA5377"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r w:rsidRPr="006C3F9D">
        <w:rPr>
          <w:rFonts w:cstheme="minorHAnsi"/>
          <w:sz w:val="22"/>
          <w:szCs w:val="22"/>
        </w:rPr>
        <w:t xml:space="preserve">Oregon Health Leadership Council. (n.d.). “HIT Commons.” </w:t>
      </w:r>
      <w:hyperlink r:id="rId39" w:history="1">
        <w:r w:rsidRPr="006C3F9D">
          <w:rPr>
            <w:rStyle w:val="Hyperlink"/>
            <w:rFonts w:cstheme="minorHAnsi"/>
            <w:sz w:val="22"/>
            <w:szCs w:val="22"/>
          </w:rPr>
          <w:t>https://orhealthleadershipcouncil.org/hit-commons/</w:t>
        </w:r>
      </w:hyperlink>
      <w:r w:rsidRPr="006C3F9D">
        <w:rPr>
          <w:rFonts w:cstheme="minorHAnsi"/>
          <w:sz w:val="22"/>
          <w:szCs w:val="22"/>
        </w:rPr>
        <w:t xml:space="preserve"> </w:t>
      </w:r>
    </w:p>
    <w:p w14:paraId="2990BA33"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p>
    <w:p w14:paraId="3043F252"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Oregon Legislative Assembly. (2021). “House Resolution 6: </w:t>
      </w:r>
      <w:r w:rsidRPr="006C3F9D">
        <w:rPr>
          <w:rFonts w:cstheme="minorHAnsi"/>
          <w:sz w:val="22"/>
          <w:szCs w:val="22"/>
        </w:rPr>
        <w:t xml:space="preserve">Declaring Racism to be Public Health Crisis in this State.” </w:t>
      </w:r>
      <w:hyperlink r:id="rId40" w:history="1">
        <w:r w:rsidRPr="006C3F9D">
          <w:rPr>
            <w:rStyle w:val="Hyperlink"/>
            <w:rFonts w:cstheme="minorHAnsi"/>
            <w:sz w:val="22"/>
            <w:szCs w:val="22"/>
          </w:rPr>
          <w:t>https://olis.oregonlegislature.gov/liz/2021R1/Measures/Overview/HR6</w:t>
        </w:r>
      </w:hyperlink>
    </w:p>
    <w:p w14:paraId="39B40BAE" w14:textId="77777777" w:rsidR="006C3F9D" w:rsidRPr="006C3F9D" w:rsidRDefault="006C3F9D" w:rsidP="006C3F9D">
      <w:pPr>
        <w:rPr>
          <w:rFonts w:cstheme="minorHAnsi"/>
          <w:color w:val="000000"/>
          <w:sz w:val="22"/>
          <w:szCs w:val="22"/>
        </w:rPr>
      </w:pPr>
    </w:p>
    <w:p w14:paraId="4B30EE86"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 xml:space="preserve">Oregon Legislative Assembly. (2022). “House Bill 4052: </w:t>
      </w:r>
      <w:r w:rsidRPr="006C3F9D">
        <w:rPr>
          <w:rFonts w:cstheme="minorHAnsi"/>
          <w:sz w:val="22"/>
          <w:szCs w:val="22"/>
        </w:rPr>
        <w:t>Relating to Equity; and Declaring an Emergency.”</w:t>
      </w:r>
      <w:r w:rsidRPr="006C3F9D">
        <w:rPr>
          <w:rFonts w:cstheme="minorHAnsi"/>
          <w:color w:val="000000"/>
          <w:sz w:val="22"/>
          <w:szCs w:val="22"/>
        </w:rPr>
        <w:t xml:space="preserve"> </w:t>
      </w:r>
      <w:hyperlink r:id="rId41" w:history="1">
        <w:r w:rsidRPr="006C3F9D">
          <w:rPr>
            <w:rStyle w:val="Hyperlink"/>
            <w:rFonts w:cstheme="minorHAnsi"/>
            <w:sz w:val="22"/>
            <w:szCs w:val="22"/>
          </w:rPr>
          <w:t>https://olis.oregonlegislature.gov/liz/2022R1/Measures/Overview/HB4052</w:t>
        </w:r>
      </w:hyperlink>
    </w:p>
    <w:p w14:paraId="2F3B5C21"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p>
    <w:p w14:paraId="134A227A" w14:textId="77777777" w:rsidR="006C3F9D" w:rsidRPr="006C3F9D" w:rsidRDefault="006C3F9D" w:rsidP="006C3F9D">
      <w:pPr>
        <w:rPr>
          <w:rFonts w:cstheme="minorHAnsi"/>
          <w:sz w:val="22"/>
          <w:szCs w:val="22"/>
        </w:rPr>
      </w:pPr>
      <w:r w:rsidRPr="006C3F9D">
        <w:rPr>
          <w:rStyle w:val="markedcontent"/>
          <w:rFonts w:cstheme="minorHAnsi"/>
          <w:color w:val="000000" w:themeColor="text1"/>
          <w:sz w:val="22"/>
          <w:szCs w:val="22"/>
        </w:rPr>
        <w:t>Oregon Office of Rural Health. (n.d.). “</w:t>
      </w:r>
      <w:r w:rsidRPr="006C3F9D">
        <w:rPr>
          <w:rFonts w:cstheme="minorHAnsi"/>
          <w:sz w:val="22"/>
          <w:szCs w:val="22"/>
        </w:rPr>
        <w:t>Oregon Office of Rural Health Geographic Definitions.”</w:t>
      </w:r>
    </w:p>
    <w:p w14:paraId="1E19568C" w14:textId="77777777" w:rsidR="006C3F9D" w:rsidRPr="006C3F9D" w:rsidRDefault="00101CB3"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markedcontent"/>
          <w:rFonts w:cstheme="minorHAnsi"/>
          <w:color w:val="000000" w:themeColor="text1"/>
          <w:sz w:val="22"/>
          <w:szCs w:val="22"/>
        </w:rPr>
      </w:pPr>
      <w:hyperlink r:id="rId42" w:history="1">
        <w:r w:rsidR="006C3F9D" w:rsidRPr="006C3F9D">
          <w:rPr>
            <w:rStyle w:val="Hyperlink"/>
            <w:rFonts w:cstheme="minorHAnsi"/>
            <w:sz w:val="22"/>
            <w:szCs w:val="22"/>
          </w:rPr>
          <w:t>https://www.ohsu.edu/oregon-office-of-rural-health/about-rural-and-remote-data</w:t>
        </w:r>
      </w:hyperlink>
      <w:r w:rsidR="006C3F9D" w:rsidRPr="006C3F9D">
        <w:rPr>
          <w:rStyle w:val="markedcontent"/>
          <w:rFonts w:cstheme="minorHAnsi"/>
          <w:color w:val="000000" w:themeColor="text1"/>
          <w:sz w:val="22"/>
          <w:szCs w:val="22"/>
        </w:rPr>
        <w:t xml:space="preserve"> </w:t>
      </w:r>
    </w:p>
    <w:p w14:paraId="4D1A037D"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referencesauthors"/>
          <w:rFonts w:cstheme="minorHAnsi"/>
          <w:color w:val="000000" w:themeColor="text1"/>
          <w:sz w:val="22"/>
          <w:szCs w:val="22"/>
          <w:shd w:val="clear" w:color="auto" w:fill="FFFFFF"/>
        </w:rPr>
      </w:pPr>
    </w:p>
    <w:p w14:paraId="7A04A8F3" w14:textId="77777777" w:rsidR="006C3F9D" w:rsidRPr="006C3F9D" w:rsidRDefault="006C3F9D" w:rsidP="006C3F9D">
      <w:pPr>
        <w:rPr>
          <w:rFonts w:cstheme="minorHAnsi"/>
          <w:sz w:val="22"/>
          <w:szCs w:val="22"/>
        </w:rPr>
      </w:pPr>
      <w:r w:rsidRPr="006C3F9D">
        <w:rPr>
          <w:rFonts w:cstheme="minorHAnsi"/>
          <w:sz w:val="22"/>
          <w:szCs w:val="22"/>
        </w:rPr>
        <w:t>Oregon Secretary of State. (n.d.). “Community Mental Health Programs.” Oregon Statute 309.</w:t>
      </w:r>
    </w:p>
    <w:p w14:paraId="1FD26A9D" w14:textId="77777777" w:rsidR="006C3F9D" w:rsidRPr="006C3F9D" w:rsidRDefault="00101CB3" w:rsidP="006C3F9D">
      <w:pPr>
        <w:rPr>
          <w:rFonts w:cstheme="minorHAnsi"/>
          <w:sz w:val="22"/>
          <w:szCs w:val="22"/>
        </w:rPr>
      </w:pPr>
      <w:hyperlink r:id="rId43" w:tgtFrame="_blank" w:history="1">
        <w:r w:rsidR="006C3F9D" w:rsidRPr="006C3F9D">
          <w:rPr>
            <w:rStyle w:val="Hyperlink"/>
            <w:rFonts w:cstheme="minorHAnsi"/>
            <w:sz w:val="22"/>
            <w:szCs w:val="22"/>
          </w:rPr>
          <w:t>https://secure.sos.state.or.us/oard/displayDivisionRules.action;JSESSIONID_OARD=JNXjWofGW6aien3DZFm5QOXWk_gkWRcC7V1Bt5ZwGeNb6F4K3peJ!1490435588?selectedDivision=1011</w:t>
        </w:r>
      </w:hyperlink>
    </w:p>
    <w:p w14:paraId="6650D815" w14:textId="77777777" w:rsidR="006C3F9D" w:rsidRPr="006C3F9D" w:rsidRDefault="006C3F9D" w:rsidP="006C3F9D">
      <w:pPr>
        <w:rPr>
          <w:rFonts w:cstheme="minorHAnsi"/>
          <w:sz w:val="22"/>
          <w:szCs w:val="22"/>
        </w:rPr>
      </w:pPr>
    </w:p>
    <w:p w14:paraId="467E8FAB" w14:textId="584D75C8" w:rsidR="006C3F9D" w:rsidRPr="006C3F9D" w:rsidRDefault="009022DA" w:rsidP="006C3F9D">
      <w:pPr>
        <w:autoSpaceDE w:val="0"/>
        <w:autoSpaceDN w:val="0"/>
        <w:adjustRightInd w:val="0"/>
        <w:rPr>
          <w:rFonts w:cstheme="minorHAnsi"/>
          <w:color w:val="000000"/>
          <w:sz w:val="22"/>
          <w:szCs w:val="22"/>
        </w:rPr>
      </w:pPr>
      <w:r w:rsidRPr="006C3F9D">
        <w:rPr>
          <w:rFonts w:cstheme="minorHAnsi"/>
          <w:color w:val="000000"/>
          <w:sz w:val="22"/>
          <w:szCs w:val="22"/>
        </w:rPr>
        <w:t xml:space="preserve">Substance Abuse and Mental Health Services Administration </w:t>
      </w:r>
      <w:r>
        <w:rPr>
          <w:rFonts w:cstheme="minorHAnsi"/>
          <w:color w:val="000000"/>
          <w:sz w:val="22"/>
          <w:szCs w:val="22"/>
        </w:rPr>
        <w:t>[</w:t>
      </w:r>
      <w:r w:rsidR="006C3F9D" w:rsidRPr="006C3F9D">
        <w:rPr>
          <w:rFonts w:cstheme="minorHAnsi"/>
          <w:color w:val="000000"/>
          <w:sz w:val="22"/>
          <w:szCs w:val="22"/>
        </w:rPr>
        <w:t>SAMHSA</w:t>
      </w:r>
      <w:r>
        <w:rPr>
          <w:rFonts w:cstheme="minorHAnsi"/>
          <w:color w:val="000000"/>
          <w:sz w:val="22"/>
          <w:szCs w:val="22"/>
        </w:rPr>
        <w:t>]</w:t>
      </w:r>
      <w:r w:rsidR="006C3F9D" w:rsidRPr="006C3F9D">
        <w:rPr>
          <w:rFonts w:cstheme="minorHAnsi"/>
          <w:color w:val="000000"/>
          <w:sz w:val="22"/>
          <w:szCs w:val="22"/>
        </w:rPr>
        <w:t xml:space="preserve">. (n.d.). “Substance Abuse and Mental Health Services Administration--Behavioral Health Integration.” </w:t>
      </w:r>
      <w:hyperlink r:id="rId44" w:history="1">
        <w:r w:rsidR="006C3F9D" w:rsidRPr="006C3F9D">
          <w:rPr>
            <w:rStyle w:val="Hyperlink"/>
            <w:rFonts w:cstheme="minorHAnsi"/>
            <w:sz w:val="22"/>
            <w:szCs w:val="22"/>
          </w:rPr>
          <w:t>https://www.samhsa.gov/sites/default/files/samhsa-behavioral-health-integration.pdf</w:t>
        </w:r>
      </w:hyperlink>
      <w:r w:rsidR="006C3F9D" w:rsidRPr="006C3F9D">
        <w:rPr>
          <w:rFonts w:cstheme="minorHAnsi"/>
          <w:color w:val="000000"/>
          <w:sz w:val="22"/>
          <w:szCs w:val="22"/>
        </w:rPr>
        <w:t xml:space="preserve"> </w:t>
      </w:r>
    </w:p>
    <w:p w14:paraId="005A7E7F"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referencesauthors"/>
          <w:rFonts w:cstheme="minorHAnsi"/>
          <w:color w:val="000000" w:themeColor="text1"/>
          <w:sz w:val="22"/>
          <w:szCs w:val="22"/>
          <w:shd w:val="clear" w:color="auto" w:fill="FFFFFF"/>
        </w:rPr>
      </w:pPr>
    </w:p>
    <w:p w14:paraId="2AB38CC7"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markedcontent"/>
          <w:rFonts w:cstheme="minorHAnsi"/>
          <w:color w:val="000000" w:themeColor="text1"/>
          <w:sz w:val="22"/>
          <w:szCs w:val="22"/>
        </w:rPr>
      </w:pPr>
      <w:r w:rsidRPr="006C3F9D">
        <w:rPr>
          <w:rStyle w:val="referencesauthors"/>
          <w:rFonts w:cstheme="minorHAnsi"/>
          <w:color w:val="000000" w:themeColor="text1"/>
          <w:sz w:val="22"/>
          <w:szCs w:val="22"/>
          <w:shd w:val="clear" w:color="auto" w:fill="FFFFFF"/>
        </w:rPr>
        <w:t>Scharf, D.M., Eberhart, N.K., Schmidt, N., Vaughan, C.A., Dutta, T., Pincus, H.A., and Burnam, M.A. (2013). “</w:t>
      </w:r>
      <w:r w:rsidRPr="006C3F9D">
        <w:rPr>
          <w:rStyle w:val="referencesarticle-title"/>
          <w:rFonts w:cstheme="minorHAnsi"/>
          <w:color w:val="000000" w:themeColor="text1"/>
          <w:sz w:val="22"/>
          <w:szCs w:val="22"/>
          <w:shd w:val="clear" w:color="auto" w:fill="FFFFFF"/>
        </w:rPr>
        <w:t>Integrating Primary Care into Community Behavioral Health Settings: Programs and Early Implementation Experiences</w:t>
      </w:r>
      <w:r w:rsidRPr="006C3F9D">
        <w:rPr>
          <w:rFonts w:cstheme="minorHAnsi"/>
          <w:color w:val="000000" w:themeColor="text1"/>
          <w:sz w:val="22"/>
          <w:szCs w:val="22"/>
          <w:shd w:val="clear" w:color="auto" w:fill="FFFFFF"/>
        </w:rPr>
        <w:t>.”</w:t>
      </w:r>
      <w:r w:rsidRPr="006C3F9D">
        <w:rPr>
          <w:rFonts w:cstheme="minorHAnsi"/>
          <w:b/>
          <w:bCs/>
          <w:color w:val="000000" w:themeColor="text1"/>
          <w:sz w:val="22"/>
          <w:szCs w:val="22"/>
          <w:shd w:val="clear" w:color="auto" w:fill="FFFFFF"/>
        </w:rPr>
        <w:t xml:space="preserve"> </w:t>
      </w:r>
      <w:r w:rsidRPr="006C3F9D">
        <w:rPr>
          <w:rStyle w:val="Strong"/>
          <w:rFonts w:cstheme="minorHAnsi"/>
          <w:b w:val="0"/>
          <w:bCs w:val="0"/>
          <w:iCs/>
          <w:color w:val="000000" w:themeColor="text1"/>
          <w:sz w:val="22"/>
          <w:szCs w:val="22"/>
          <w:u w:val="single"/>
          <w:shd w:val="clear" w:color="auto" w:fill="FFFFFF"/>
        </w:rPr>
        <w:t>Psychiatric Services</w:t>
      </w:r>
      <w:r w:rsidRPr="006C3F9D">
        <w:rPr>
          <w:rFonts w:cstheme="minorHAnsi"/>
          <w:color w:val="000000" w:themeColor="text1"/>
          <w:sz w:val="22"/>
          <w:szCs w:val="22"/>
          <w:shd w:val="clear" w:color="auto" w:fill="FFFFFF"/>
        </w:rPr>
        <w:t> 64 (July 1): 660–665.</w:t>
      </w:r>
    </w:p>
    <w:p w14:paraId="452C8270"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rPr>
      </w:pPr>
    </w:p>
    <w:p w14:paraId="5794EA3D"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6C3F9D">
        <w:rPr>
          <w:rFonts w:cstheme="minorHAnsi"/>
          <w:color w:val="000000"/>
          <w:sz w:val="22"/>
          <w:szCs w:val="22"/>
        </w:rPr>
        <w:t>Secretary of State, Oregon Audits Division. (2020). “</w:t>
      </w:r>
      <w:r w:rsidRPr="006C3F9D">
        <w:rPr>
          <w:rStyle w:val="markedcontent"/>
          <w:rFonts w:cstheme="minorHAnsi"/>
          <w:sz w:val="22"/>
          <w:szCs w:val="22"/>
        </w:rPr>
        <w:t>Chronic and Systemic Issues in Oregon’s Mental</w:t>
      </w:r>
      <w:r w:rsidRPr="006C3F9D">
        <w:rPr>
          <w:rFonts w:cstheme="minorHAnsi"/>
          <w:sz w:val="22"/>
          <w:szCs w:val="22"/>
        </w:rPr>
        <w:br/>
      </w:r>
      <w:r w:rsidRPr="006C3F9D">
        <w:rPr>
          <w:rStyle w:val="markedcontent"/>
          <w:rFonts w:cstheme="minorHAnsi"/>
          <w:sz w:val="22"/>
          <w:szCs w:val="22"/>
        </w:rPr>
        <w:t>Health Treatment System Leave Children and Their</w:t>
      </w:r>
      <w:r w:rsidRPr="006C3F9D">
        <w:rPr>
          <w:rFonts w:cstheme="minorHAnsi"/>
          <w:sz w:val="22"/>
          <w:szCs w:val="22"/>
        </w:rPr>
        <w:t xml:space="preserve"> </w:t>
      </w:r>
      <w:r w:rsidRPr="006C3F9D">
        <w:rPr>
          <w:rStyle w:val="markedcontent"/>
          <w:rFonts w:cstheme="minorHAnsi"/>
          <w:sz w:val="22"/>
          <w:szCs w:val="22"/>
        </w:rPr>
        <w:t>Families in Crisis.”</w:t>
      </w:r>
      <w:r w:rsidRPr="006C3F9D">
        <w:rPr>
          <w:rFonts w:cstheme="minorHAnsi"/>
          <w:color w:val="000000"/>
          <w:sz w:val="22"/>
          <w:szCs w:val="22"/>
        </w:rPr>
        <w:t xml:space="preserve"> Oregon Health Authority. </w:t>
      </w:r>
      <w:hyperlink r:id="rId45" w:history="1">
        <w:r w:rsidRPr="006C3F9D">
          <w:rPr>
            <w:rStyle w:val="Hyperlink"/>
            <w:rFonts w:cstheme="minorHAnsi"/>
            <w:sz w:val="22"/>
            <w:szCs w:val="22"/>
          </w:rPr>
          <w:t>https://sos.oregon.gov/audits/Documents/2020-32.pdf</w:t>
        </w:r>
      </w:hyperlink>
    </w:p>
    <w:p w14:paraId="06EB010D"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00940FDE" w14:textId="77777777" w:rsidR="006C3F9D" w:rsidRPr="006C3F9D" w:rsidRDefault="006C3F9D" w:rsidP="006C3F9D">
      <w:pPr>
        <w:rPr>
          <w:rFonts w:cstheme="minorHAnsi"/>
          <w:sz w:val="22"/>
          <w:szCs w:val="22"/>
        </w:rPr>
      </w:pPr>
      <w:r w:rsidRPr="006C3F9D">
        <w:rPr>
          <w:rFonts w:cstheme="minorHAnsi"/>
          <w:sz w:val="22"/>
          <w:szCs w:val="22"/>
        </w:rPr>
        <w:t xml:space="preserve">U.S. Census Bureau. (2022). “American Community Survey 2016-2020 5-Year Data Release.” </w:t>
      </w:r>
      <w:hyperlink r:id="rId46" w:history="1">
        <w:r w:rsidRPr="006C3F9D">
          <w:rPr>
            <w:rStyle w:val="Hyperlink"/>
            <w:rFonts w:cstheme="minorHAnsi"/>
            <w:sz w:val="22"/>
            <w:szCs w:val="22"/>
          </w:rPr>
          <w:t>https://www.census.gov/newsroom/press-kits/2021/acs-5-year.html</w:t>
        </w:r>
      </w:hyperlink>
      <w:r w:rsidRPr="006C3F9D">
        <w:rPr>
          <w:rFonts w:cstheme="minorHAnsi"/>
          <w:sz w:val="22"/>
          <w:szCs w:val="22"/>
        </w:rPr>
        <w:t xml:space="preserve">. </w:t>
      </w:r>
    </w:p>
    <w:p w14:paraId="4B315758"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3EF09E71"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cstheme="minorHAnsi"/>
          <w:sz w:val="22"/>
          <w:szCs w:val="22"/>
        </w:rPr>
      </w:pPr>
      <w:r w:rsidRPr="006C3F9D">
        <w:rPr>
          <w:rFonts w:cstheme="minorHAnsi"/>
          <w:sz w:val="22"/>
          <w:szCs w:val="22"/>
        </w:rPr>
        <w:t xml:space="preserve">U.S. Congress. (2014). “Excellence in Mental Health Act.” </w:t>
      </w:r>
      <w:hyperlink r:id="rId47" w:history="1">
        <w:r w:rsidRPr="006C3F9D">
          <w:rPr>
            <w:rStyle w:val="Hyperlink"/>
            <w:rFonts w:cstheme="minorHAnsi"/>
            <w:sz w:val="22"/>
            <w:szCs w:val="22"/>
          </w:rPr>
          <w:t>https://www.congress.gov/bill/113th-congress/senate-bill/264</w:t>
        </w:r>
      </w:hyperlink>
    </w:p>
    <w:p w14:paraId="2FFB2154"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503A69E8"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r w:rsidRPr="006C3F9D">
        <w:rPr>
          <w:rFonts w:cstheme="minorHAnsi"/>
          <w:sz w:val="22"/>
          <w:szCs w:val="22"/>
        </w:rPr>
        <w:t xml:space="preserve">U.S. Department of Health and Human Services [U.S. DHHS]. (December 21, 2016). “HHS Selects Oregon for a New Program to Improve Access to High Quality Behavioral Health Services.” </w:t>
      </w:r>
      <w:r w:rsidRPr="006C3F9D">
        <w:rPr>
          <w:rFonts w:cstheme="minorHAnsi"/>
          <w:iCs/>
          <w:sz w:val="22"/>
          <w:szCs w:val="22"/>
          <w:u w:val="single"/>
        </w:rPr>
        <w:t>The Lund Report</w:t>
      </w:r>
      <w:r w:rsidRPr="006C3F9D">
        <w:rPr>
          <w:rFonts w:cstheme="minorHAnsi"/>
          <w:i/>
          <w:sz w:val="22"/>
          <w:szCs w:val="22"/>
        </w:rPr>
        <w:t>.</w:t>
      </w:r>
      <w:r w:rsidRPr="006C3F9D">
        <w:rPr>
          <w:rFonts w:cstheme="minorHAnsi"/>
          <w:iCs/>
          <w:sz w:val="22"/>
          <w:szCs w:val="22"/>
        </w:rPr>
        <w:t xml:space="preserve"> </w:t>
      </w:r>
      <w:hyperlink r:id="rId48" w:history="1">
        <w:r w:rsidRPr="006C3F9D">
          <w:rPr>
            <w:rStyle w:val="Hyperlink"/>
            <w:rFonts w:cstheme="minorHAnsi"/>
            <w:sz w:val="22"/>
            <w:szCs w:val="22"/>
          </w:rPr>
          <w:t>https://www.thelundreport.org/content/hhs-selects-oregon-new-program-improve-access-high-quality-behavioral-health-services</w:t>
        </w:r>
      </w:hyperlink>
    </w:p>
    <w:p w14:paraId="6BFDD3AD"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p>
    <w:p w14:paraId="03AE915B" w14:textId="77777777" w:rsidR="006C3F9D" w:rsidRPr="006C3F9D" w:rsidRDefault="006C3F9D" w:rsidP="006C3F9D">
      <w:pPr>
        <w:autoSpaceDE w:val="0"/>
        <w:autoSpaceDN w:val="0"/>
        <w:adjustRightInd w:val="0"/>
        <w:rPr>
          <w:rFonts w:cstheme="minorHAnsi"/>
          <w:color w:val="000000" w:themeColor="text1"/>
          <w:sz w:val="22"/>
          <w:szCs w:val="22"/>
        </w:rPr>
      </w:pPr>
      <w:r w:rsidRPr="006C3F9D">
        <w:rPr>
          <w:rFonts w:cstheme="minorHAnsi"/>
          <w:color w:val="000000" w:themeColor="text1"/>
          <w:sz w:val="22"/>
          <w:szCs w:val="22"/>
        </w:rPr>
        <w:t xml:space="preserve">W.K. Kellogg Foundation. (2021). “Doing Evaluation in Service of Racial Equity.” </w:t>
      </w:r>
      <w:hyperlink r:id="rId49" w:history="1">
        <w:r w:rsidRPr="006C3F9D">
          <w:rPr>
            <w:rStyle w:val="Hyperlink"/>
            <w:rFonts w:cstheme="minorHAnsi"/>
            <w:sz w:val="22"/>
            <w:szCs w:val="22"/>
          </w:rPr>
          <w:t>https://everychildthrives.com/doing-evaluation-in-service-of-racial-equity/</w:t>
        </w:r>
      </w:hyperlink>
    </w:p>
    <w:p w14:paraId="5B0B0D20" w14:textId="77777777" w:rsidR="006C3F9D" w:rsidRPr="006C3F9D" w:rsidRDefault="006C3F9D" w:rsidP="006C3F9D">
      <w:pPr>
        <w:autoSpaceDE w:val="0"/>
        <w:autoSpaceDN w:val="0"/>
        <w:adjustRightInd w:val="0"/>
        <w:rPr>
          <w:rFonts w:cstheme="minorHAnsi"/>
          <w:color w:val="000000" w:themeColor="text1"/>
          <w:sz w:val="22"/>
          <w:szCs w:val="22"/>
        </w:rPr>
      </w:pPr>
    </w:p>
    <w:p w14:paraId="52035FE3" w14:textId="77777777" w:rsidR="006C3F9D" w:rsidRPr="006C3F9D" w:rsidRDefault="006C3F9D" w:rsidP="006C3F9D">
      <w:pPr>
        <w:rPr>
          <w:rFonts w:cstheme="minorHAnsi"/>
          <w:sz w:val="22"/>
          <w:szCs w:val="22"/>
        </w:rPr>
      </w:pPr>
      <w:r w:rsidRPr="006C3F9D">
        <w:rPr>
          <w:rFonts w:cstheme="minorHAnsi"/>
          <w:sz w:val="22"/>
          <w:szCs w:val="22"/>
        </w:rPr>
        <w:t>White House. (March 1, 2022). “Fact Sheet: President</w:t>
      </w:r>
      <w:r w:rsidRPr="006C3F9D">
        <w:rPr>
          <w:rStyle w:val="dewidow"/>
          <w:rFonts w:cstheme="minorHAnsi"/>
          <w:color w:val="000000" w:themeColor="text1"/>
          <w:sz w:val="22"/>
          <w:szCs w:val="22"/>
        </w:rPr>
        <w:t> </w:t>
      </w:r>
      <w:r w:rsidRPr="006C3F9D">
        <w:rPr>
          <w:rFonts w:cstheme="minorHAnsi"/>
          <w:sz w:val="22"/>
          <w:szCs w:val="22"/>
        </w:rPr>
        <w:t>Biden to Announce Strategy to Address Our National Mental Health Crisis, As Part of Unity Agenda in His First State of the</w:t>
      </w:r>
      <w:r w:rsidRPr="006C3F9D">
        <w:rPr>
          <w:rStyle w:val="dewidow"/>
          <w:rFonts w:cstheme="minorHAnsi"/>
          <w:color w:val="000000" w:themeColor="text1"/>
          <w:sz w:val="22"/>
          <w:szCs w:val="22"/>
        </w:rPr>
        <w:t> </w:t>
      </w:r>
      <w:r w:rsidRPr="006C3F9D">
        <w:rPr>
          <w:rFonts w:cstheme="minorHAnsi"/>
          <w:sz w:val="22"/>
          <w:szCs w:val="22"/>
        </w:rPr>
        <w:t xml:space="preserve">Union.” </w:t>
      </w:r>
      <w:hyperlink r:id="rId50" w:history="1">
        <w:r w:rsidRPr="006C3F9D">
          <w:rPr>
            <w:rStyle w:val="Hyperlink"/>
            <w:rFonts w:cstheme="minorHAnsi"/>
            <w:sz w:val="22"/>
            <w:szCs w:val="22"/>
          </w:rPr>
          <w:t>https://www.whitehouse.gov/briefing-room/statements-releases/2022/03/01/fact-sheet-president-biden-to-announce-strategy-to-address-our-national-mental-health-crisis-as-part-of-unity-agenda-in-his-first-state-of-the-union/</w:t>
        </w:r>
      </w:hyperlink>
      <w:r w:rsidRPr="006C3F9D">
        <w:rPr>
          <w:rFonts w:cstheme="minorHAnsi"/>
          <w:sz w:val="22"/>
          <w:szCs w:val="22"/>
        </w:rPr>
        <w:t xml:space="preserve"> </w:t>
      </w:r>
    </w:p>
    <w:p w14:paraId="66826A71" w14:textId="77777777" w:rsidR="006C3F9D" w:rsidRPr="006C3F9D" w:rsidRDefault="006C3F9D" w:rsidP="006C3F9D">
      <w:pPr>
        <w:autoSpaceDE w:val="0"/>
        <w:autoSpaceDN w:val="0"/>
        <w:adjustRightInd w:val="0"/>
        <w:rPr>
          <w:rFonts w:cstheme="minorHAnsi"/>
          <w:color w:val="000000" w:themeColor="text1"/>
          <w:sz w:val="22"/>
          <w:szCs w:val="22"/>
        </w:rPr>
      </w:pPr>
    </w:p>
    <w:p w14:paraId="343A6F3B" w14:textId="77777777" w:rsidR="006C3F9D" w:rsidRPr="006C3F9D" w:rsidRDefault="006C3F9D" w:rsidP="006C3F9D">
      <w:pPr>
        <w:autoSpaceDE w:val="0"/>
        <w:autoSpaceDN w:val="0"/>
        <w:adjustRightInd w:val="0"/>
        <w:rPr>
          <w:rFonts w:cstheme="minorHAnsi"/>
          <w:sz w:val="22"/>
          <w:szCs w:val="22"/>
        </w:rPr>
      </w:pPr>
      <w:r w:rsidRPr="006C3F9D">
        <w:rPr>
          <w:rFonts w:cstheme="minorHAnsi"/>
          <w:color w:val="000000" w:themeColor="text1"/>
          <w:sz w:val="22"/>
          <w:szCs w:val="22"/>
        </w:rPr>
        <w:t>Yearby, R. (2020). “</w:t>
      </w:r>
      <w:r w:rsidRPr="006C3F9D">
        <w:rPr>
          <w:rFonts w:cstheme="minorHAnsi"/>
          <w:sz w:val="22"/>
          <w:szCs w:val="22"/>
        </w:rPr>
        <w:t xml:space="preserve">Structural Racism and Health Disparities: Reconfiguring the Social Determinants of Health Framework to Include the Root Cause.” </w:t>
      </w:r>
      <w:r w:rsidRPr="006C3F9D">
        <w:rPr>
          <w:rFonts w:cstheme="minorHAnsi"/>
          <w:sz w:val="22"/>
          <w:szCs w:val="22"/>
          <w:u w:val="single"/>
        </w:rPr>
        <w:t>The Journal of Law, Medicine &amp; Ethics</w:t>
      </w:r>
      <w:r w:rsidRPr="006C3F9D">
        <w:rPr>
          <w:rFonts w:cstheme="minorHAnsi"/>
          <w:sz w:val="22"/>
          <w:szCs w:val="22"/>
        </w:rPr>
        <w:t xml:space="preserve"> 48 (2020): 518-526. </w:t>
      </w:r>
    </w:p>
    <w:p w14:paraId="40C9FFC7" w14:textId="77777777" w:rsidR="006C3F9D" w:rsidRPr="006C3F9D" w:rsidRDefault="006C3F9D" w:rsidP="006C3F9D">
      <w:pPr>
        <w:autoSpaceDE w:val="0"/>
        <w:autoSpaceDN w:val="0"/>
        <w:adjustRightInd w:val="0"/>
        <w:rPr>
          <w:rFonts w:cstheme="minorHAnsi"/>
          <w:sz w:val="22"/>
          <w:szCs w:val="22"/>
        </w:rPr>
      </w:pPr>
    </w:p>
    <w:p w14:paraId="20664ADD"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theme="minorHAnsi"/>
          <w:sz w:val="22"/>
          <w:szCs w:val="22"/>
        </w:rPr>
      </w:pPr>
      <w:r w:rsidRPr="006C3F9D">
        <w:rPr>
          <w:rFonts w:eastAsia="Calibri" w:cstheme="minorHAnsi"/>
          <w:color w:val="000000" w:themeColor="text1"/>
          <w:sz w:val="22"/>
          <w:szCs w:val="22"/>
        </w:rPr>
        <w:t xml:space="preserve">Yu, E. and Haskins, J. (2022). “Centering Equity in Community Health Partnerships.” </w:t>
      </w:r>
      <w:r w:rsidRPr="006C3F9D">
        <w:rPr>
          <w:rFonts w:eastAsia="Calibri" w:cstheme="minorHAnsi"/>
          <w:color w:val="000000" w:themeColor="text1"/>
          <w:sz w:val="22"/>
          <w:szCs w:val="22"/>
          <w:u w:val="single"/>
        </w:rPr>
        <w:t xml:space="preserve">Journal of Public </w:t>
      </w:r>
      <w:r w:rsidRPr="006C3F9D">
        <w:rPr>
          <w:rFonts w:eastAsia="Calibri" w:cstheme="minorHAnsi"/>
          <w:sz w:val="22"/>
          <w:szCs w:val="22"/>
          <w:u w:val="single"/>
        </w:rPr>
        <w:t>Health Management and Practice</w:t>
      </w:r>
      <w:r w:rsidRPr="006C3F9D">
        <w:rPr>
          <w:rFonts w:eastAsia="Calibri" w:cstheme="minorHAnsi"/>
          <w:sz w:val="22"/>
          <w:szCs w:val="22"/>
        </w:rPr>
        <w:t xml:space="preserve"> 28 (3, May/June): 324-325.</w:t>
      </w:r>
    </w:p>
    <w:p w14:paraId="0F52C466" w14:textId="77777777" w:rsidR="006C3F9D" w:rsidRPr="006C3F9D" w:rsidRDefault="006C3F9D" w:rsidP="006C3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sz w:val="22"/>
          <w:szCs w:val="22"/>
        </w:rPr>
      </w:pPr>
    </w:p>
    <w:p w14:paraId="754534CC" w14:textId="3D378756" w:rsidR="006C3F9D" w:rsidRPr="006C3F9D" w:rsidRDefault="006C3F9D" w:rsidP="006C3F9D">
      <w:pPr>
        <w:rPr>
          <w:rStyle w:val="markedcontent"/>
          <w:rFonts w:cstheme="minorHAnsi"/>
          <w:sz w:val="22"/>
          <w:szCs w:val="22"/>
        </w:rPr>
      </w:pPr>
      <w:r w:rsidRPr="006C3F9D">
        <w:rPr>
          <w:rStyle w:val="markedcontent"/>
          <w:rFonts w:cstheme="minorHAnsi"/>
          <w:sz w:val="22"/>
          <w:szCs w:val="22"/>
        </w:rPr>
        <w:t>Zhu, J.M., Howington, D., Hallett, E., et al. (2022). “Behavioral Health Workforce</w:t>
      </w:r>
      <w:r w:rsidRPr="006C3F9D">
        <w:rPr>
          <w:rFonts w:cstheme="minorHAnsi"/>
          <w:sz w:val="22"/>
          <w:szCs w:val="22"/>
        </w:rPr>
        <w:t xml:space="preserve"> </w:t>
      </w:r>
      <w:r w:rsidRPr="006C3F9D">
        <w:rPr>
          <w:rStyle w:val="markedcontent"/>
          <w:rFonts w:cstheme="minorHAnsi"/>
          <w:sz w:val="22"/>
          <w:szCs w:val="22"/>
        </w:rPr>
        <w:t>Report to the Oregon Health</w:t>
      </w:r>
      <w:r w:rsidRPr="006C3F9D">
        <w:rPr>
          <w:rFonts w:cstheme="minorHAnsi"/>
          <w:sz w:val="22"/>
          <w:szCs w:val="22"/>
        </w:rPr>
        <w:t xml:space="preserve"> </w:t>
      </w:r>
      <w:r w:rsidRPr="006C3F9D">
        <w:rPr>
          <w:rStyle w:val="markedcontent"/>
          <w:rFonts w:cstheme="minorHAnsi"/>
          <w:sz w:val="22"/>
          <w:szCs w:val="22"/>
        </w:rPr>
        <w:t xml:space="preserve">Authority and State Legislature.” Center for Health Systems Effectiveness, Oregon Health &amp; Science University. </w:t>
      </w:r>
      <w:hyperlink r:id="rId51" w:history="1">
        <w:r w:rsidR="00ED2F5A" w:rsidRPr="00F61FA4">
          <w:rPr>
            <w:rStyle w:val="Hyperlink"/>
            <w:rFonts w:cstheme="minorHAnsi"/>
            <w:sz w:val="22"/>
            <w:szCs w:val="22"/>
          </w:rPr>
          <w:t>https://www.oregon.gov/oha/ERD/SiteAssets/Pages/Government-Relations/Behavioral%20Health%20Workforce%20Wage%20Study%20Report-Final%20020122.pdf</w:t>
        </w:r>
      </w:hyperlink>
    </w:p>
    <w:p w14:paraId="1AE50FE2" w14:textId="3E4E2031" w:rsidR="00A32D37" w:rsidRDefault="00A32D37" w:rsidP="00A32D37">
      <w:pPr>
        <w:rPr>
          <w:rFonts w:cstheme="minorHAnsi"/>
          <w:b/>
          <w:bCs/>
          <w:sz w:val="22"/>
          <w:szCs w:val="22"/>
        </w:rPr>
      </w:pPr>
    </w:p>
    <w:p w14:paraId="5635C952" w14:textId="6879409A" w:rsidR="001D23F4" w:rsidRDefault="001D23F4" w:rsidP="00A32D37">
      <w:pPr>
        <w:rPr>
          <w:rFonts w:cstheme="minorHAnsi"/>
          <w:b/>
          <w:bCs/>
          <w:sz w:val="22"/>
          <w:szCs w:val="22"/>
        </w:rPr>
      </w:pPr>
    </w:p>
    <w:p w14:paraId="0EB050C7" w14:textId="77777777" w:rsidR="001D23F4" w:rsidRDefault="001D23F4" w:rsidP="00A32D37"/>
    <w:p w14:paraId="7D420186" w14:textId="77777777" w:rsidR="00A32D37" w:rsidRDefault="00A32D37" w:rsidP="00A32D37">
      <w:pPr>
        <w:sectPr w:rsidR="00A32D37" w:rsidSect="00EF758A">
          <w:pgSz w:w="12240" w:h="15840"/>
          <w:pgMar w:top="1440" w:right="1440" w:bottom="1152" w:left="1440" w:header="720" w:footer="720" w:gutter="0"/>
          <w:pgNumType w:start="1"/>
          <w:cols w:space="720"/>
          <w:docGrid w:linePitch="360"/>
        </w:sectPr>
      </w:pPr>
    </w:p>
    <w:p w14:paraId="1AE3511B" w14:textId="77777777" w:rsidR="00183C5B" w:rsidRPr="007523A8" w:rsidRDefault="00845716" w:rsidP="007523A8">
      <w:pPr>
        <w:pStyle w:val="Heading1"/>
        <w:spacing w:before="0"/>
        <w:rPr>
          <w:rFonts w:asciiTheme="minorHAnsi" w:hAnsiTheme="minorHAnsi" w:cstheme="minorHAnsi"/>
          <w:b/>
          <w:bCs/>
          <w:color w:val="6A7F0F"/>
          <w:sz w:val="40"/>
          <w:szCs w:val="40"/>
        </w:rPr>
      </w:pPr>
      <w:bookmarkStart w:id="51" w:name="_Toc126068191"/>
      <w:r w:rsidRPr="007523A8">
        <w:rPr>
          <w:rFonts w:asciiTheme="minorHAnsi" w:hAnsiTheme="minorHAnsi" w:cstheme="minorHAnsi"/>
          <w:b/>
          <w:bCs/>
          <w:color w:val="6A7F0F"/>
          <w:sz w:val="40"/>
          <w:szCs w:val="40"/>
        </w:rPr>
        <w:t>Appendices</w:t>
      </w:r>
      <w:bookmarkEnd w:id="51"/>
    </w:p>
    <w:p w14:paraId="3DF604CB" w14:textId="33A38378" w:rsidR="00DE38DB" w:rsidRDefault="00DE38DB" w:rsidP="00DE38DB"/>
    <w:p w14:paraId="088EF56E" w14:textId="13770C9E" w:rsidR="001D23F4" w:rsidRDefault="00101CB3" w:rsidP="001D23F4">
      <w:pPr>
        <w:ind w:left="1170" w:hanging="1170"/>
        <w:rPr>
          <w:rFonts w:cstheme="minorHAnsi"/>
          <w:sz w:val="22"/>
          <w:szCs w:val="22"/>
        </w:rPr>
      </w:pPr>
      <w:hyperlink w:anchor="_Appendix_1:_Summary" w:history="1">
        <w:r w:rsidR="001D23F4" w:rsidRPr="009A7A5B">
          <w:rPr>
            <w:rStyle w:val="Hyperlink"/>
            <w:rFonts w:cstheme="minorHAnsi"/>
            <w:b/>
            <w:bCs/>
            <w:sz w:val="22"/>
            <w:szCs w:val="22"/>
          </w:rPr>
          <w:t>Appendix 1</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Summary of Themes from Review of Community Health Improvement Plans and</w:t>
      </w:r>
      <w:r w:rsidR="001D23F4">
        <w:rPr>
          <w:rFonts w:cstheme="minorHAnsi"/>
          <w:sz w:val="22"/>
          <w:szCs w:val="22"/>
        </w:rPr>
        <w:t xml:space="preserve">      </w:t>
      </w:r>
      <w:r w:rsidR="001D23F4" w:rsidRPr="0043136F">
        <w:rPr>
          <w:rFonts w:cstheme="minorHAnsi"/>
          <w:sz w:val="22"/>
          <w:szCs w:val="22"/>
        </w:rPr>
        <w:t>Community Health Assessments</w:t>
      </w:r>
    </w:p>
    <w:p w14:paraId="6F6A439E" w14:textId="77777777" w:rsidR="001D23F4" w:rsidRDefault="001D23F4" w:rsidP="001D23F4">
      <w:pPr>
        <w:rPr>
          <w:rFonts w:cstheme="minorHAnsi"/>
          <w:sz w:val="22"/>
          <w:szCs w:val="22"/>
        </w:rPr>
      </w:pPr>
    </w:p>
    <w:p w14:paraId="5AB0E940" w14:textId="2D3B49A5" w:rsidR="001D23F4" w:rsidRPr="004D58DD" w:rsidRDefault="00101CB3" w:rsidP="001D23F4">
      <w:pPr>
        <w:rPr>
          <w:rFonts w:cstheme="minorHAnsi"/>
          <w:sz w:val="22"/>
          <w:szCs w:val="22"/>
        </w:rPr>
      </w:pPr>
      <w:hyperlink w:anchor="_Appendix_2:_Maps" w:history="1">
        <w:r w:rsidR="001D23F4" w:rsidRPr="009A7A5B">
          <w:rPr>
            <w:rStyle w:val="Hyperlink"/>
            <w:rFonts w:cstheme="minorHAnsi"/>
            <w:b/>
            <w:bCs/>
            <w:sz w:val="22"/>
            <w:szCs w:val="22"/>
          </w:rPr>
          <w:t>Appendix 2</w:t>
        </w:r>
      </w:hyperlink>
      <w:r w:rsidR="001D23F4" w:rsidRPr="001D23F4">
        <w:rPr>
          <w:rFonts w:cstheme="minorHAnsi"/>
          <w:b/>
          <w:bCs/>
          <w:sz w:val="22"/>
          <w:szCs w:val="22"/>
        </w:rPr>
        <w:t>:</w:t>
      </w:r>
      <w:r w:rsidR="001D23F4" w:rsidRPr="004D58DD">
        <w:rPr>
          <w:rFonts w:cstheme="minorHAnsi"/>
          <w:sz w:val="22"/>
          <w:szCs w:val="22"/>
        </w:rPr>
        <w:t xml:space="preserve"> </w:t>
      </w:r>
      <w:r w:rsidR="001D23F4">
        <w:rPr>
          <w:rFonts w:cstheme="minorHAnsi"/>
          <w:sz w:val="22"/>
          <w:szCs w:val="22"/>
        </w:rPr>
        <w:t xml:space="preserve"> </w:t>
      </w:r>
      <w:r w:rsidR="001D23F4" w:rsidRPr="004D58DD">
        <w:rPr>
          <w:rFonts w:cstheme="minorHAnsi"/>
          <w:sz w:val="22"/>
          <w:szCs w:val="22"/>
        </w:rPr>
        <w:t>Maps Illustrating Oregon’s Population by Race/Ethnicity</w:t>
      </w:r>
    </w:p>
    <w:p w14:paraId="4FF128F8" w14:textId="77777777" w:rsidR="001D23F4" w:rsidRPr="0043136F" w:rsidRDefault="001D23F4" w:rsidP="001D23F4">
      <w:pPr>
        <w:rPr>
          <w:rFonts w:cstheme="minorHAnsi"/>
          <w:sz w:val="22"/>
          <w:szCs w:val="22"/>
        </w:rPr>
      </w:pPr>
    </w:p>
    <w:p w14:paraId="71BDA16F" w14:textId="62F561A8" w:rsidR="001D23F4" w:rsidRPr="006C6578" w:rsidRDefault="00101CB3" w:rsidP="001D23F4">
      <w:pPr>
        <w:rPr>
          <w:rFonts w:cstheme="minorHAnsi"/>
          <w:sz w:val="22"/>
          <w:szCs w:val="22"/>
          <w:u w:val="single"/>
        </w:rPr>
      </w:pPr>
      <w:hyperlink w:anchor="_Appendix_3:_Detailed" w:history="1">
        <w:r w:rsidR="001D23F4" w:rsidRPr="009A7A5B">
          <w:rPr>
            <w:rStyle w:val="Hyperlink"/>
            <w:rFonts w:cstheme="minorHAnsi"/>
            <w:b/>
            <w:bCs/>
            <w:sz w:val="22"/>
            <w:szCs w:val="22"/>
          </w:rPr>
          <w:t>Appendix 3</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Detailed Methodology Overview</w:t>
      </w:r>
    </w:p>
    <w:p w14:paraId="12E71C62" w14:textId="15883F22" w:rsidR="001D23F4" w:rsidRPr="0043136F" w:rsidRDefault="001D23F4" w:rsidP="001D23F4">
      <w:pPr>
        <w:rPr>
          <w:rFonts w:cstheme="minorHAnsi"/>
          <w:sz w:val="22"/>
          <w:szCs w:val="22"/>
        </w:rPr>
      </w:pPr>
    </w:p>
    <w:p w14:paraId="47389539" w14:textId="4D5691FE" w:rsidR="001D23F4" w:rsidRPr="0043136F" w:rsidRDefault="00101CB3" w:rsidP="001D23F4">
      <w:pPr>
        <w:rPr>
          <w:rFonts w:cstheme="minorHAnsi"/>
          <w:sz w:val="22"/>
          <w:szCs w:val="22"/>
        </w:rPr>
      </w:pPr>
      <w:hyperlink w:anchor="_Appendix_4:_Extended" w:history="1">
        <w:r w:rsidR="001D23F4" w:rsidRPr="009A7A5B">
          <w:rPr>
            <w:rStyle w:val="Hyperlink"/>
            <w:rFonts w:cstheme="minorHAnsi"/>
            <w:b/>
            <w:bCs/>
            <w:sz w:val="22"/>
            <w:szCs w:val="22"/>
          </w:rPr>
          <w:t>Appendix 4</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 xml:space="preserve">Extended Report of Feedback from CCBHC Service Users </w:t>
      </w:r>
    </w:p>
    <w:p w14:paraId="60C17955" w14:textId="77777777" w:rsidR="001D23F4" w:rsidRPr="0043136F" w:rsidRDefault="001D23F4" w:rsidP="001D23F4">
      <w:pPr>
        <w:rPr>
          <w:rFonts w:cstheme="minorHAnsi"/>
          <w:sz w:val="22"/>
          <w:szCs w:val="22"/>
        </w:rPr>
      </w:pPr>
    </w:p>
    <w:p w14:paraId="7958929C" w14:textId="1F5A3D7E" w:rsidR="001D23F4" w:rsidRPr="0043136F" w:rsidRDefault="00101CB3" w:rsidP="001D23F4">
      <w:pPr>
        <w:rPr>
          <w:rFonts w:cstheme="minorHAnsi"/>
          <w:sz w:val="22"/>
          <w:szCs w:val="22"/>
        </w:rPr>
      </w:pPr>
      <w:hyperlink w:anchor="_Appendix_5:_Extended" w:history="1">
        <w:r w:rsidR="001D23F4" w:rsidRPr="009A7A5B">
          <w:rPr>
            <w:rStyle w:val="Hyperlink"/>
            <w:rFonts w:cstheme="minorHAnsi"/>
            <w:b/>
            <w:bCs/>
            <w:sz w:val="22"/>
            <w:szCs w:val="22"/>
          </w:rPr>
          <w:t>Appendix 5</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 xml:space="preserve">Extended Report of Feedback from CCBHC Clinic Administrators and Clinical Leaders </w:t>
      </w:r>
    </w:p>
    <w:p w14:paraId="55FD579E" w14:textId="77777777" w:rsidR="001D23F4" w:rsidRPr="0043136F" w:rsidRDefault="001D23F4" w:rsidP="001D23F4">
      <w:pPr>
        <w:rPr>
          <w:rFonts w:cstheme="minorHAnsi"/>
          <w:sz w:val="22"/>
          <w:szCs w:val="22"/>
        </w:rPr>
      </w:pPr>
    </w:p>
    <w:p w14:paraId="7317266E" w14:textId="2654C18B" w:rsidR="001D23F4" w:rsidRPr="0043136F" w:rsidRDefault="00101CB3" w:rsidP="001D23F4">
      <w:pPr>
        <w:ind w:left="1170" w:hanging="1170"/>
        <w:rPr>
          <w:rFonts w:cstheme="minorHAnsi"/>
          <w:sz w:val="22"/>
          <w:szCs w:val="22"/>
        </w:rPr>
      </w:pPr>
      <w:hyperlink w:anchor="_Appendix_6:_Appendix" w:history="1">
        <w:r w:rsidR="001D23F4" w:rsidRPr="009A7A5B">
          <w:rPr>
            <w:rStyle w:val="Hyperlink"/>
            <w:rFonts w:cstheme="minorHAnsi"/>
            <w:b/>
            <w:bCs/>
            <w:sz w:val="22"/>
            <w:szCs w:val="22"/>
          </w:rPr>
          <w:t>Appendix 6</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 xml:space="preserve">Extended Report of Feedback from </w:t>
      </w:r>
      <w:r w:rsidR="001D23F4">
        <w:rPr>
          <w:rFonts w:cstheme="minorHAnsi"/>
          <w:sz w:val="22"/>
          <w:szCs w:val="22"/>
        </w:rPr>
        <w:t xml:space="preserve">Key </w:t>
      </w:r>
      <w:r w:rsidR="001D23F4" w:rsidRPr="0043136F">
        <w:rPr>
          <w:rFonts w:cstheme="minorHAnsi"/>
          <w:sz w:val="22"/>
          <w:szCs w:val="22"/>
        </w:rPr>
        <w:t>Interested Parties</w:t>
      </w:r>
      <w:r w:rsidR="00E37DAB">
        <w:rPr>
          <w:rFonts w:cstheme="minorHAnsi"/>
          <w:sz w:val="22"/>
          <w:szCs w:val="22"/>
        </w:rPr>
        <w:t xml:space="preserve"> and</w:t>
      </w:r>
      <w:r w:rsidR="001D23F4" w:rsidRPr="0043136F">
        <w:rPr>
          <w:rFonts w:cstheme="minorHAnsi"/>
          <w:sz w:val="22"/>
          <w:szCs w:val="22"/>
        </w:rPr>
        <w:t xml:space="preserve"> Community-Based Organizations </w:t>
      </w:r>
    </w:p>
    <w:p w14:paraId="5A2A4897" w14:textId="77777777" w:rsidR="001D23F4" w:rsidRPr="0043136F" w:rsidRDefault="001D23F4" w:rsidP="001D23F4">
      <w:pPr>
        <w:rPr>
          <w:rFonts w:cstheme="minorHAnsi"/>
          <w:sz w:val="22"/>
          <w:szCs w:val="22"/>
        </w:rPr>
      </w:pPr>
    </w:p>
    <w:p w14:paraId="232FA1CC" w14:textId="676D2F3B" w:rsidR="001D23F4" w:rsidRPr="0043136F" w:rsidRDefault="00101CB3" w:rsidP="001D23F4">
      <w:pPr>
        <w:rPr>
          <w:rFonts w:cstheme="minorHAnsi"/>
          <w:sz w:val="22"/>
          <w:szCs w:val="22"/>
        </w:rPr>
      </w:pPr>
      <w:hyperlink w:anchor="_Appendix_7:_Additional" w:history="1">
        <w:r w:rsidR="001D23F4" w:rsidRPr="009A7A5B">
          <w:rPr>
            <w:rStyle w:val="Hyperlink"/>
            <w:rFonts w:cstheme="minorHAnsi"/>
            <w:b/>
            <w:bCs/>
            <w:sz w:val="22"/>
            <w:szCs w:val="22"/>
          </w:rPr>
          <w:t>Appendix 7</w:t>
        </w:r>
      </w:hyperlink>
      <w:r w:rsidR="001D23F4" w:rsidRPr="001D23F4">
        <w:rPr>
          <w:rFonts w:cstheme="minorHAnsi"/>
          <w:b/>
          <w:bCs/>
          <w:sz w:val="22"/>
          <w:szCs w:val="22"/>
        </w:rPr>
        <w:t>:</w:t>
      </w:r>
      <w:r w:rsidR="001D23F4" w:rsidRPr="0043136F">
        <w:rPr>
          <w:rFonts w:cstheme="minorHAnsi"/>
          <w:sz w:val="22"/>
          <w:szCs w:val="22"/>
        </w:rPr>
        <w:t xml:space="preserve"> </w:t>
      </w:r>
      <w:r w:rsidR="001D23F4">
        <w:rPr>
          <w:rFonts w:cstheme="minorHAnsi"/>
          <w:sz w:val="22"/>
          <w:szCs w:val="22"/>
        </w:rPr>
        <w:t xml:space="preserve"> </w:t>
      </w:r>
      <w:r w:rsidR="001D23F4" w:rsidRPr="0043136F">
        <w:rPr>
          <w:rFonts w:cstheme="minorHAnsi"/>
          <w:sz w:val="22"/>
          <w:szCs w:val="22"/>
        </w:rPr>
        <w:t>Additional Quantitative Analyses Tables Referenced in the Main Report</w:t>
      </w:r>
    </w:p>
    <w:p w14:paraId="22F7694A" w14:textId="4E8A93EA" w:rsidR="001D23F4" w:rsidRDefault="001D23F4" w:rsidP="00DE38DB"/>
    <w:p w14:paraId="355962EE" w14:textId="41352605" w:rsidR="001D23F4" w:rsidRDefault="001D23F4">
      <w:r>
        <w:br w:type="page"/>
      </w:r>
    </w:p>
    <w:p w14:paraId="4AE51EEC" w14:textId="0C82DC19" w:rsidR="00DE38DB" w:rsidRPr="00000D4B" w:rsidRDefault="00DE38DB" w:rsidP="00626FEF">
      <w:pPr>
        <w:pStyle w:val="Heading2"/>
        <w:spacing w:before="0"/>
        <w:jc w:val="center"/>
        <w:rPr>
          <w:rFonts w:asciiTheme="minorHAnsi" w:hAnsiTheme="minorHAnsi" w:cstheme="minorHAnsi"/>
          <w:b/>
          <w:bCs/>
          <w:color w:val="6A7F0F"/>
        </w:rPr>
      </w:pPr>
      <w:bookmarkStart w:id="52" w:name="_Appendix_1:_Summary"/>
      <w:bookmarkStart w:id="53" w:name="_Toc126068192"/>
      <w:bookmarkEnd w:id="52"/>
      <w:r w:rsidRPr="00000D4B">
        <w:rPr>
          <w:rFonts w:asciiTheme="minorHAnsi" w:hAnsiTheme="minorHAnsi" w:cstheme="minorHAnsi"/>
          <w:b/>
          <w:bCs/>
          <w:color w:val="6A7F0F"/>
        </w:rPr>
        <w:t>Appendix 1</w:t>
      </w:r>
      <w:r w:rsidR="001D23F4" w:rsidRPr="00000D4B">
        <w:rPr>
          <w:rFonts w:asciiTheme="minorHAnsi" w:hAnsiTheme="minorHAnsi" w:cstheme="minorHAnsi"/>
          <w:b/>
          <w:bCs/>
          <w:color w:val="6A7F0F"/>
        </w:rPr>
        <w:t>: Summary of Themes from Review of Community Health Improvement Plans and Community Health Assessments</w:t>
      </w:r>
      <w:bookmarkEnd w:id="53"/>
    </w:p>
    <w:p w14:paraId="3648D623" w14:textId="234BC34D" w:rsidR="00A460F8" w:rsidRDefault="00A460F8" w:rsidP="00A460F8"/>
    <w:p w14:paraId="290B14C7" w14:textId="2C5632ED" w:rsidR="00ED2F5A" w:rsidRPr="0043259F" w:rsidRDefault="00ED2F5A" w:rsidP="00ED2F5A">
      <w:pPr>
        <w:rPr>
          <w:rFonts w:cstheme="minorHAnsi"/>
          <w:sz w:val="22"/>
          <w:szCs w:val="22"/>
        </w:rPr>
      </w:pPr>
      <w:r w:rsidRPr="0043259F">
        <w:rPr>
          <w:rFonts w:cstheme="minorHAnsi"/>
          <w:sz w:val="22"/>
          <w:szCs w:val="22"/>
        </w:rPr>
        <w:t>A review of 44 local health reports for geographic areas that included a community with a local CCBHC was conducted. These reports included community health assessments, community health improvement plans, behavioral health reports, and health equity reports, released between 2016 and 2022. In some cases, the reports were specific to one county</w:t>
      </w:r>
      <w:r>
        <w:rPr>
          <w:rFonts w:cstheme="minorHAnsi"/>
          <w:sz w:val="22"/>
          <w:szCs w:val="22"/>
        </w:rPr>
        <w:t>;</w:t>
      </w:r>
      <w:r w:rsidRPr="0043259F">
        <w:rPr>
          <w:rFonts w:cstheme="minorHAnsi"/>
          <w:sz w:val="22"/>
          <w:szCs w:val="22"/>
        </w:rPr>
        <w:t xml:space="preserve"> in other cases, the reports were specific to a regional area as defined by the author(s). </w:t>
      </w:r>
      <w:r w:rsidRPr="00A35AAA">
        <w:rPr>
          <w:rFonts w:cstheme="minorHAnsi"/>
          <w:color w:val="6A7F0F"/>
          <w:sz w:val="22"/>
          <w:szCs w:val="22"/>
        </w:rPr>
        <w:t>Table A1</w:t>
      </w:r>
      <w:r w:rsidR="00225851">
        <w:rPr>
          <w:rFonts w:cstheme="minorHAnsi"/>
          <w:color w:val="6A7F0F"/>
          <w:sz w:val="22"/>
          <w:szCs w:val="22"/>
        </w:rPr>
        <w:t>.</w:t>
      </w:r>
      <w:r w:rsidRPr="00A35AAA">
        <w:rPr>
          <w:rFonts w:cstheme="minorHAnsi"/>
          <w:color w:val="6A7F0F"/>
          <w:sz w:val="22"/>
          <w:szCs w:val="22"/>
        </w:rPr>
        <w:t xml:space="preserve">1 </w:t>
      </w:r>
      <w:r>
        <w:rPr>
          <w:rFonts w:cstheme="minorHAnsi"/>
          <w:sz w:val="22"/>
          <w:szCs w:val="22"/>
        </w:rPr>
        <w:t>presents the number of community health reports reviewed related to each CCBHC.</w:t>
      </w:r>
    </w:p>
    <w:p w14:paraId="75B4D842" w14:textId="308D91D0" w:rsidR="00A460F8" w:rsidRPr="00000D4B" w:rsidRDefault="00A460F8" w:rsidP="00A460F8">
      <w:pPr>
        <w:jc w:val="center"/>
        <w:rPr>
          <w:rFonts w:cstheme="minorHAnsi"/>
          <w:b/>
          <w:bCs/>
          <w:sz w:val="22"/>
          <w:szCs w:val="22"/>
        </w:rPr>
      </w:pPr>
      <w:r w:rsidRPr="0043259F">
        <w:rPr>
          <w:rFonts w:cstheme="minorHAnsi"/>
          <w:sz w:val="22"/>
          <w:szCs w:val="22"/>
        </w:rPr>
        <w:br/>
      </w:r>
      <w:bookmarkStart w:id="54" w:name="Appendix1_Table_A11"/>
      <w:r w:rsidRPr="00000D4B">
        <w:rPr>
          <w:rFonts w:cstheme="minorHAnsi"/>
          <w:b/>
          <w:bCs/>
          <w:color w:val="6A7F0F"/>
          <w:sz w:val="22"/>
          <w:szCs w:val="22"/>
        </w:rPr>
        <w:t>Table A1</w:t>
      </w:r>
      <w:r w:rsidR="00225851" w:rsidRPr="00000D4B">
        <w:rPr>
          <w:rFonts w:cstheme="minorHAnsi"/>
          <w:b/>
          <w:bCs/>
          <w:color w:val="6A7F0F"/>
          <w:sz w:val="22"/>
          <w:szCs w:val="22"/>
        </w:rPr>
        <w:t>.</w:t>
      </w:r>
      <w:r w:rsidRPr="00000D4B">
        <w:rPr>
          <w:rFonts w:cstheme="minorHAnsi"/>
          <w:b/>
          <w:bCs/>
          <w:color w:val="6A7F0F"/>
          <w:sz w:val="22"/>
          <w:szCs w:val="22"/>
        </w:rPr>
        <w:t>1: Community Health Reports Reviewed</w:t>
      </w:r>
      <w:bookmarkEnd w:id="54"/>
      <w:r w:rsidR="00225851" w:rsidRPr="00000D4B">
        <w:rPr>
          <w:rFonts w:cstheme="minorHAnsi"/>
          <w:b/>
          <w:bCs/>
          <w:color w:val="6A7F0F"/>
          <w:sz w:val="22"/>
          <w:szCs w:val="22"/>
        </w:rPr>
        <w:t xml:space="preserve"> by CCBHC</w:t>
      </w:r>
    </w:p>
    <w:p w14:paraId="35D964CC" w14:textId="77777777" w:rsidR="00A460F8" w:rsidRPr="0043259F" w:rsidRDefault="00A460F8" w:rsidP="00A460F8">
      <w:pPr>
        <w:jc w:val="center"/>
        <w:rPr>
          <w:rFonts w:cstheme="minorHAnsi"/>
          <w:sz w:val="22"/>
          <w:szCs w:val="22"/>
        </w:rPr>
      </w:pPr>
    </w:p>
    <w:tbl>
      <w:tblPr>
        <w:tblStyle w:val="TableGrid"/>
        <w:tblW w:w="0" w:type="auto"/>
        <w:jc w:val="center"/>
        <w:tblLook w:val="04A0" w:firstRow="1" w:lastRow="0" w:firstColumn="1" w:lastColumn="0" w:noHBand="0" w:noVBand="1"/>
      </w:tblPr>
      <w:tblGrid>
        <w:gridCol w:w="4135"/>
        <w:gridCol w:w="1980"/>
      </w:tblGrid>
      <w:tr w:rsidR="00A460F8" w:rsidRPr="0043259F" w14:paraId="2D2ED3C0" w14:textId="77777777" w:rsidTr="00F7725C">
        <w:trPr>
          <w:trHeight w:val="251"/>
          <w:jc w:val="center"/>
        </w:trPr>
        <w:tc>
          <w:tcPr>
            <w:tcW w:w="4135" w:type="dxa"/>
            <w:shd w:val="clear" w:color="auto" w:fill="E7E6E6" w:themeFill="background2"/>
          </w:tcPr>
          <w:p w14:paraId="6FFCB3A8" w14:textId="77777777" w:rsidR="00A460F8" w:rsidRPr="00F7725C" w:rsidRDefault="00A460F8" w:rsidP="00E72162">
            <w:pPr>
              <w:jc w:val="center"/>
              <w:rPr>
                <w:rFonts w:cstheme="minorHAnsi"/>
                <w:b/>
                <w:bCs/>
                <w:sz w:val="22"/>
                <w:szCs w:val="22"/>
              </w:rPr>
            </w:pPr>
            <w:r w:rsidRPr="00F7725C">
              <w:rPr>
                <w:rFonts w:cstheme="minorHAnsi"/>
                <w:b/>
                <w:bCs/>
                <w:sz w:val="22"/>
                <w:szCs w:val="22"/>
              </w:rPr>
              <w:t>CCBHC</w:t>
            </w:r>
          </w:p>
        </w:tc>
        <w:tc>
          <w:tcPr>
            <w:tcW w:w="1980" w:type="dxa"/>
            <w:shd w:val="clear" w:color="auto" w:fill="E7E6E6" w:themeFill="background2"/>
          </w:tcPr>
          <w:p w14:paraId="4C853428" w14:textId="77777777" w:rsidR="00A460F8" w:rsidRPr="00F7725C" w:rsidRDefault="00A460F8" w:rsidP="00E72162">
            <w:pPr>
              <w:jc w:val="center"/>
              <w:rPr>
                <w:rFonts w:cstheme="minorHAnsi"/>
                <w:b/>
                <w:bCs/>
                <w:sz w:val="22"/>
                <w:szCs w:val="22"/>
              </w:rPr>
            </w:pPr>
            <w:r w:rsidRPr="00F7725C">
              <w:rPr>
                <w:rFonts w:cstheme="minorHAnsi"/>
                <w:b/>
                <w:bCs/>
                <w:sz w:val="22"/>
                <w:szCs w:val="22"/>
              </w:rPr>
              <w:t>Number of Reports</w:t>
            </w:r>
          </w:p>
        </w:tc>
      </w:tr>
      <w:tr w:rsidR="00A460F8" w:rsidRPr="0043259F" w14:paraId="768FE0CA" w14:textId="77777777" w:rsidTr="00E72162">
        <w:trPr>
          <w:trHeight w:val="251"/>
          <w:jc w:val="center"/>
        </w:trPr>
        <w:tc>
          <w:tcPr>
            <w:tcW w:w="4135" w:type="dxa"/>
          </w:tcPr>
          <w:p w14:paraId="787E31D5" w14:textId="77777777" w:rsidR="00A460F8" w:rsidRPr="0043259F" w:rsidRDefault="00A460F8" w:rsidP="00E72162">
            <w:pPr>
              <w:rPr>
                <w:rFonts w:cstheme="minorHAnsi"/>
                <w:sz w:val="22"/>
                <w:szCs w:val="22"/>
              </w:rPr>
            </w:pPr>
            <w:r w:rsidRPr="0043259F">
              <w:rPr>
                <w:rFonts w:cstheme="minorHAnsi"/>
                <w:sz w:val="22"/>
                <w:szCs w:val="22"/>
              </w:rPr>
              <w:t>Cascadia</w:t>
            </w:r>
          </w:p>
        </w:tc>
        <w:tc>
          <w:tcPr>
            <w:tcW w:w="1980" w:type="dxa"/>
          </w:tcPr>
          <w:p w14:paraId="1C4AA45A" w14:textId="77777777" w:rsidR="00A460F8" w:rsidRPr="0043259F" w:rsidRDefault="00A460F8" w:rsidP="00E72162">
            <w:pPr>
              <w:jc w:val="center"/>
              <w:rPr>
                <w:rFonts w:cstheme="minorHAnsi"/>
                <w:sz w:val="22"/>
                <w:szCs w:val="22"/>
              </w:rPr>
            </w:pPr>
            <w:r w:rsidRPr="0043259F">
              <w:rPr>
                <w:rFonts w:cstheme="minorHAnsi"/>
                <w:sz w:val="22"/>
                <w:szCs w:val="22"/>
              </w:rPr>
              <w:t>6</w:t>
            </w:r>
          </w:p>
        </w:tc>
      </w:tr>
      <w:tr w:rsidR="00A460F8" w:rsidRPr="0043259F" w14:paraId="24621DEB" w14:textId="77777777" w:rsidTr="00E72162">
        <w:trPr>
          <w:trHeight w:val="251"/>
          <w:jc w:val="center"/>
        </w:trPr>
        <w:tc>
          <w:tcPr>
            <w:tcW w:w="4135" w:type="dxa"/>
          </w:tcPr>
          <w:p w14:paraId="08AFAC42" w14:textId="77777777" w:rsidR="00A460F8" w:rsidRPr="0043259F" w:rsidRDefault="00A460F8" w:rsidP="00E72162">
            <w:pPr>
              <w:rPr>
                <w:rFonts w:cstheme="minorHAnsi"/>
                <w:sz w:val="22"/>
                <w:szCs w:val="22"/>
              </w:rPr>
            </w:pPr>
            <w:r w:rsidRPr="0043259F">
              <w:rPr>
                <w:rFonts w:cstheme="minorHAnsi"/>
                <w:sz w:val="22"/>
                <w:szCs w:val="22"/>
              </w:rPr>
              <w:t>Columbia Community Mental Health</w:t>
            </w:r>
          </w:p>
        </w:tc>
        <w:tc>
          <w:tcPr>
            <w:tcW w:w="1980" w:type="dxa"/>
          </w:tcPr>
          <w:p w14:paraId="567011A7" w14:textId="77777777" w:rsidR="00A460F8" w:rsidRPr="0043259F" w:rsidRDefault="00A460F8" w:rsidP="00E72162">
            <w:pPr>
              <w:jc w:val="center"/>
              <w:rPr>
                <w:rFonts w:cstheme="minorHAnsi"/>
                <w:sz w:val="22"/>
                <w:szCs w:val="22"/>
              </w:rPr>
            </w:pPr>
            <w:r w:rsidRPr="0043259F">
              <w:rPr>
                <w:rFonts w:cstheme="minorHAnsi"/>
                <w:sz w:val="22"/>
                <w:szCs w:val="22"/>
              </w:rPr>
              <w:t>2</w:t>
            </w:r>
          </w:p>
        </w:tc>
      </w:tr>
      <w:tr w:rsidR="00A460F8" w:rsidRPr="0043259F" w14:paraId="3313AB8C" w14:textId="77777777" w:rsidTr="00E72162">
        <w:trPr>
          <w:trHeight w:val="242"/>
          <w:jc w:val="center"/>
        </w:trPr>
        <w:tc>
          <w:tcPr>
            <w:tcW w:w="4135" w:type="dxa"/>
          </w:tcPr>
          <w:p w14:paraId="63228993" w14:textId="77777777" w:rsidR="00A460F8" w:rsidRPr="0043259F" w:rsidRDefault="00A460F8" w:rsidP="00E72162">
            <w:pPr>
              <w:rPr>
                <w:rFonts w:cstheme="minorHAnsi"/>
                <w:sz w:val="22"/>
                <w:szCs w:val="22"/>
              </w:rPr>
            </w:pPr>
            <w:r w:rsidRPr="0043259F">
              <w:rPr>
                <w:rFonts w:cstheme="minorHAnsi"/>
                <w:sz w:val="22"/>
                <w:szCs w:val="22"/>
              </w:rPr>
              <w:t>Community Counseling Solutions</w:t>
            </w:r>
          </w:p>
        </w:tc>
        <w:tc>
          <w:tcPr>
            <w:tcW w:w="1980" w:type="dxa"/>
          </w:tcPr>
          <w:p w14:paraId="3F04B800" w14:textId="77777777" w:rsidR="00A460F8" w:rsidRPr="0043259F" w:rsidRDefault="00A460F8" w:rsidP="00E72162">
            <w:pPr>
              <w:jc w:val="center"/>
              <w:rPr>
                <w:rFonts w:cstheme="minorHAnsi"/>
                <w:sz w:val="22"/>
                <w:szCs w:val="22"/>
              </w:rPr>
            </w:pPr>
            <w:r w:rsidRPr="0043259F">
              <w:rPr>
                <w:rFonts w:cstheme="minorHAnsi"/>
                <w:sz w:val="22"/>
                <w:szCs w:val="22"/>
              </w:rPr>
              <w:t>7</w:t>
            </w:r>
          </w:p>
        </w:tc>
      </w:tr>
      <w:tr w:rsidR="00A460F8" w:rsidRPr="0043259F" w14:paraId="4BAA5BC4" w14:textId="77777777" w:rsidTr="00E72162">
        <w:trPr>
          <w:trHeight w:val="251"/>
          <w:jc w:val="center"/>
        </w:trPr>
        <w:tc>
          <w:tcPr>
            <w:tcW w:w="4135" w:type="dxa"/>
          </w:tcPr>
          <w:p w14:paraId="14A8E1A5" w14:textId="77777777" w:rsidR="00A460F8" w:rsidRPr="0043259F" w:rsidRDefault="00A460F8" w:rsidP="00E72162">
            <w:pPr>
              <w:rPr>
                <w:rFonts w:cstheme="minorHAnsi"/>
                <w:sz w:val="22"/>
                <w:szCs w:val="22"/>
              </w:rPr>
            </w:pPr>
            <w:r w:rsidRPr="0043259F">
              <w:rPr>
                <w:rFonts w:cstheme="minorHAnsi"/>
                <w:sz w:val="22"/>
                <w:szCs w:val="22"/>
              </w:rPr>
              <w:t>Deschutes County Health Services</w:t>
            </w:r>
          </w:p>
        </w:tc>
        <w:tc>
          <w:tcPr>
            <w:tcW w:w="1980" w:type="dxa"/>
          </w:tcPr>
          <w:p w14:paraId="2DE52ADE" w14:textId="77777777" w:rsidR="00A460F8" w:rsidRPr="0043259F" w:rsidRDefault="00A460F8" w:rsidP="00E72162">
            <w:pPr>
              <w:jc w:val="center"/>
              <w:rPr>
                <w:rFonts w:cstheme="minorHAnsi"/>
                <w:sz w:val="22"/>
                <w:szCs w:val="22"/>
              </w:rPr>
            </w:pPr>
            <w:r w:rsidRPr="0043259F">
              <w:rPr>
                <w:rFonts w:cstheme="minorHAnsi"/>
                <w:sz w:val="22"/>
                <w:szCs w:val="22"/>
              </w:rPr>
              <w:t>5</w:t>
            </w:r>
          </w:p>
        </w:tc>
      </w:tr>
      <w:tr w:rsidR="00A460F8" w:rsidRPr="0043259F" w14:paraId="7F220944" w14:textId="77777777" w:rsidTr="00E72162">
        <w:trPr>
          <w:trHeight w:val="251"/>
          <w:jc w:val="center"/>
        </w:trPr>
        <w:tc>
          <w:tcPr>
            <w:tcW w:w="4135" w:type="dxa"/>
          </w:tcPr>
          <w:p w14:paraId="618F553A" w14:textId="77777777" w:rsidR="00A460F8" w:rsidRPr="0043259F" w:rsidRDefault="00A460F8" w:rsidP="00E72162">
            <w:pPr>
              <w:rPr>
                <w:rFonts w:cstheme="minorHAnsi"/>
                <w:sz w:val="22"/>
                <w:szCs w:val="22"/>
              </w:rPr>
            </w:pPr>
            <w:r w:rsidRPr="0043259F">
              <w:rPr>
                <w:rFonts w:cstheme="minorHAnsi"/>
                <w:sz w:val="22"/>
                <w:szCs w:val="22"/>
              </w:rPr>
              <w:t>Klamath Basin Behavioral Health</w:t>
            </w:r>
          </w:p>
        </w:tc>
        <w:tc>
          <w:tcPr>
            <w:tcW w:w="1980" w:type="dxa"/>
          </w:tcPr>
          <w:p w14:paraId="52C588E8" w14:textId="77777777" w:rsidR="00A460F8" w:rsidRPr="0043259F" w:rsidRDefault="00A460F8" w:rsidP="00E72162">
            <w:pPr>
              <w:jc w:val="center"/>
              <w:rPr>
                <w:rFonts w:cstheme="minorHAnsi"/>
                <w:sz w:val="22"/>
                <w:szCs w:val="22"/>
              </w:rPr>
            </w:pPr>
            <w:r w:rsidRPr="0043259F">
              <w:rPr>
                <w:rFonts w:cstheme="minorHAnsi"/>
                <w:sz w:val="22"/>
                <w:szCs w:val="22"/>
              </w:rPr>
              <w:t>3</w:t>
            </w:r>
          </w:p>
        </w:tc>
      </w:tr>
      <w:tr w:rsidR="00A460F8" w:rsidRPr="0043259F" w14:paraId="70B1BAB8" w14:textId="77777777" w:rsidTr="00E72162">
        <w:trPr>
          <w:trHeight w:val="251"/>
          <w:jc w:val="center"/>
        </w:trPr>
        <w:tc>
          <w:tcPr>
            <w:tcW w:w="4135" w:type="dxa"/>
          </w:tcPr>
          <w:p w14:paraId="57CA5F80" w14:textId="77777777" w:rsidR="00A460F8" w:rsidRPr="0043259F" w:rsidRDefault="00A460F8" w:rsidP="00E72162">
            <w:pPr>
              <w:rPr>
                <w:rFonts w:cstheme="minorHAnsi"/>
                <w:sz w:val="22"/>
                <w:szCs w:val="22"/>
              </w:rPr>
            </w:pPr>
            <w:r w:rsidRPr="0043259F">
              <w:rPr>
                <w:rFonts w:cstheme="minorHAnsi"/>
                <w:sz w:val="22"/>
                <w:szCs w:val="22"/>
              </w:rPr>
              <w:t>LifeWorks NW</w:t>
            </w:r>
          </w:p>
        </w:tc>
        <w:tc>
          <w:tcPr>
            <w:tcW w:w="1980" w:type="dxa"/>
          </w:tcPr>
          <w:p w14:paraId="09BE9DA0" w14:textId="77777777" w:rsidR="00A460F8" w:rsidRPr="0043259F" w:rsidRDefault="00A460F8" w:rsidP="00E72162">
            <w:pPr>
              <w:jc w:val="center"/>
              <w:rPr>
                <w:rFonts w:cstheme="minorHAnsi"/>
                <w:sz w:val="22"/>
                <w:szCs w:val="22"/>
              </w:rPr>
            </w:pPr>
            <w:r w:rsidRPr="0043259F">
              <w:rPr>
                <w:rFonts w:cstheme="minorHAnsi"/>
                <w:sz w:val="22"/>
                <w:szCs w:val="22"/>
              </w:rPr>
              <w:t>7</w:t>
            </w:r>
          </w:p>
        </w:tc>
      </w:tr>
      <w:tr w:rsidR="00A460F8" w:rsidRPr="0043259F" w14:paraId="4EA437B5" w14:textId="77777777" w:rsidTr="00E72162">
        <w:trPr>
          <w:trHeight w:val="251"/>
          <w:jc w:val="center"/>
        </w:trPr>
        <w:tc>
          <w:tcPr>
            <w:tcW w:w="4135" w:type="dxa"/>
          </w:tcPr>
          <w:p w14:paraId="6D551C80" w14:textId="77777777" w:rsidR="00A460F8" w:rsidRPr="0043259F" w:rsidRDefault="00A460F8" w:rsidP="00E72162">
            <w:pPr>
              <w:rPr>
                <w:rFonts w:cstheme="minorHAnsi"/>
                <w:sz w:val="22"/>
                <w:szCs w:val="22"/>
              </w:rPr>
            </w:pPr>
            <w:r w:rsidRPr="0043259F">
              <w:rPr>
                <w:rFonts w:cstheme="minorHAnsi"/>
                <w:sz w:val="22"/>
                <w:szCs w:val="22"/>
              </w:rPr>
              <w:t>Mid-Columbia Center for Living</w:t>
            </w:r>
          </w:p>
        </w:tc>
        <w:tc>
          <w:tcPr>
            <w:tcW w:w="1980" w:type="dxa"/>
          </w:tcPr>
          <w:p w14:paraId="75335DD9" w14:textId="77777777" w:rsidR="00A460F8" w:rsidRPr="0043259F" w:rsidRDefault="00A460F8" w:rsidP="00E72162">
            <w:pPr>
              <w:jc w:val="center"/>
              <w:rPr>
                <w:rFonts w:cstheme="minorHAnsi"/>
                <w:sz w:val="22"/>
                <w:szCs w:val="22"/>
              </w:rPr>
            </w:pPr>
            <w:r w:rsidRPr="0043259F">
              <w:rPr>
                <w:rFonts w:cstheme="minorHAnsi"/>
                <w:sz w:val="22"/>
                <w:szCs w:val="22"/>
              </w:rPr>
              <w:t>3</w:t>
            </w:r>
          </w:p>
        </w:tc>
      </w:tr>
      <w:tr w:rsidR="00A460F8" w:rsidRPr="0043259F" w14:paraId="1135D73F" w14:textId="77777777" w:rsidTr="00E72162">
        <w:trPr>
          <w:trHeight w:val="251"/>
          <w:jc w:val="center"/>
        </w:trPr>
        <w:tc>
          <w:tcPr>
            <w:tcW w:w="4135" w:type="dxa"/>
          </w:tcPr>
          <w:p w14:paraId="0CF9E78F" w14:textId="77777777" w:rsidR="00A460F8" w:rsidRPr="0043259F" w:rsidRDefault="00A460F8" w:rsidP="00E72162">
            <w:pPr>
              <w:rPr>
                <w:rFonts w:cstheme="minorHAnsi"/>
                <w:sz w:val="22"/>
                <w:szCs w:val="22"/>
              </w:rPr>
            </w:pPr>
            <w:r w:rsidRPr="0043259F">
              <w:rPr>
                <w:rFonts w:cstheme="minorHAnsi"/>
                <w:sz w:val="22"/>
                <w:szCs w:val="22"/>
              </w:rPr>
              <w:t>Options for Southern Oregon</w:t>
            </w:r>
          </w:p>
        </w:tc>
        <w:tc>
          <w:tcPr>
            <w:tcW w:w="1980" w:type="dxa"/>
          </w:tcPr>
          <w:p w14:paraId="6A351364" w14:textId="77777777" w:rsidR="00A460F8" w:rsidRPr="0043259F" w:rsidRDefault="00A460F8" w:rsidP="00E72162">
            <w:pPr>
              <w:jc w:val="center"/>
              <w:rPr>
                <w:rFonts w:cstheme="minorHAnsi"/>
                <w:sz w:val="22"/>
                <w:szCs w:val="22"/>
              </w:rPr>
            </w:pPr>
            <w:r w:rsidRPr="0043259F">
              <w:rPr>
                <w:rFonts w:cstheme="minorHAnsi"/>
                <w:sz w:val="22"/>
                <w:szCs w:val="22"/>
              </w:rPr>
              <w:t>4</w:t>
            </w:r>
          </w:p>
        </w:tc>
      </w:tr>
      <w:tr w:rsidR="00A460F8" w:rsidRPr="0043259F" w14:paraId="12318C01" w14:textId="77777777" w:rsidTr="00E72162">
        <w:trPr>
          <w:trHeight w:val="251"/>
          <w:jc w:val="center"/>
        </w:trPr>
        <w:tc>
          <w:tcPr>
            <w:tcW w:w="4135" w:type="dxa"/>
          </w:tcPr>
          <w:p w14:paraId="598F3F49" w14:textId="77777777" w:rsidR="00A460F8" w:rsidRPr="0043259F" w:rsidRDefault="00A460F8" w:rsidP="00E72162">
            <w:pPr>
              <w:rPr>
                <w:rFonts w:cstheme="minorHAnsi"/>
                <w:sz w:val="22"/>
                <w:szCs w:val="22"/>
              </w:rPr>
            </w:pPr>
            <w:r w:rsidRPr="0043259F">
              <w:rPr>
                <w:rFonts w:cstheme="minorHAnsi"/>
                <w:sz w:val="22"/>
                <w:szCs w:val="22"/>
              </w:rPr>
              <w:t>PeaceHealth Medical Group</w:t>
            </w:r>
          </w:p>
        </w:tc>
        <w:tc>
          <w:tcPr>
            <w:tcW w:w="1980" w:type="dxa"/>
          </w:tcPr>
          <w:p w14:paraId="677BC496" w14:textId="77777777" w:rsidR="00A460F8" w:rsidRPr="0043259F" w:rsidRDefault="00A460F8" w:rsidP="00E72162">
            <w:pPr>
              <w:jc w:val="center"/>
              <w:rPr>
                <w:rFonts w:cstheme="minorHAnsi"/>
                <w:sz w:val="22"/>
                <w:szCs w:val="22"/>
              </w:rPr>
            </w:pPr>
            <w:r w:rsidRPr="0043259F">
              <w:rPr>
                <w:rFonts w:cstheme="minorHAnsi"/>
                <w:sz w:val="22"/>
                <w:szCs w:val="22"/>
              </w:rPr>
              <w:t>3</w:t>
            </w:r>
          </w:p>
        </w:tc>
      </w:tr>
      <w:tr w:rsidR="00A460F8" w:rsidRPr="0043259F" w14:paraId="5F51A732" w14:textId="77777777" w:rsidTr="00E72162">
        <w:trPr>
          <w:trHeight w:val="251"/>
          <w:jc w:val="center"/>
        </w:trPr>
        <w:tc>
          <w:tcPr>
            <w:tcW w:w="4135" w:type="dxa"/>
          </w:tcPr>
          <w:p w14:paraId="11D4D038" w14:textId="77777777" w:rsidR="00A460F8" w:rsidRPr="0043259F" w:rsidRDefault="00A460F8" w:rsidP="00E72162">
            <w:pPr>
              <w:rPr>
                <w:rFonts w:cstheme="minorHAnsi"/>
                <w:sz w:val="22"/>
                <w:szCs w:val="22"/>
              </w:rPr>
            </w:pPr>
            <w:r w:rsidRPr="0043259F">
              <w:rPr>
                <w:rFonts w:cstheme="minorHAnsi"/>
                <w:sz w:val="22"/>
                <w:szCs w:val="22"/>
              </w:rPr>
              <w:t>Symmetry Care, Inc.</w:t>
            </w:r>
          </w:p>
        </w:tc>
        <w:tc>
          <w:tcPr>
            <w:tcW w:w="1980" w:type="dxa"/>
          </w:tcPr>
          <w:p w14:paraId="2C449D42" w14:textId="77777777" w:rsidR="00A460F8" w:rsidRPr="0043259F" w:rsidRDefault="00A460F8" w:rsidP="00E72162">
            <w:pPr>
              <w:jc w:val="center"/>
              <w:rPr>
                <w:rFonts w:cstheme="minorHAnsi"/>
                <w:sz w:val="22"/>
                <w:szCs w:val="22"/>
              </w:rPr>
            </w:pPr>
            <w:r w:rsidRPr="0043259F">
              <w:rPr>
                <w:rFonts w:cstheme="minorHAnsi"/>
                <w:sz w:val="22"/>
                <w:szCs w:val="22"/>
              </w:rPr>
              <w:t>7</w:t>
            </w:r>
          </w:p>
        </w:tc>
      </w:tr>
      <w:tr w:rsidR="00A460F8" w:rsidRPr="0043259F" w14:paraId="5090301D" w14:textId="77777777" w:rsidTr="00E72162">
        <w:trPr>
          <w:trHeight w:val="251"/>
          <w:jc w:val="center"/>
        </w:trPr>
        <w:tc>
          <w:tcPr>
            <w:tcW w:w="4135" w:type="dxa"/>
          </w:tcPr>
          <w:p w14:paraId="5A88082C" w14:textId="77777777" w:rsidR="00A460F8" w:rsidRPr="0043259F" w:rsidRDefault="00A460F8" w:rsidP="00E72162">
            <w:pPr>
              <w:rPr>
                <w:rFonts w:cstheme="minorHAnsi"/>
                <w:sz w:val="22"/>
                <w:szCs w:val="22"/>
              </w:rPr>
            </w:pPr>
            <w:r w:rsidRPr="0043259F">
              <w:rPr>
                <w:rFonts w:cstheme="minorHAnsi"/>
                <w:sz w:val="22"/>
                <w:szCs w:val="22"/>
              </w:rPr>
              <w:t>Wallowa Valley Center for Wellness</w:t>
            </w:r>
          </w:p>
        </w:tc>
        <w:tc>
          <w:tcPr>
            <w:tcW w:w="1980" w:type="dxa"/>
          </w:tcPr>
          <w:p w14:paraId="2FAE661D" w14:textId="77777777" w:rsidR="00A460F8" w:rsidRPr="0043259F" w:rsidRDefault="00A460F8" w:rsidP="00E72162">
            <w:pPr>
              <w:jc w:val="center"/>
              <w:rPr>
                <w:rFonts w:cstheme="minorHAnsi"/>
                <w:sz w:val="22"/>
                <w:szCs w:val="22"/>
              </w:rPr>
            </w:pPr>
            <w:r w:rsidRPr="0043259F">
              <w:rPr>
                <w:rFonts w:cstheme="minorHAnsi"/>
                <w:sz w:val="22"/>
                <w:szCs w:val="22"/>
              </w:rPr>
              <w:t>8</w:t>
            </w:r>
          </w:p>
        </w:tc>
      </w:tr>
      <w:tr w:rsidR="00A460F8" w:rsidRPr="0043259F" w14:paraId="5EB98179" w14:textId="77777777" w:rsidTr="00E72162">
        <w:trPr>
          <w:trHeight w:val="251"/>
          <w:jc w:val="center"/>
        </w:trPr>
        <w:tc>
          <w:tcPr>
            <w:tcW w:w="4135" w:type="dxa"/>
          </w:tcPr>
          <w:p w14:paraId="4692B09C" w14:textId="77777777" w:rsidR="00A460F8" w:rsidRPr="0043259F" w:rsidRDefault="00A460F8" w:rsidP="00E72162">
            <w:pPr>
              <w:rPr>
                <w:rFonts w:cstheme="minorHAnsi"/>
                <w:sz w:val="22"/>
                <w:szCs w:val="22"/>
              </w:rPr>
            </w:pPr>
            <w:r w:rsidRPr="0043259F">
              <w:rPr>
                <w:rFonts w:cstheme="minorHAnsi"/>
                <w:sz w:val="22"/>
                <w:szCs w:val="22"/>
              </w:rPr>
              <w:t>Yamhill County Health and Human Services</w:t>
            </w:r>
          </w:p>
        </w:tc>
        <w:tc>
          <w:tcPr>
            <w:tcW w:w="1980" w:type="dxa"/>
          </w:tcPr>
          <w:p w14:paraId="048E35FB" w14:textId="77777777" w:rsidR="00A460F8" w:rsidRPr="0043259F" w:rsidRDefault="00A460F8" w:rsidP="00E72162">
            <w:pPr>
              <w:jc w:val="center"/>
              <w:rPr>
                <w:rFonts w:cstheme="minorHAnsi"/>
                <w:sz w:val="22"/>
                <w:szCs w:val="22"/>
              </w:rPr>
            </w:pPr>
            <w:r w:rsidRPr="0043259F">
              <w:rPr>
                <w:rFonts w:cstheme="minorHAnsi"/>
                <w:sz w:val="22"/>
                <w:szCs w:val="22"/>
              </w:rPr>
              <w:t>2</w:t>
            </w:r>
          </w:p>
        </w:tc>
      </w:tr>
    </w:tbl>
    <w:p w14:paraId="52F54325" w14:textId="77777777" w:rsidR="00225851" w:rsidRPr="00225851" w:rsidRDefault="00225851" w:rsidP="00A460F8">
      <w:pPr>
        <w:ind w:left="720"/>
        <w:rPr>
          <w:rFonts w:cstheme="minorHAnsi"/>
          <w:sz w:val="13"/>
          <w:szCs w:val="13"/>
        </w:rPr>
      </w:pPr>
    </w:p>
    <w:p w14:paraId="0DA8EE01" w14:textId="421FA477" w:rsidR="00A460F8" w:rsidRPr="00853103" w:rsidRDefault="00A460F8" w:rsidP="00A460F8">
      <w:pPr>
        <w:ind w:left="720"/>
        <w:rPr>
          <w:rFonts w:cstheme="minorHAnsi"/>
          <w:sz w:val="20"/>
          <w:szCs w:val="20"/>
        </w:rPr>
      </w:pPr>
      <w:r w:rsidRPr="00853103">
        <w:rPr>
          <w:rFonts w:cstheme="minorHAnsi"/>
          <w:sz w:val="20"/>
          <w:szCs w:val="20"/>
        </w:rPr>
        <w:t>*Total equals more than 44 since some reports are relevant to more than one CCBHC</w:t>
      </w:r>
    </w:p>
    <w:p w14:paraId="24BF572F" w14:textId="5523D684" w:rsidR="00A460F8" w:rsidRDefault="00A460F8" w:rsidP="00A460F8">
      <w:pPr>
        <w:rPr>
          <w:rFonts w:cstheme="minorHAnsi"/>
          <w:sz w:val="22"/>
          <w:szCs w:val="22"/>
        </w:rPr>
      </w:pPr>
    </w:p>
    <w:p w14:paraId="5AE9772B" w14:textId="1ABAAC38" w:rsidR="00ED2F5A" w:rsidRPr="00A17C4D" w:rsidRDefault="00ED2F5A" w:rsidP="00A17C4D">
      <w:pPr>
        <w:spacing w:after="120"/>
        <w:rPr>
          <w:b/>
          <w:bCs/>
          <w:i/>
          <w:iCs/>
          <w:color w:val="6A7F0F"/>
          <w:highlight w:val="white"/>
        </w:rPr>
      </w:pPr>
      <w:r w:rsidRPr="00A17C4D">
        <w:rPr>
          <w:b/>
          <w:bCs/>
          <w:i/>
          <w:iCs/>
          <w:color w:val="6A7F0F"/>
          <w:highlight w:val="white"/>
        </w:rPr>
        <w:t>Findings</w:t>
      </w:r>
    </w:p>
    <w:p w14:paraId="5179A424" w14:textId="77777777" w:rsidR="00ED2F5A" w:rsidRPr="0043259F" w:rsidRDefault="00ED2F5A" w:rsidP="00ED2F5A">
      <w:pPr>
        <w:tabs>
          <w:tab w:val="left" w:pos="4680"/>
        </w:tabs>
        <w:rPr>
          <w:rFonts w:cstheme="minorHAnsi"/>
          <w:sz w:val="22"/>
          <w:szCs w:val="22"/>
        </w:rPr>
      </w:pPr>
      <w:r w:rsidRPr="0043259F">
        <w:rPr>
          <w:rFonts w:cstheme="minorHAnsi"/>
          <w:sz w:val="22"/>
          <w:szCs w:val="22"/>
        </w:rPr>
        <w:t xml:space="preserve">Thirty-three reports list behavioral health, including mental health and/or substance use-related health concerns, as a community priority. In particular, fifteen of the reports specify suicide, twelve reports specify substance and/or alcohol use, and seven reports specify depression as particularly challenging or concerning in the community. Every community reported that behavioral health was a priority concern at least once between 2016 and 2022; many reported it </w:t>
      </w:r>
      <w:r>
        <w:rPr>
          <w:rFonts w:cstheme="minorHAnsi"/>
          <w:sz w:val="22"/>
          <w:szCs w:val="22"/>
        </w:rPr>
        <w:t xml:space="preserve">in </w:t>
      </w:r>
      <w:r w:rsidRPr="0043259F">
        <w:rPr>
          <w:rFonts w:cstheme="minorHAnsi"/>
          <w:sz w:val="22"/>
          <w:szCs w:val="22"/>
        </w:rPr>
        <w:t>multiple years.</w:t>
      </w:r>
    </w:p>
    <w:p w14:paraId="429AD2EB" w14:textId="77777777" w:rsidR="00ED2F5A" w:rsidRPr="0043259F" w:rsidRDefault="00ED2F5A" w:rsidP="00ED2F5A">
      <w:pPr>
        <w:rPr>
          <w:rFonts w:cstheme="minorHAnsi"/>
          <w:sz w:val="22"/>
          <w:szCs w:val="22"/>
        </w:rPr>
      </w:pPr>
    </w:p>
    <w:p w14:paraId="489A530B" w14:textId="77777777" w:rsidR="00ED2F5A" w:rsidRPr="0043259F" w:rsidRDefault="00ED2F5A" w:rsidP="00ED2F5A">
      <w:pPr>
        <w:rPr>
          <w:rFonts w:cstheme="minorHAnsi"/>
          <w:sz w:val="22"/>
          <w:szCs w:val="22"/>
        </w:rPr>
      </w:pPr>
      <w:r w:rsidRPr="0043259F">
        <w:rPr>
          <w:rFonts w:cstheme="minorHAnsi"/>
          <w:sz w:val="22"/>
          <w:szCs w:val="22"/>
        </w:rPr>
        <w:t>More than half of the reports include some consideration for barriers that prevent community members from accessing needed services. The most commonly reported barriers to needed services included a lack of culturally and linguistically appropriate services and a lack of health insurance</w:t>
      </w:r>
      <w:r>
        <w:rPr>
          <w:rFonts w:cstheme="minorHAnsi"/>
          <w:sz w:val="22"/>
          <w:szCs w:val="22"/>
        </w:rPr>
        <w:t xml:space="preserve"> and</w:t>
      </w:r>
      <w:r w:rsidRPr="0043259F">
        <w:rPr>
          <w:rFonts w:cstheme="minorHAnsi"/>
          <w:sz w:val="22"/>
          <w:szCs w:val="22"/>
        </w:rPr>
        <w:t>/</w:t>
      </w:r>
      <w:r>
        <w:rPr>
          <w:rFonts w:cstheme="minorHAnsi"/>
          <w:sz w:val="22"/>
          <w:szCs w:val="22"/>
        </w:rPr>
        <w:t xml:space="preserve">or </w:t>
      </w:r>
      <w:r w:rsidRPr="0043259F">
        <w:rPr>
          <w:rFonts w:cstheme="minorHAnsi"/>
          <w:sz w:val="22"/>
          <w:szCs w:val="22"/>
        </w:rPr>
        <w:t xml:space="preserve">concerns about cost. In addition, 21 reports mentioned that stigma related to behavioral health was an ongoing challenge that prevented people from engaging in help-seeking and receiving needed services. Nineteen reports included some discussion about workforce challenges, including general workforce shortages and the lack of a diverse workforce that reflects the communities served.  </w:t>
      </w:r>
    </w:p>
    <w:p w14:paraId="6370A662" w14:textId="77777777" w:rsidR="00ED2F5A" w:rsidRPr="0043259F" w:rsidRDefault="00ED2F5A" w:rsidP="00ED2F5A">
      <w:pPr>
        <w:rPr>
          <w:rFonts w:cstheme="minorHAnsi"/>
          <w:sz w:val="22"/>
          <w:szCs w:val="22"/>
        </w:rPr>
      </w:pPr>
    </w:p>
    <w:p w14:paraId="73ABF230" w14:textId="77777777" w:rsidR="00ED2F5A" w:rsidRPr="0043259F" w:rsidRDefault="00ED2F5A" w:rsidP="00ED2F5A">
      <w:pPr>
        <w:rPr>
          <w:rFonts w:cstheme="minorHAnsi"/>
          <w:sz w:val="22"/>
          <w:szCs w:val="22"/>
        </w:rPr>
      </w:pPr>
      <w:r w:rsidRPr="0043259F">
        <w:rPr>
          <w:rFonts w:cstheme="minorHAnsi"/>
          <w:sz w:val="22"/>
          <w:szCs w:val="22"/>
        </w:rPr>
        <w:t>While many of the reports discuss the importance of addressing health equity, only 19 explicitly discuss local challenges for achieving equity and potential strategies to address health inequities. In some communities, equity was integrated into community health assessments and/or community health improvement plans; in other communities, a separate health equity report was created. How and if equity was defined varied across community health reports with more than half noting existing health disparities among specific populations within the community including BIPOC communities</w:t>
      </w:r>
      <w:r>
        <w:rPr>
          <w:rFonts w:cstheme="minorHAnsi"/>
          <w:sz w:val="22"/>
          <w:szCs w:val="22"/>
        </w:rPr>
        <w:t xml:space="preserve"> (</w:t>
      </w:r>
      <w:r w:rsidRPr="0043259F">
        <w:rPr>
          <w:rFonts w:cstheme="minorHAnsi"/>
          <w:sz w:val="22"/>
          <w:szCs w:val="22"/>
        </w:rPr>
        <w:t>specifically Black</w:t>
      </w:r>
      <w:r>
        <w:rPr>
          <w:rFonts w:cstheme="minorHAnsi"/>
          <w:sz w:val="22"/>
          <w:szCs w:val="22"/>
        </w:rPr>
        <w:t>/African American</w:t>
      </w:r>
      <w:r w:rsidRPr="0043259F">
        <w:rPr>
          <w:rFonts w:cstheme="minorHAnsi"/>
          <w:sz w:val="22"/>
          <w:szCs w:val="22"/>
        </w:rPr>
        <w:t>, Latin</w:t>
      </w:r>
      <w:r>
        <w:rPr>
          <w:rFonts w:cstheme="minorHAnsi"/>
          <w:sz w:val="22"/>
          <w:szCs w:val="22"/>
        </w:rPr>
        <w:t>o/a/</w:t>
      </w:r>
      <w:r w:rsidRPr="0043259F">
        <w:rPr>
          <w:rFonts w:cstheme="minorHAnsi"/>
          <w:sz w:val="22"/>
          <w:szCs w:val="22"/>
        </w:rPr>
        <w:t xml:space="preserve">x, and </w:t>
      </w:r>
      <w:r>
        <w:rPr>
          <w:rFonts w:cstheme="minorHAnsi"/>
          <w:sz w:val="22"/>
          <w:szCs w:val="22"/>
        </w:rPr>
        <w:t>American Indian/Alaskan Native</w:t>
      </w:r>
      <w:r w:rsidRPr="0043259F">
        <w:rPr>
          <w:rFonts w:cstheme="minorHAnsi"/>
          <w:sz w:val="22"/>
          <w:szCs w:val="22"/>
        </w:rPr>
        <w:t xml:space="preserve"> populations</w:t>
      </w:r>
      <w:r>
        <w:rPr>
          <w:rFonts w:cstheme="minorHAnsi"/>
          <w:sz w:val="22"/>
          <w:szCs w:val="22"/>
        </w:rPr>
        <w:t>)</w:t>
      </w:r>
      <w:r w:rsidRPr="0043259F">
        <w:rPr>
          <w:rFonts w:cstheme="minorHAnsi"/>
          <w:sz w:val="22"/>
          <w:szCs w:val="22"/>
        </w:rPr>
        <w:t>; LGBTQ+ individuals; individuals experiencing houselessness; justice-involved individuals; youth and elders; immigrant and refugees; low-income children, adults, and families; veterans; and individuals with developmental disabilities. Few reports articulated the impact of historic injustices such as racism, sexism, classism, homophobia and transphobia, and other forms of oppression in creating and sustaining health inequities. Eight reports note that the lack of adequate data is a barrier to fully understanding health inequities in communities, while two note that an equity framework is needed to ensure everyone in the community has a shared understanding of health equity. Nine reports note</w:t>
      </w:r>
      <w:r>
        <w:rPr>
          <w:rFonts w:cstheme="minorHAnsi"/>
          <w:sz w:val="22"/>
          <w:szCs w:val="22"/>
        </w:rPr>
        <w:t>d</w:t>
      </w:r>
      <w:r w:rsidRPr="0043259F">
        <w:rPr>
          <w:rFonts w:cstheme="minorHAnsi"/>
          <w:sz w:val="22"/>
          <w:szCs w:val="22"/>
        </w:rPr>
        <w:t xml:space="preserve"> that collaborations with community-based organizations are critical for centering equity</w:t>
      </w:r>
      <w:r>
        <w:rPr>
          <w:rFonts w:cstheme="minorHAnsi"/>
          <w:sz w:val="22"/>
          <w:szCs w:val="22"/>
        </w:rPr>
        <w:t>;</w:t>
      </w:r>
      <w:r w:rsidRPr="0043259F">
        <w:rPr>
          <w:rFonts w:cstheme="minorHAnsi"/>
          <w:sz w:val="22"/>
          <w:szCs w:val="22"/>
        </w:rPr>
        <w:t xml:space="preserve"> six indicate</w:t>
      </w:r>
      <w:r>
        <w:rPr>
          <w:rFonts w:cstheme="minorHAnsi"/>
          <w:sz w:val="22"/>
          <w:szCs w:val="22"/>
        </w:rPr>
        <w:t>d</w:t>
      </w:r>
      <w:r w:rsidRPr="0043259F">
        <w:rPr>
          <w:rFonts w:cstheme="minorHAnsi"/>
          <w:sz w:val="22"/>
          <w:szCs w:val="22"/>
        </w:rPr>
        <w:t xml:space="preserve"> training as a strategy for increasing awareness and cultural competency among providers and staff.</w:t>
      </w:r>
    </w:p>
    <w:p w14:paraId="26770D8E" w14:textId="77777777" w:rsidR="00ED2F5A" w:rsidRPr="0043259F" w:rsidRDefault="00ED2F5A" w:rsidP="00ED2F5A">
      <w:pPr>
        <w:rPr>
          <w:rFonts w:cstheme="minorHAnsi"/>
          <w:sz w:val="22"/>
          <w:szCs w:val="22"/>
        </w:rPr>
      </w:pPr>
    </w:p>
    <w:p w14:paraId="404FCCA3" w14:textId="4E94191B" w:rsidR="00ED2F5A" w:rsidRPr="0043259F" w:rsidRDefault="00ED2F5A" w:rsidP="00ED2F5A">
      <w:pPr>
        <w:rPr>
          <w:rFonts w:cstheme="minorHAnsi"/>
          <w:sz w:val="22"/>
          <w:szCs w:val="22"/>
        </w:rPr>
      </w:pPr>
      <w:r w:rsidRPr="0043259F">
        <w:rPr>
          <w:rFonts w:cstheme="minorHAnsi"/>
          <w:sz w:val="22"/>
          <w:szCs w:val="22"/>
        </w:rPr>
        <w:t>Notably, only one report (EOCCO 2021 Comprehensive Behavioral Health Plan) mentions CCBHCs as a potential strategy to address community behavioral health needs. One 2018 community health assessment report mentions that the local CCBHC is a CCBHC but does not mention that they serve individuals regardless of insurance status</w:t>
      </w:r>
      <w:r>
        <w:rPr>
          <w:rFonts w:cstheme="minorHAnsi"/>
          <w:sz w:val="22"/>
          <w:szCs w:val="22"/>
        </w:rPr>
        <w:t>,</w:t>
      </w:r>
      <w:r w:rsidRPr="0043259F">
        <w:rPr>
          <w:rFonts w:cstheme="minorHAnsi"/>
          <w:sz w:val="22"/>
          <w:szCs w:val="22"/>
        </w:rPr>
        <w:t xml:space="preserve"> instead indicating the clinic serves Oregon Health Plan members. While many of the other reports reference their local CCBHC, they do not indicate that these clinics are CCBHCs nor what that might mean for community behavioral health needs. This is true even when the CCBHC is listed as a partner in the development of the report. Given that behavioral health is </w:t>
      </w:r>
      <w:r>
        <w:rPr>
          <w:rFonts w:cstheme="minorHAnsi"/>
          <w:sz w:val="22"/>
          <w:szCs w:val="22"/>
        </w:rPr>
        <w:t>identified</w:t>
      </w:r>
      <w:r w:rsidRPr="0043259F">
        <w:rPr>
          <w:rFonts w:cstheme="minorHAnsi"/>
          <w:sz w:val="22"/>
          <w:szCs w:val="22"/>
        </w:rPr>
        <w:t xml:space="preserve"> as a priority community health concern for every community</w:t>
      </w:r>
      <w:r>
        <w:rPr>
          <w:rFonts w:cstheme="minorHAnsi"/>
          <w:sz w:val="22"/>
          <w:szCs w:val="22"/>
        </w:rPr>
        <w:t>,</w:t>
      </w:r>
      <w:r w:rsidRPr="0043259F">
        <w:rPr>
          <w:rFonts w:cstheme="minorHAnsi"/>
          <w:sz w:val="22"/>
          <w:szCs w:val="22"/>
        </w:rPr>
        <w:t xml:space="preserve"> and that cost and insurance are </w:t>
      </w:r>
      <w:r>
        <w:rPr>
          <w:rFonts w:cstheme="minorHAnsi"/>
          <w:sz w:val="22"/>
          <w:szCs w:val="22"/>
        </w:rPr>
        <w:t>identified</w:t>
      </w:r>
      <w:r w:rsidRPr="0043259F">
        <w:rPr>
          <w:rFonts w:cstheme="minorHAnsi"/>
          <w:sz w:val="22"/>
          <w:szCs w:val="22"/>
        </w:rPr>
        <w:t xml:space="preserve"> as common barriers to access to services, it is surprising that so few of the reports note the role that their local CCBHC could play in meeting community needs. </w:t>
      </w:r>
      <w:r w:rsidRPr="00A35AAA">
        <w:rPr>
          <w:rFonts w:cstheme="minorHAnsi"/>
          <w:color w:val="6A7F0F"/>
          <w:sz w:val="22"/>
          <w:szCs w:val="22"/>
        </w:rPr>
        <w:t>Table A1</w:t>
      </w:r>
      <w:r w:rsidR="00225851">
        <w:rPr>
          <w:rFonts w:cstheme="minorHAnsi"/>
          <w:color w:val="6A7F0F"/>
          <w:sz w:val="22"/>
          <w:szCs w:val="22"/>
        </w:rPr>
        <w:t>.</w:t>
      </w:r>
      <w:r w:rsidRPr="00A35AAA">
        <w:rPr>
          <w:rFonts w:cstheme="minorHAnsi"/>
          <w:color w:val="6A7F0F"/>
          <w:sz w:val="22"/>
          <w:szCs w:val="22"/>
        </w:rPr>
        <w:t xml:space="preserve">2 </w:t>
      </w:r>
      <w:r>
        <w:rPr>
          <w:rFonts w:cstheme="minorHAnsi"/>
          <w:sz w:val="22"/>
          <w:szCs w:val="22"/>
        </w:rPr>
        <w:t>presents a list of all community health reports reviewed, in alphabetic order by author. A complete list of citations of these reports follows the table.</w:t>
      </w:r>
    </w:p>
    <w:p w14:paraId="140B3AB3" w14:textId="77777777" w:rsidR="00A460F8" w:rsidRPr="0043259F" w:rsidRDefault="00A460F8" w:rsidP="00A460F8">
      <w:pPr>
        <w:rPr>
          <w:rFonts w:cstheme="minorHAnsi"/>
          <w:sz w:val="22"/>
          <w:szCs w:val="22"/>
        </w:rPr>
      </w:pPr>
    </w:p>
    <w:p w14:paraId="0DD7A94A" w14:textId="24C98409" w:rsidR="00A460F8" w:rsidRPr="00000D4B" w:rsidRDefault="00A460F8" w:rsidP="00A460F8">
      <w:pPr>
        <w:jc w:val="center"/>
        <w:rPr>
          <w:rFonts w:cstheme="minorHAnsi"/>
          <w:b/>
          <w:bCs/>
          <w:color w:val="6A7F0F"/>
          <w:sz w:val="22"/>
          <w:szCs w:val="22"/>
        </w:rPr>
      </w:pPr>
      <w:r w:rsidRPr="00000D4B">
        <w:rPr>
          <w:rFonts w:cstheme="minorHAnsi"/>
          <w:b/>
          <w:bCs/>
          <w:color w:val="6A7F0F"/>
          <w:sz w:val="22"/>
          <w:szCs w:val="22"/>
        </w:rPr>
        <w:t>Table A1</w:t>
      </w:r>
      <w:r w:rsidR="00225851" w:rsidRPr="00000D4B">
        <w:rPr>
          <w:rFonts w:cstheme="minorHAnsi"/>
          <w:b/>
          <w:bCs/>
          <w:color w:val="6A7F0F"/>
          <w:sz w:val="22"/>
          <w:szCs w:val="22"/>
        </w:rPr>
        <w:t>.</w:t>
      </w:r>
      <w:r w:rsidRPr="00000D4B">
        <w:rPr>
          <w:rFonts w:cstheme="minorHAnsi"/>
          <w:b/>
          <w:bCs/>
          <w:color w:val="6A7F0F"/>
          <w:sz w:val="22"/>
          <w:szCs w:val="22"/>
        </w:rPr>
        <w:t>2: Community Health Reports by CCBHC (alphabetized by author)</w:t>
      </w:r>
    </w:p>
    <w:p w14:paraId="25864191" w14:textId="77777777" w:rsidR="00A460F8" w:rsidRPr="0043259F" w:rsidRDefault="00A460F8" w:rsidP="00A460F8">
      <w:pPr>
        <w:jc w:val="center"/>
        <w:rPr>
          <w:rFonts w:cstheme="minorHAnsi"/>
          <w:sz w:val="22"/>
          <w:szCs w:val="22"/>
        </w:rPr>
      </w:pPr>
    </w:p>
    <w:tbl>
      <w:tblPr>
        <w:tblStyle w:val="TableGrid1"/>
        <w:tblW w:w="9715" w:type="dxa"/>
        <w:tblLayout w:type="fixed"/>
        <w:tblLook w:val="04A0" w:firstRow="1" w:lastRow="0" w:firstColumn="1" w:lastColumn="0" w:noHBand="0" w:noVBand="1"/>
      </w:tblPr>
      <w:tblGrid>
        <w:gridCol w:w="2335"/>
        <w:gridCol w:w="3600"/>
        <w:gridCol w:w="900"/>
        <w:gridCol w:w="2880"/>
      </w:tblGrid>
      <w:tr w:rsidR="00ED2F5A" w:rsidRPr="0043259F" w14:paraId="25932A28" w14:textId="77777777" w:rsidTr="00F7725C">
        <w:trPr>
          <w:trHeight w:val="155"/>
        </w:trPr>
        <w:tc>
          <w:tcPr>
            <w:tcW w:w="2335" w:type="dxa"/>
            <w:shd w:val="clear" w:color="auto" w:fill="E7E6E6" w:themeFill="background2"/>
          </w:tcPr>
          <w:p w14:paraId="5FEF5DB3" w14:textId="77777777" w:rsidR="00ED2F5A" w:rsidRPr="00F7725C" w:rsidRDefault="00ED2F5A" w:rsidP="00E72162">
            <w:pPr>
              <w:ind w:left="90"/>
              <w:rPr>
                <w:rFonts w:cstheme="minorHAnsi"/>
                <w:b/>
                <w:bCs/>
              </w:rPr>
            </w:pPr>
            <w:r w:rsidRPr="00F7725C">
              <w:rPr>
                <w:rFonts w:cstheme="minorHAnsi"/>
                <w:b/>
                <w:bCs/>
              </w:rPr>
              <w:t>CCBHC(s)</w:t>
            </w:r>
          </w:p>
        </w:tc>
        <w:tc>
          <w:tcPr>
            <w:tcW w:w="3600" w:type="dxa"/>
            <w:shd w:val="clear" w:color="auto" w:fill="E7E6E6" w:themeFill="background2"/>
          </w:tcPr>
          <w:p w14:paraId="7CEA8825" w14:textId="77777777" w:rsidR="00ED2F5A" w:rsidRPr="00F7725C" w:rsidRDefault="00ED2F5A" w:rsidP="00E72162">
            <w:pPr>
              <w:ind w:left="90"/>
              <w:rPr>
                <w:rFonts w:cstheme="minorHAnsi"/>
                <w:b/>
                <w:bCs/>
              </w:rPr>
            </w:pPr>
            <w:r w:rsidRPr="00F7725C">
              <w:rPr>
                <w:rFonts w:cstheme="minorHAnsi"/>
                <w:b/>
                <w:bCs/>
              </w:rPr>
              <w:t>Author(s)</w:t>
            </w:r>
          </w:p>
        </w:tc>
        <w:tc>
          <w:tcPr>
            <w:tcW w:w="900" w:type="dxa"/>
            <w:shd w:val="clear" w:color="auto" w:fill="E7E6E6" w:themeFill="background2"/>
          </w:tcPr>
          <w:p w14:paraId="4C75F7C4" w14:textId="77777777" w:rsidR="00ED2F5A" w:rsidRPr="00F7725C" w:rsidRDefault="00ED2F5A" w:rsidP="00E72162">
            <w:pPr>
              <w:ind w:left="90"/>
              <w:rPr>
                <w:rFonts w:cstheme="minorHAnsi"/>
                <w:b/>
                <w:bCs/>
              </w:rPr>
            </w:pPr>
            <w:r w:rsidRPr="00F7725C">
              <w:rPr>
                <w:rFonts w:cstheme="minorHAnsi"/>
                <w:b/>
                <w:bCs/>
              </w:rPr>
              <w:t>Year</w:t>
            </w:r>
          </w:p>
        </w:tc>
        <w:tc>
          <w:tcPr>
            <w:tcW w:w="2880" w:type="dxa"/>
            <w:shd w:val="clear" w:color="auto" w:fill="E7E6E6" w:themeFill="background2"/>
          </w:tcPr>
          <w:p w14:paraId="64AEEBA6" w14:textId="77777777" w:rsidR="00ED2F5A" w:rsidRPr="00D80227" w:rsidRDefault="00ED2F5A" w:rsidP="00E72162">
            <w:pPr>
              <w:ind w:left="90"/>
              <w:rPr>
                <w:rFonts w:cstheme="minorHAnsi"/>
                <w:b/>
                <w:bCs/>
                <w:color w:val="000000" w:themeColor="text1"/>
              </w:rPr>
            </w:pPr>
            <w:r w:rsidRPr="00D80227">
              <w:rPr>
                <w:rFonts w:cstheme="minorHAnsi"/>
                <w:b/>
                <w:bCs/>
                <w:color w:val="000000" w:themeColor="text1"/>
              </w:rPr>
              <w:t>Title</w:t>
            </w:r>
          </w:p>
        </w:tc>
      </w:tr>
      <w:tr w:rsidR="00ED2F5A" w:rsidRPr="0043259F" w14:paraId="5BD4BC05" w14:textId="77777777" w:rsidTr="00E72162">
        <w:trPr>
          <w:trHeight w:val="155"/>
        </w:trPr>
        <w:tc>
          <w:tcPr>
            <w:tcW w:w="2335" w:type="dxa"/>
          </w:tcPr>
          <w:p w14:paraId="19C4F4C2" w14:textId="77777777" w:rsidR="00ED2F5A" w:rsidRPr="0043259F" w:rsidRDefault="00ED2F5A" w:rsidP="00E72162">
            <w:pPr>
              <w:ind w:left="90"/>
              <w:rPr>
                <w:rFonts w:cstheme="minorHAnsi"/>
              </w:rPr>
            </w:pPr>
            <w:r w:rsidRPr="0043259F">
              <w:rPr>
                <w:rFonts w:cstheme="minorHAnsi"/>
              </w:rPr>
              <w:t>Options for Southern Oregon</w:t>
            </w:r>
          </w:p>
        </w:tc>
        <w:tc>
          <w:tcPr>
            <w:tcW w:w="3600" w:type="dxa"/>
          </w:tcPr>
          <w:p w14:paraId="33EE811B" w14:textId="77777777" w:rsidR="00ED2F5A" w:rsidRPr="0043259F" w:rsidRDefault="00ED2F5A" w:rsidP="00E72162">
            <w:pPr>
              <w:ind w:left="90"/>
              <w:rPr>
                <w:rFonts w:cstheme="minorHAnsi"/>
              </w:rPr>
            </w:pPr>
            <w:r w:rsidRPr="0043259F">
              <w:rPr>
                <w:rFonts w:cstheme="minorHAnsi"/>
              </w:rPr>
              <w:t>All in for Health and Jefferson Regional Health Alliance</w:t>
            </w:r>
          </w:p>
        </w:tc>
        <w:tc>
          <w:tcPr>
            <w:tcW w:w="900" w:type="dxa"/>
          </w:tcPr>
          <w:p w14:paraId="5FDBBF59" w14:textId="77777777" w:rsidR="00ED2F5A" w:rsidRPr="0043259F" w:rsidRDefault="00ED2F5A" w:rsidP="00E72162">
            <w:pPr>
              <w:ind w:left="90"/>
              <w:rPr>
                <w:rFonts w:cstheme="minorHAnsi"/>
              </w:rPr>
            </w:pPr>
            <w:r w:rsidRPr="0043259F">
              <w:rPr>
                <w:rFonts w:cstheme="minorHAnsi"/>
              </w:rPr>
              <w:t>2019</w:t>
            </w:r>
          </w:p>
        </w:tc>
        <w:tc>
          <w:tcPr>
            <w:tcW w:w="2880" w:type="dxa"/>
          </w:tcPr>
          <w:p w14:paraId="0C48B1AC" w14:textId="77777777" w:rsidR="00ED2F5A" w:rsidRPr="00D80227" w:rsidRDefault="00101CB3" w:rsidP="00E72162">
            <w:pPr>
              <w:ind w:left="90"/>
              <w:rPr>
                <w:rFonts w:cstheme="minorHAnsi"/>
                <w:color w:val="000000" w:themeColor="text1"/>
              </w:rPr>
            </w:pPr>
            <w:hyperlink r:id="rId52" w:history="1">
              <w:r w:rsidR="00ED2F5A" w:rsidRPr="00D80227">
                <w:rPr>
                  <w:rFonts w:cstheme="minorHAnsi"/>
                  <w:color w:val="000000" w:themeColor="text1"/>
                </w:rPr>
                <w:t>Equity Addendum</w:t>
              </w:r>
            </w:hyperlink>
            <w:r w:rsidR="00ED2F5A" w:rsidRPr="00D80227">
              <w:rPr>
                <w:rFonts w:cstheme="minorHAnsi"/>
                <w:color w:val="000000" w:themeColor="text1"/>
              </w:rPr>
              <w:t xml:space="preserve"> </w:t>
            </w:r>
          </w:p>
        </w:tc>
      </w:tr>
      <w:tr w:rsidR="00ED2F5A" w:rsidRPr="0043259F" w14:paraId="0A56A669" w14:textId="77777777" w:rsidTr="00E72162">
        <w:trPr>
          <w:trHeight w:val="155"/>
        </w:trPr>
        <w:tc>
          <w:tcPr>
            <w:tcW w:w="2335" w:type="dxa"/>
          </w:tcPr>
          <w:p w14:paraId="0B3DEFED" w14:textId="77777777" w:rsidR="00ED2F5A" w:rsidRPr="0043259F" w:rsidRDefault="00ED2F5A" w:rsidP="00E72162">
            <w:pPr>
              <w:ind w:left="90"/>
              <w:rPr>
                <w:rFonts w:cstheme="minorHAnsi"/>
              </w:rPr>
            </w:pPr>
            <w:r w:rsidRPr="0043259F">
              <w:rPr>
                <w:rFonts w:cstheme="minorHAnsi"/>
              </w:rPr>
              <w:t>Options for Southern Oregon</w:t>
            </w:r>
          </w:p>
        </w:tc>
        <w:tc>
          <w:tcPr>
            <w:tcW w:w="3600" w:type="dxa"/>
          </w:tcPr>
          <w:p w14:paraId="6229FDFC" w14:textId="77777777" w:rsidR="00ED2F5A" w:rsidRPr="0043259F" w:rsidRDefault="00ED2F5A" w:rsidP="00E72162">
            <w:pPr>
              <w:ind w:left="90"/>
              <w:rPr>
                <w:rFonts w:cstheme="minorHAnsi"/>
              </w:rPr>
            </w:pPr>
            <w:r w:rsidRPr="0043259F">
              <w:rPr>
                <w:rFonts w:cstheme="minorHAnsi"/>
              </w:rPr>
              <w:t>All in for Health and Jefferson Regional Health Alliance</w:t>
            </w:r>
          </w:p>
        </w:tc>
        <w:tc>
          <w:tcPr>
            <w:tcW w:w="900" w:type="dxa"/>
          </w:tcPr>
          <w:p w14:paraId="000190CE" w14:textId="77777777" w:rsidR="00ED2F5A" w:rsidRPr="0043259F" w:rsidRDefault="00ED2F5A" w:rsidP="00E72162">
            <w:pPr>
              <w:ind w:left="90"/>
              <w:rPr>
                <w:rFonts w:cstheme="minorHAnsi"/>
              </w:rPr>
            </w:pPr>
            <w:r w:rsidRPr="0043259F">
              <w:rPr>
                <w:rFonts w:cstheme="minorHAnsi"/>
              </w:rPr>
              <w:t>2019</w:t>
            </w:r>
          </w:p>
        </w:tc>
        <w:tc>
          <w:tcPr>
            <w:tcW w:w="2880" w:type="dxa"/>
          </w:tcPr>
          <w:p w14:paraId="571CE3A9" w14:textId="77777777" w:rsidR="00ED2F5A" w:rsidRPr="00D80227" w:rsidRDefault="00101CB3" w:rsidP="00E72162">
            <w:pPr>
              <w:ind w:left="90"/>
              <w:rPr>
                <w:rFonts w:cstheme="minorHAnsi"/>
                <w:color w:val="000000" w:themeColor="text1"/>
              </w:rPr>
            </w:pPr>
            <w:hyperlink r:id="rId53" w:history="1">
              <w:r w:rsidR="00ED2F5A" w:rsidRPr="00D80227">
                <w:rPr>
                  <w:rFonts w:cstheme="minorHAnsi"/>
                  <w:color w:val="000000" w:themeColor="text1"/>
                </w:rPr>
                <w:t>Jackson &amp; Josephine Counties: Community Health Improvement Plan 2019-2022</w:t>
              </w:r>
            </w:hyperlink>
            <w:r w:rsidR="00ED2F5A" w:rsidRPr="00D80227">
              <w:rPr>
                <w:rFonts w:cstheme="minorHAnsi"/>
                <w:color w:val="000000" w:themeColor="text1"/>
              </w:rPr>
              <w:t xml:space="preserve"> </w:t>
            </w:r>
          </w:p>
        </w:tc>
      </w:tr>
      <w:tr w:rsidR="00ED2F5A" w:rsidRPr="0043259F" w14:paraId="6AC7482D" w14:textId="77777777" w:rsidTr="00E72162">
        <w:trPr>
          <w:trHeight w:val="155"/>
        </w:trPr>
        <w:tc>
          <w:tcPr>
            <w:tcW w:w="2335" w:type="dxa"/>
          </w:tcPr>
          <w:p w14:paraId="393ACD95" w14:textId="77777777" w:rsidR="00ED2F5A" w:rsidRPr="0043259F" w:rsidRDefault="00ED2F5A" w:rsidP="00E72162">
            <w:pPr>
              <w:ind w:left="90"/>
              <w:rPr>
                <w:rFonts w:cstheme="minorHAnsi"/>
              </w:rPr>
            </w:pPr>
            <w:r w:rsidRPr="0043259F">
              <w:rPr>
                <w:rFonts w:cstheme="minorHAnsi"/>
              </w:rPr>
              <w:t>Options for Southern Oregon</w:t>
            </w:r>
          </w:p>
        </w:tc>
        <w:tc>
          <w:tcPr>
            <w:tcW w:w="3600" w:type="dxa"/>
          </w:tcPr>
          <w:p w14:paraId="1FED92E4" w14:textId="77777777" w:rsidR="00ED2F5A" w:rsidRPr="0043259F" w:rsidRDefault="00ED2F5A" w:rsidP="00E72162">
            <w:pPr>
              <w:ind w:left="90"/>
              <w:rPr>
                <w:rFonts w:cstheme="minorHAnsi"/>
              </w:rPr>
            </w:pPr>
            <w:r w:rsidRPr="0043259F">
              <w:rPr>
                <w:rFonts w:cstheme="minorHAnsi"/>
              </w:rPr>
              <w:t>Allcare Health</w:t>
            </w:r>
          </w:p>
        </w:tc>
        <w:tc>
          <w:tcPr>
            <w:tcW w:w="900" w:type="dxa"/>
          </w:tcPr>
          <w:p w14:paraId="7828EC6C" w14:textId="77777777" w:rsidR="00ED2F5A" w:rsidRPr="0043259F" w:rsidRDefault="00ED2F5A" w:rsidP="00E72162">
            <w:pPr>
              <w:ind w:left="90"/>
              <w:rPr>
                <w:rFonts w:cstheme="minorHAnsi"/>
              </w:rPr>
            </w:pPr>
            <w:r w:rsidRPr="0043259F">
              <w:rPr>
                <w:rFonts w:cstheme="minorHAnsi"/>
              </w:rPr>
              <w:t>2019</w:t>
            </w:r>
          </w:p>
        </w:tc>
        <w:tc>
          <w:tcPr>
            <w:tcW w:w="2880" w:type="dxa"/>
          </w:tcPr>
          <w:p w14:paraId="5502E2E5" w14:textId="77777777" w:rsidR="00ED2F5A" w:rsidRPr="00D80227" w:rsidRDefault="00101CB3" w:rsidP="00E72162">
            <w:pPr>
              <w:ind w:left="90"/>
              <w:rPr>
                <w:rFonts w:cstheme="minorHAnsi"/>
                <w:color w:val="000000" w:themeColor="text1"/>
              </w:rPr>
            </w:pPr>
            <w:hyperlink r:id="rId54" w:history="1">
              <w:r w:rsidR="00ED2F5A" w:rsidRPr="00D80227">
                <w:rPr>
                  <w:rFonts w:cstheme="minorHAnsi"/>
                  <w:color w:val="000000" w:themeColor="text1"/>
                </w:rPr>
                <w:t>Allcare CCO Jackson &amp; Josephine County 2019 CHIP Addendum</w:t>
              </w:r>
            </w:hyperlink>
            <w:r w:rsidR="00ED2F5A" w:rsidRPr="00D80227">
              <w:rPr>
                <w:rFonts w:cstheme="minorHAnsi"/>
                <w:color w:val="000000" w:themeColor="text1"/>
              </w:rPr>
              <w:t xml:space="preserve"> </w:t>
            </w:r>
          </w:p>
        </w:tc>
      </w:tr>
      <w:tr w:rsidR="00ED2F5A" w:rsidRPr="0043259F" w14:paraId="5106215F" w14:textId="77777777" w:rsidTr="00E72162">
        <w:trPr>
          <w:trHeight w:val="155"/>
        </w:trPr>
        <w:tc>
          <w:tcPr>
            <w:tcW w:w="2335" w:type="dxa"/>
          </w:tcPr>
          <w:p w14:paraId="7A28D025" w14:textId="77777777" w:rsidR="00ED2F5A" w:rsidRPr="0043259F" w:rsidRDefault="00ED2F5A" w:rsidP="00E72162">
            <w:pPr>
              <w:ind w:left="90"/>
              <w:rPr>
                <w:rFonts w:cstheme="minorHAnsi"/>
              </w:rPr>
            </w:pPr>
            <w:r w:rsidRPr="0043259F">
              <w:rPr>
                <w:rFonts w:cstheme="minorHAnsi"/>
              </w:rPr>
              <w:t>Community Counseling Solutions</w:t>
            </w:r>
          </w:p>
        </w:tc>
        <w:tc>
          <w:tcPr>
            <w:tcW w:w="3600" w:type="dxa"/>
          </w:tcPr>
          <w:p w14:paraId="0AC60791" w14:textId="77777777" w:rsidR="00ED2F5A" w:rsidRPr="0043259F" w:rsidRDefault="00ED2F5A" w:rsidP="00E72162">
            <w:pPr>
              <w:ind w:left="90"/>
              <w:rPr>
                <w:rFonts w:cstheme="minorHAnsi"/>
              </w:rPr>
            </w:pPr>
            <w:r w:rsidRPr="0043259F">
              <w:rPr>
                <w:rFonts w:cstheme="minorHAnsi"/>
              </w:rPr>
              <w:t>Blue Mountain Hospital District</w:t>
            </w:r>
          </w:p>
        </w:tc>
        <w:tc>
          <w:tcPr>
            <w:tcW w:w="900" w:type="dxa"/>
          </w:tcPr>
          <w:p w14:paraId="6A1CFD58" w14:textId="77777777" w:rsidR="00ED2F5A" w:rsidRPr="0043259F" w:rsidRDefault="00ED2F5A" w:rsidP="00E72162">
            <w:pPr>
              <w:ind w:left="90"/>
              <w:rPr>
                <w:rFonts w:cstheme="minorHAnsi"/>
              </w:rPr>
            </w:pPr>
            <w:r w:rsidRPr="0043259F">
              <w:rPr>
                <w:rFonts w:cstheme="minorHAnsi"/>
              </w:rPr>
              <w:t>2022</w:t>
            </w:r>
          </w:p>
        </w:tc>
        <w:tc>
          <w:tcPr>
            <w:tcW w:w="2880" w:type="dxa"/>
          </w:tcPr>
          <w:p w14:paraId="75301798" w14:textId="77777777" w:rsidR="00ED2F5A" w:rsidRPr="00D80227" w:rsidRDefault="00101CB3" w:rsidP="00E72162">
            <w:pPr>
              <w:ind w:left="90"/>
              <w:rPr>
                <w:rFonts w:cstheme="minorHAnsi"/>
                <w:color w:val="000000" w:themeColor="text1"/>
              </w:rPr>
            </w:pPr>
            <w:hyperlink r:id="rId55" w:history="1">
              <w:r w:rsidR="00ED2F5A" w:rsidRPr="00D80227">
                <w:rPr>
                  <w:rFonts w:cstheme="minorHAnsi"/>
                  <w:color w:val="000000" w:themeColor="text1"/>
                </w:rPr>
                <w:t>2022 Community Health Needs Assessment</w:t>
              </w:r>
            </w:hyperlink>
            <w:r w:rsidR="00ED2F5A" w:rsidRPr="00D80227">
              <w:rPr>
                <w:rFonts w:cstheme="minorHAnsi"/>
                <w:color w:val="000000" w:themeColor="text1"/>
              </w:rPr>
              <w:t xml:space="preserve"> </w:t>
            </w:r>
          </w:p>
        </w:tc>
      </w:tr>
      <w:tr w:rsidR="00ED2F5A" w:rsidRPr="0043259F" w14:paraId="43C251AB" w14:textId="77777777" w:rsidTr="00E72162">
        <w:trPr>
          <w:trHeight w:val="155"/>
        </w:trPr>
        <w:tc>
          <w:tcPr>
            <w:tcW w:w="2335" w:type="dxa"/>
          </w:tcPr>
          <w:p w14:paraId="733B1CCA" w14:textId="77777777" w:rsidR="00ED2F5A" w:rsidRPr="0043259F" w:rsidRDefault="00ED2F5A" w:rsidP="00E72162">
            <w:pPr>
              <w:ind w:left="90"/>
              <w:rPr>
                <w:rFonts w:cstheme="minorHAnsi"/>
              </w:rPr>
            </w:pPr>
            <w:r w:rsidRPr="0043259F">
              <w:rPr>
                <w:rFonts w:cstheme="minorHAnsi"/>
              </w:rPr>
              <w:t>Deschutes County Health Services</w:t>
            </w:r>
          </w:p>
        </w:tc>
        <w:tc>
          <w:tcPr>
            <w:tcW w:w="3600" w:type="dxa"/>
          </w:tcPr>
          <w:p w14:paraId="3DCC6513" w14:textId="77777777" w:rsidR="00ED2F5A" w:rsidRPr="0043259F" w:rsidRDefault="00ED2F5A" w:rsidP="00E72162">
            <w:pPr>
              <w:ind w:left="90"/>
              <w:rPr>
                <w:rFonts w:cstheme="minorHAnsi"/>
              </w:rPr>
            </w:pPr>
            <w:r w:rsidRPr="0043259F">
              <w:rPr>
                <w:rFonts w:cstheme="minorHAnsi"/>
              </w:rPr>
              <w:t xml:space="preserve">Central Oregon Health Council </w:t>
            </w:r>
          </w:p>
        </w:tc>
        <w:tc>
          <w:tcPr>
            <w:tcW w:w="900" w:type="dxa"/>
          </w:tcPr>
          <w:p w14:paraId="654E4EC2" w14:textId="77777777" w:rsidR="00ED2F5A" w:rsidRPr="0043259F" w:rsidRDefault="00ED2F5A" w:rsidP="00E72162">
            <w:pPr>
              <w:ind w:left="90"/>
              <w:rPr>
                <w:rFonts w:cstheme="minorHAnsi"/>
              </w:rPr>
            </w:pPr>
            <w:r w:rsidRPr="0043259F">
              <w:rPr>
                <w:rFonts w:cstheme="minorHAnsi"/>
              </w:rPr>
              <w:t>2016</w:t>
            </w:r>
          </w:p>
        </w:tc>
        <w:tc>
          <w:tcPr>
            <w:tcW w:w="2880" w:type="dxa"/>
          </w:tcPr>
          <w:p w14:paraId="083065E9" w14:textId="77777777" w:rsidR="00ED2F5A" w:rsidRPr="00D80227" w:rsidRDefault="00101CB3" w:rsidP="00E72162">
            <w:pPr>
              <w:ind w:left="90"/>
              <w:rPr>
                <w:rFonts w:cstheme="minorHAnsi"/>
                <w:color w:val="000000" w:themeColor="text1"/>
              </w:rPr>
            </w:pPr>
            <w:hyperlink r:id="rId56" w:history="1">
              <w:r w:rsidR="00ED2F5A" w:rsidRPr="00D80227">
                <w:rPr>
                  <w:rFonts w:cstheme="minorHAnsi"/>
                  <w:color w:val="000000" w:themeColor="text1"/>
                </w:rPr>
                <w:t>2016-2019 Central Oregon Regional Health Improvement Plan</w:t>
              </w:r>
            </w:hyperlink>
          </w:p>
        </w:tc>
      </w:tr>
      <w:tr w:rsidR="00ED2F5A" w:rsidRPr="0043259F" w14:paraId="0E00DB87" w14:textId="77777777" w:rsidTr="00E72162">
        <w:trPr>
          <w:trHeight w:val="155"/>
        </w:trPr>
        <w:tc>
          <w:tcPr>
            <w:tcW w:w="2335" w:type="dxa"/>
          </w:tcPr>
          <w:p w14:paraId="10C3E58A" w14:textId="77777777" w:rsidR="00ED2F5A" w:rsidRPr="0043259F" w:rsidRDefault="00ED2F5A" w:rsidP="00E72162">
            <w:pPr>
              <w:ind w:left="90"/>
              <w:rPr>
                <w:rFonts w:cstheme="minorHAnsi"/>
              </w:rPr>
            </w:pPr>
            <w:r w:rsidRPr="0043259F">
              <w:rPr>
                <w:rFonts w:cstheme="minorHAnsi"/>
              </w:rPr>
              <w:t>Deschutes County Health Services</w:t>
            </w:r>
          </w:p>
        </w:tc>
        <w:tc>
          <w:tcPr>
            <w:tcW w:w="3600" w:type="dxa"/>
          </w:tcPr>
          <w:p w14:paraId="46499F7F" w14:textId="77777777" w:rsidR="00ED2F5A" w:rsidRPr="0043259F" w:rsidRDefault="00ED2F5A" w:rsidP="00E72162">
            <w:pPr>
              <w:ind w:left="90"/>
              <w:rPr>
                <w:rFonts w:cstheme="minorHAnsi"/>
              </w:rPr>
            </w:pPr>
            <w:r w:rsidRPr="0043259F">
              <w:rPr>
                <w:rFonts w:cstheme="minorHAnsi"/>
              </w:rPr>
              <w:t>Central Oregon Health Council</w:t>
            </w:r>
          </w:p>
        </w:tc>
        <w:tc>
          <w:tcPr>
            <w:tcW w:w="900" w:type="dxa"/>
          </w:tcPr>
          <w:p w14:paraId="1178A61A" w14:textId="77777777" w:rsidR="00ED2F5A" w:rsidRPr="0043259F" w:rsidRDefault="00ED2F5A" w:rsidP="00E72162">
            <w:pPr>
              <w:ind w:left="90"/>
              <w:rPr>
                <w:rFonts w:cstheme="minorHAnsi"/>
              </w:rPr>
            </w:pPr>
            <w:r w:rsidRPr="0043259F">
              <w:rPr>
                <w:rFonts w:cstheme="minorHAnsi"/>
              </w:rPr>
              <w:t>2019</w:t>
            </w:r>
          </w:p>
        </w:tc>
        <w:tc>
          <w:tcPr>
            <w:tcW w:w="2880" w:type="dxa"/>
          </w:tcPr>
          <w:p w14:paraId="5C88FA8D" w14:textId="77777777" w:rsidR="00ED2F5A" w:rsidRPr="00D80227" w:rsidRDefault="00101CB3" w:rsidP="00E72162">
            <w:pPr>
              <w:ind w:left="90"/>
              <w:rPr>
                <w:rFonts w:cstheme="minorHAnsi"/>
                <w:color w:val="000000" w:themeColor="text1"/>
              </w:rPr>
            </w:pPr>
            <w:hyperlink r:id="rId57" w:history="1">
              <w:r w:rsidR="00ED2F5A" w:rsidRPr="00D80227">
                <w:rPr>
                  <w:rFonts w:cstheme="minorHAnsi"/>
                  <w:color w:val="000000" w:themeColor="text1"/>
                </w:rPr>
                <w:t>2019 Central Oregon: Regional Health Assessment</w:t>
              </w:r>
            </w:hyperlink>
          </w:p>
        </w:tc>
      </w:tr>
      <w:tr w:rsidR="00ED2F5A" w:rsidRPr="0043259F" w14:paraId="70A9FDC2" w14:textId="77777777" w:rsidTr="00E72162">
        <w:trPr>
          <w:trHeight w:val="155"/>
        </w:trPr>
        <w:tc>
          <w:tcPr>
            <w:tcW w:w="2335" w:type="dxa"/>
          </w:tcPr>
          <w:p w14:paraId="51F27786" w14:textId="77777777" w:rsidR="00ED2F5A" w:rsidRPr="0043259F" w:rsidRDefault="00ED2F5A" w:rsidP="00E72162">
            <w:pPr>
              <w:ind w:left="90"/>
              <w:rPr>
                <w:rFonts w:cstheme="minorHAnsi"/>
              </w:rPr>
            </w:pPr>
            <w:r w:rsidRPr="0043259F">
              <w:rPr>
                <w:rFonts w:cstheme="minorHAnsi"/>
              </w:rPr>
              <w:t>Deschutes County Health Services</w:t>
            </w:r>
          </w:p>
        </w:tc>
        <w:tc>
          <w:tcPr>
            <w:tcW w:w="3600" w:type="dxa"/>
          </w:tcPr>
          <w:p w14:paraId="5DE03355" w14:textId="77777777" w:rsidR="00ED2F5A" w:rsidRPr="0043259F" w:rsidRDefault="00ED2F5A" w:rsidP="00E72162">
            <w:pPr>
              <w:ind w:left="90"/>
              <w:rPr>
                <w:rFonts w:cstheme="minorHAnsi"/>
              </w:rPr>
            </w:pPr>
            <w:r w:rsidRPr="0043259F">
              <w:rPr>
                <w:rFonts w:cstheme="minorHAnsi"/>
              </w:rPr>
              <w:t>Central Oregon Health Council</w:t>
            </w:r>
          </w:p>
        </w:tc>
        <w:tc>
          <w:tcPr>
            <w:tcW w:w="900" w:type="dxa"/>
          </w:tcPr>
          <w:p w14:paraId="7D1E340B" w14:textId="77777777" w:rsidR="00ED2F5A" w:rsidRPr="0043259F" w:rsidRDefault="00ED2F5A" w:rsidP="00E72162">
            <w:pPr>
              <w:ind w:left="90"/>
              <w:rPr>
                <w:rFonts w:cstheme="minorHAnsi"/>
              </w:rPr>
            </w:pPr>
            <w:r w:rsidRPr="0043259F">
              <w:rPr>
                <w:rFonts w:cstheme="minorHAnsi"/>
              </w:rPr>
              <w:t>2020</w:t>
            </w:r>
          </w:p>
        </w:tc>
        <w:tc>
          <w:tcPr>
            <w:tcW w:w="2880" w:type="dxa"/>
          </w:tcPr>
          <w:p w14:paraId="0ABF86FB" w14:textId="77777777" w:rsidR="00ED2F5A" w:rsidRPr="00D80227" w:rsidRDefault="00101CB3" w:rsidP="00E72162">
            <w:pPr>
              <w:ind w:left="90"/>
              <w:rPr>
                <w:rFonts w:cstheme="minorHAnsi"/>
                <w:color w:val="000000" w:themeColor="text1"/>
              </w:rPr>
            </w:pPr>
            <w:hyperlink r:id="rId58" w:history="1">
              <w:r w:rsidR="00ED2F5A" w:rsidRPr="00D80227">
                <w:rPr>
                  <w:rFonts w:cstheme="minorHAnsi"/>
                  <w:color w:val="000000" w:themeColor="text1"/>
                </w:rPr>
                <w:t>2020-2024 Central Oregon: Regional Health Improvement Plan</w:t>
              </w:r>
            </w:hyperlink>
          </w:p>
        </w:tc>
      </w:tr>
      <w:tr w:rsidR="00ED2F5A" w:rsidRPr="0043259F" w14:paraId="237210BC" w14:textId="77777777" w:rsidTr="00E72162">
        <w:trPr>
          <w:trHeight w:val="155"/>
        </w:trPr>
        <w:tc>
          <w:tcPr>
            <w:tcW w:w="2335" w:type="dxa"/>
          </w:tcPr>
          <w:p w14:paraId="4478EC9E" w14:textId="77777777" w:rsidR="00ED2F5A" w:rsidRPr="0043259F" w:rsidRDefault="00ED2F5A" w:rsidP="00E72162">
            <w:pPr>
              <w:ind w:left="90"/>
              <w:rPr>
                <w:rFonts w:cstheme="minorHAnsi"/>
              </w:rPr>
            </w:pPr>
            <w:r w:rsidRPr="0043259F">
              <w:rPr>
                <w:rFonts w:cstheme="minorHAnsi"/>
              </w:rPr>
              <w:t>Mid-Columbia Center for Living</w:t>
            </w:r>
          </w:p>
        </w:tc>
        <w:tc>
          <w:tcPr>
            <w:tcW w:w="3600" w:type="dxa"/>
          </w:tcPr>
          <w:p w14:paraId="6E1A4E06" w14:textId="77777777" w:rsidR="00ED2F5A" w:rsidRPr="0043259F" w:rsidRDefault="00ED2F5A" w:rsidP="00E72162">
            <w:pPr>
              <w:ind w:left="90"/>
              <w:rPr>
                <w:rFonts w:cstheme="minorHAnsi"/>
              </w:rPr>
            </w:pPr>
            <w:r w:rsidRPr="0043259F">
              <w:rPr>
                <w:rFonts w:cstheme="minorHAnsi"/>
              </w:rPr>
              <w:t>Columbia Gorge Health Council</w:t>
            </w:r>
          </w:p>
        </w:tc>
        <w:tc>
          <w:tcPr>
            <w:tcW w:w="900" w:type="dxa"/>
          </w:tcPr>
          <w:p w14:paraId="02303A37" w14:textId="77777777" w:rsidR="00ED2F5A" w:rsidRPr="0043259F" w:rsidRDefault="00ED2F5A" w:rsidP="00E72162">
            <w:pPr>
              <w:ind w:left="90"/>
              <w:rPr>
                <w:rFonts w:cstheme="minorHAnsi"/>
              </w:rPr>
            </w:pPr>
            <w:r w:rsidRPr="0043259F">
              <w:rPr>
                <w:rFonts w:cstheme="minorHAnsi"/>
              </w:rPr>
              <w:t>2019</w:t>
            </w:r>
          </w:p>
        </w:tc>
        <w:tc>
          <w:tcPr>
            <w:tcW w:w="2880" w:type="dxa"/>
          </w:tcPr>
          <w:p w14:paraId="0F35F12D" w14:textId="77777777" w:rsidR="00ED2F5A" w:rsidRPr="00D80227" w:rsidRDefault="00101CB3" w:rsidP="00E72162">
            <w:pPr>
              <w:ind w:left="90"/>
              <w:rPr>
                <w:rFonts w:cstheme="minorHAnsi"/>
                <w:color w:val="000000" w:themeColor="text1"/>
              </w:rPr>
            </w:pPr>
            <w:hyperlink r:id="rId59" w:history="1">
              <w:r w:rsidR="00ED2F5A" w:rsidRPr="00D80227">
                <w:rPr>
                  <w:rFonts w:cstheme="minorHAnsi"/>
                  <w:color w:val="000000" w:themeColor="text1"/>
                </w:rPr>
                <w:t>Columbia Gorge Regional Community Health Assessment 2019</w:t>
              </w:r>
            </w:hyperlink>
          </w:p>
        </w:tc>
      </w:tr>
      <w:tr w:rsidR="00ED2F5A" w:rsidRPr="0043259F" w14:paraId="35CC8F44" w14:textId="77777777" w:rsidTr="00E72162">
        <w:trPr>
          <w:trHeight w:val="155"/>
        </w:trPr>
        <w:tc>
          <w:tcPr>
            <w:tcW w:w="2335" w:type="dxa"/>
          </w:tcPr>
          <w:p w14:paraId="69F8CE6B" w14:textId="77777777" w:rsidR="00ED2F5A" w:rsidRPr="0043259F" w:rsidRDefault="00ED2F5A" w:rsidP="00E72162">
            <w:pPr>
              <w:ind w:left="90"/>
              <w:rPr>
                <w:rFonts w:cstheme="minorHAnsi"/>
              </w:rPr>
            </w:pPr>
            <w:r w:rsidRPr="0043259F">
              <w:rPr>
                <w:rFonts w:cstheme="minorHAnsi"/>
              </w:rPr>
              <w:t>Mid-Columbia Center for Living</w:t>
            </w:r>
          </w:p>
        </w:tc>
        <w:tc>
          <w:tcPr>
            <w:tcW w:w="3600" w:type="dxa"/>
          </w:tcPr>
          <w:p w14:paraId="0913BBB6" w14:textId="77777777" w:rsidR="00ED2F5A" w:rsidRPr="0043259F" w:rsidRDefault="00ED2F5A" w:rsidP="00E72162">
            <w:pPr>
              <w:ind w:left="90"/>
              <w:rPr>
                <w:rFonts w:cstheme="minorHAnsi"/>
              </w:rPr>
            </w:pPr>
            <w:r w:rsidRPr="0043259F">
              <w:rPr>
                <w:rFonts w:cstheme="minorHAnsi"/>
              </w:rPr>
              <w:t>Columbia Gorge Health Council</w:t>
            </w:r>
          </w:p>
        </w:tc>
        <w:tc>
          <w:tcPr>
            <w:tcW w:w="900" w:type="dxa"/>
          </w:tcPr>
          <w:p w14:paraId="5514EA9D" w14:textId="77777777" w:rsidR="00ED2F5A" w:rsidRPr="0043259F" w:rsidRDefault="00ED2F5A" w:rsidP="00E72162">
            <w:pPr>
              <w:ind w:left="90"/>
              <w:rPr>
                <w:rFonts w:cstheme="minorHAnsi"/>
              </w:rPr>
            </w:pPr>
            <w:r w:rsidRPr="0043259F">
              <w:rPr>
                <w:rFonts w:cstheme="minorHAnsi"/>
              </w:rPr>
              <w:t>2021</w:t>
            </w:r>
          </w:p>
        </w:tc>
        <w:tc>
          <w:tcPr>
            <w:tcW w:w="2880" w:type="dxa"/>
          </w:tcPr>
          <w:p w14:paraId="1E797D67" w14:textId="77777777" w:rsidR="00ED2F5A" w:rsidRPr="00D80227" w:rsidRDefault="00101CB3" w:rsidP="00E72162">
            <w:pPr>
              <w:ind w:left="90"/>
              <w:rPr>
                <w:rFonts w:cstheme="minorHAnsi"/>
                <w:color w:val="000000" w:themeColor="text1"/>
              </w:rPr>
            </w:pPr>
            <w:hyperlink r:id="rId60" w:history="1">
              <w:r w:rsidR="00ED2F5A" w:rsidRPr="00D80227">
                <w:rPr>
                  <w:rFonts w:cstheme="minorHAnsi"/>
                  <w:color w:val="000000" w:themeColor="text1"/>
                </w:rPr>
                <w:t>Columbia Gorge Regional Community Health Improvement Plan 2020-2023</w:t>
              </w:r>
            </w:hyperlink>
            <w:r w:rsidR="00ED2F5A" w:rsidRPr="00D80227">
              <w:rPr>
                <w:rFonts w:cstheme="minorHAnsi"/>
                <w:color w:val="000000" w:themeColor="text1"/>
              </w:rPr>
              <w:t xml:space="preserve"> </w:t>
            </w:r>
          </w:p>
        </w:tc>
      </w:tr>
      <w:tr w:rsidR="00ED2F5A" w:rsidRPr="0043259F" w14:paraId="571566CC" w14:textId="77777777" w:rsidTr="00E72162">
        <w:trPr>
          <w:trHeight w:val="155"/>
        </w:trPr>
        <w:tc>
          <w:tcPr>
            <w:tcW w:w="2335" w:type="dxa"/>
          </w:tcPr>
          <w:p w14:paraId="03A0FC0C" w14:textId="77777777" w:rsidR="00ED2F5A" w:rsidRPr="0043259F" w:rsidRDefault="00ED2F5A" w:rsidP="00E72162">
            <w:pPr>
              <w:ind w:left="90"/>
              <w:rPr>
                <w:rFonts w:cstheme="minorHAnsi"/>
              </w:rPr>
            </w:pPr>
            <w:r w:rsidRPr="0043259F">
              <w:rPr>
                <w:rFonts w:cstheme="minorHAnsi"/>
              </w:rPr>
              <w:t>Columbia Community Mental Health</w:t>
            </w:r>
          </w:p>
        </w:tc>
        <w:tc>
          <w:tcPr>
            <w:tcW w:w="3600" w:type="dxa"/>
          </w:tcPr>
          <w:p w14:paraId="51F211C1" w14:textId="77777777" w:rsidR="00ED2F5A" w:rsidRPr="0043259F" w:rsidRDefault="00ED2F5A" w:rsidP="00E72162">
            <w:pPr>
              <w:ind w:left="90"/>
              <w:rPr>
                <w:rFonts w:cstheme="minorHAnsi"/>
              </w:rPr>
            </w:pPr>
            <w:r w:rsidRPr="0043259F">
              <w:rPr>
                <w:rFonts w:cstheme="minorHAnsi"/>
              </w:rPr>
              <w:t>Columbia Pacific Coordinated Care Organization</w:t>
            </w:r>
          </w:p>
        </w:tc>
        <w:tc>
          <w:tcPr>
            <w:tcW w:w="900" w:type="dxa"/>
          </w:tcPr>
          <w:p w14:paraId="4E9FF832" w14:textId="77777777" w:rsidR="00ED2F5A" w:rsidRPr="0043259F" w:rsidRDefault="00ED2F5A" w:rsidP="00E72162">
            <w:pPr>
              <w:ind w:left="90"/>
              <w:rPr>
                <w:rFonts w:cstheme="minorHAnsi"/>
              </w:rPr>
            </w:pPr>
            <w:r w:rsidRPr="0043259F">
              <w:rPr>
                <w:rFonts w:cstheme="minorHAnsi"/>
              </w:rPr>
              <w:t>2019</w:t>
            </w:r>
          </w:p>
        </w:tc>
        <w:tc>
          <w:tcPr>
            <w:tcW w:w="2880" w:type="dxa"/>
          </w:tcPr>
          <w:p w14:paraId="6A018342" w14:textId="77777777" w:rsidR="00ED2F5A" w:rsidRPr="00D80227" w:rsidRDefault="00101CB3" w:rsidP="00E72162">
            <w:pPr>
              <w:ind w:left="90"/>
              <w:rPr>
                <w:rFonts w:cstheme="minorHAnsi"/>
                <w:color w:val="000000" w:themeColor="text1"/>
              </w:rPr>
            </w:pPr>
            <w:hyperlink r:id="rId61" w:history="1">
              <w:r w:rsidR="00ED2F5A" w:rsidRPr="00D80227">
                <w:rPr>
                  <w:rFonts w:cstheme="minorHAnsi"/>
                  <w:color w:val="000000" w:themeColor="text1"/>
                </w:rPr>
                <w:t>Regional Health Assessment &amp; Regional Health Improvement Plan 2019</w:t>
              </w:r>
            </w:hyperlink>
          </w:p>
        </w:tc>
      </w:tr>
      <w:tr w:rsidR="00ED2F5A" w:rsidRPr="0043259F" w14:paraId="2B9819EE" w14:textId="77777777" w:rsidTr="00E72162">
        <w:trPr>
          <w:trHeight w:val="155"/>
        </w:trPr>
        <w:tc>
          <w:tcPr>
            <w:tcW w:w="2335" w:type="dxa"/>
          </w:tcPr>
          <w:p w14:paraId="6B15888F"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3424B7BB" w14:textId="450B6FA1" w:rsidR="00ED2F5A" w:rsidRPr="0043259F" w:rsidRDefault="00ED2F5A" w:rsidP="00E72162">
            <w:pPr>
              <w:ind w:left="90"/>
              <w:rPr>
                <w:rFonts w:cstheme="minorHAnsi"/>
              </w:rPr>
            </w:pPr>
            <w:r w:rsidRPr="0043259F">
              <w:rPr>
                <w:rFonts w:cstheme="minorHAnsi"/>
              </w:rPr>
              <w:t xml:space="preserve">Comagine </w:t>
            </w:r>
            <w:r w:rsidR="00517AAA">
              <w:rPr>
                <w:rFonts w:cstheme="minorHAnsi"/>
              </w:rPr>
              <w:t>and</w:t>
            </w:r>
            <w:r w:rsidR="00517AAA" w:rsidRPr="0043259F">
              <w:rPr>
                <w:rFonts w:cstheme="minorHAnsi"/>
              </w:rPr>
              <w:t xml:space="preserve"> </w:t>
            </w:r>
            <w:r w:rsidRPr="0043259F">
              <w:rPr>
                <w:rFonts w:cstheme="minorHAnsi"/>
              </w:rPr>
              <w:t>Healthy Columbia Willamette Collaborative</w:t>
            </w:r>
          </w:p>
        </w:tc>
        <w:tc>
          <w:tcPr>
            <w:tcW w:w="900" w:type="dxa"/>
          </w:tcPr>
          <w:p w14:paraId="7FA95C6B" w14:textId="77777777" w:rsidR="00ED2F5A" w:rsidRPr="0043259F" w:rsidRDefault="00ED2F5A" w:rsidP="00E72162">
            <w:pPr>
              <w:ind w:left="90"/>
              <w:rPr>
                <w:rFonts w:cstheme="minorHAnsi"/>
              </w:rPr>
            </w:pPr>
            <w:r w:rsidRPr="0043259F">
              <w:rPr>
                <w:rFonts w:cstheme="minorHAnsi"/>
              </w:rPr>
              <w:t>2019</w:t>
            </w:r>
          </w:p>
        </w:tc>
        <w:tc>
          <w:tcPr>
            <w:tcW w:w="2880" w:type="dxa"/>
          </w:tcPr>
          <w:p w14:paraId="1F4B6CC2" w14:textId="77777777" w:rsidR="00ED2F5A" w:rsidRPr="00D80227" w:rsidRDefault="00101CB3" w:rsidP="00E72162">
            <w:pPr>
              <w:ind w:left="90"/>
              <w:rPr>
                <w:rFonts w:cstheme="minorHAnsi"/>
                <w:color w:val="000000" w:themeColor="text1"/>
              </w:rPr>
            </w:pPr>
            <w:hyperlink r:id="rId62" w:history="1">
              <w:r w:rsidR="00ED2F5A" w:rsidRPr="00D80227">
                <w:rPr>
                  <w:rFonts w:cstheme="minorHAnsi"/>
                  <w:color w:val="000000" w:themeColor="text1"/>
                </w:rPr>
                <w:t>2019 Community Health Needs Assessment</w:t>
              </w:r>
            </w:hyperlink>
            <w:r w:rsidR="00ED2F5A" w:rsidRPr="00D80227">
              <w:rPr>
                <w:rFonts w:cstheme="minorHAnsi"/>
                <w:color w:val="000000" w:themeColor="text1"/>
              </w:rPr>
              <w:t xml:space="preserve"> </w:t>
            </w:r>
          </w:p>
        </w:tc>
      </w:tr>
      <w:tr w:rsidR="00ED2F5A" w:rsidRPr="0043259F" w14:paraId="223095F5" w14:textId="77777777" w:rsidTr="00E72162">
        <w:trPr>
          <w:trHeight w:val="155"/>
        </w:trPr>
        <w:tc>
          <w:tcPr>
            <w:tcW w:w="2335" w:type="dxa"/>
          </w:tcPr>
          <w:p w14:paraId="052795EF" w14:textId="6B8BCCF4" w:rsidR="00ED2F5A" w:rsidRPr="0043259F" w:rsidRDefault="00ED2F5A" w:rsidP="00E72162">
            <w:pPr>
              <w:ind w:left="90"/>
              <w:rPr>
                <w:rFonts w:cstheme="minorHAnsi"/>
              </w:rPr>
            </w:pPr>
            <w:r w:rsidRPr="0043259F">
              <w:rPr>
                <w:rFonts w:cstheme="minorHAnsi"/>
              </w:rPr>
              <w:t xml:space="preserve">Yamhill County Health </w:t>
            </w:r>
            <w:r w:rsidR="00517AAA">
              <w:rPr>
                <w:rFonts w:cstheme="minorHAnsi"/>
              </w:rPr>
              <w:t>and</w:t>
            </w:r>
            <w:r w:rsidRPr="0043259F">
              <w:rPr>
                <w:rFonts w:cstheme="minorHAnsi"/>
              </w:rPr>
              <w:t xml:space="preserve"> Human Services</w:t>
            </w:r>
          </w:p>
        </w:tc>
        <w:tc>
          <w:tcPr>
            <w:tcW w:w="3600" w:type="dxa"/>
          </w:tcPr>
          <w:p w14:paraId="5AAF9676" w14:textId="77777777" w:rsidR="00ED2F5A" w:rsidRPr="0043259F" w:rsidRDefault="00ED2F5A" w:rsidP="00E72162">
            <w:pPr>
              <w:ind w:left="90"/>
              <w:rPr>
                <w:rFonts w:cstheme="minorHAnsi"/>
              </w:rPr>
            </w:pPr>
            <w:r w:rsidRPr="0043259F">
              <w:rPr>
                <w:rFonts w:cstheme="minorHAnsi"/>
              </w:rPr>
              <w:t>Community Actions Team, Inc.</w:t>
            </w:r>
          </w:p>
        </w:tc>
        <w:tc>
          <w:tcPr>
            <w:tcW w:w="900" w:type="dxa"/>
          </w:tcPr>
          <w:p w14:paraId="1D2C2641" w14:textId="77777777" w:rsidR="00ED2F5A" w:rsidRPr="0043259F" w:rsidRDefault="00ED2F5A" w:rsidP="00E72162">
            <w:pPr>
              <w:ind w:left="90"/>
              <w:rPr>
                <w:rFonts w:cstheme="minorHAnsi"/>
              </w:rPr>
            </w:pPr>
            <w:r w:rsidRPr="0043259F">
              <w:rPr>
                <w:rFonts w:cstheme="minorHAnsi"/>
              </w:rPr>
              <w:t>2018</w:t>
            </w:r>
          </w:p>
        </w:tc>
        <w:tc>
          <w:tcPr>
            <w:tcW w:w="2880" w:type="dxa"/>
          </w:tcPr>
          <w:p w14:paraId="41C448FB" w14:textId="77777777" w:rsidR="00ED2F5A" w:rsidRPr="00D80227" w:rsidRDefault="00101CB3" w:rsidP="00E72162">
            <w:pPr>
              <w:ind w:left="90"/>
              <w:rPr>
                <w:rFonts w:cstheme="minorHAnsi"/>
                <w:color w:val="000000" w:themeColor="text1"/>
              </w:rPr>
            </w:pPr>
            <w:hyperlink r:id="rId63" w:history="1">
              <w:r w:rsidR="00ED2F5A" w:rsidRPr="00D80227">
                <w:rPr>
                  <w:rFonts w:cstheme="minorHAnsi"/>
                  <w:color w:val="000000" w:themeColor="text1"/>
                </w:rPr>
                <w:t>Community Needs Assessment: Clatsop, Columbia, &amp; Tillamook Counties</w:t>
              </w:r>
            </w:hyperlink>
          </w:p>
        </w:tc>
      </w:tr>
      <w:tr w:rsidR="00ED2F5A" w:rsidRPr="0043259F" w14:paraId="1CE5F5E2" w14:textId="77777777" w:rsidTr="00E72162">
        <w:trPr>
          <w:trHeight w:val="155"/>
        </w:trPr>
        <w:tc>
          <w:tcPr>
            <w:tcW w:w="2335" w:type="dxa"/>
          </w:tcPr>
          <w:p w14:paraId="3CF5AA80" w14:textId="77777777" w:rsidR="00ED2F5A" w:rsidRPr="0043259F" w:rsidRDefault="00ED2F5A" w:rsidP="00E72162">
            <w:pPr>
              <w:ind w:left="90"/>
              <w:rPr>
                <w:rFonts w:cstheme="minorHAnsi"/>
              </w:rPr>
            </w:pPr>
            <w:r w:rsidRPr="0043259F">
              <w:rPr>
                <w:rFonts w:cstheme="minorHAnsi"/>
              </w:rPr>
              <w:t xml:space="preserve">Deschutes County Health Services </w:t>
            </w:r>
          </w:p>
        </w:tc>
        <w:tc>
          <w:tcPr>
            <w:tcW w:w="3600" w:type="dxa"/>
          </w:tcPr>
          <w:p w14:paraId="379AC9D1" w14:textId="77777777" w:rsidR="00ED2F5A" w:rsidRPr="0043259F" w:rsidRDefault="00ED2F5A" w:rsidP="00E72162">
            <w:pPr>
              <w:ind w:left="90"/>
              <w:rPr>
                <w:rFonts w:cstheme="minorHAnsi"/>
              </w:rPr>
            </w:pPr>
            <w:r w:rsidRPr="0043259F">
              <w:rPr>
                <w:rFonts w:cstheme="minorHAnsi"/>
              </w:rPr>
              <w:t>Deschutes County Health Services, Public Health Division</w:t>
            </w:r>
          </w:p>
        </w:tc>
        <w:tc>
          <w:tcPr>
            <w:tcW w:w="900" w:type="dxa"/>
          </w:tcPr>
          <w:p w14:paraId="483D1E2F" w14:textId="77777777" w:rsidR="00ED2F5A" w:rsidRPr="0043259F" w:rsidRDefault="00ED2F5A" w:rsidP="00E72162">
            <w:pPr>
              <w:ind w:left="90"/>
              <w:rPr>
                <w:rFonts w:cstheme="minorHAnsi"/>
              </w:rPr>
            </w:pPr>
            <w:r w:rsidRPr="0043259F">
              <w:rPr>
                <w:rFonts w:cstheme="minorHAnsi"/>
              </w:rPr>
              <w:t>2018</w:t>
            </w:r>
          </w:p>
        </w:tc>
        <w:tc>
          <w:tcPr>
            <w:tcW w:w="2880" w:type="dxa"/>
          </w:tcPr>
          <w:p w14:paraId="6BBBC0F2" w14:textId="77777777" w:rsidR="00ED2F5A" w:rsidRPr="00D80227" w:rsidRDefault="00101CB3" w:rsidP="00E72162">
            <w:pPr>
              <w:ind w:left="90"/>
              <w:rPr>
                <w:rFonts w:cstheme="minorHAnsi"/>
                <w:color w:val="000000" w:themeColor="text1"/>
              </w:rPr>
            </w:pPr>
            <w:hyperlink r:id="rId64" w:history="1">
              <w:r w:rsidR="00ED2F5A" w:rsidRPr="00D80227">
                <w:rPr>
                  <w:rFonts w:cstheme="minorHAnsi"/>
                  <w:color w:val="000000" w:themeColor="text1"/>
                </w:rPr>
                <w:t>2018 Health Equity Report</w:t>
              </w:r>
            </w:hyperlink>
          </w:p>
        </w:tc>
      </w:tr>
      <w:tr w:rsidR="00ED2F5A" w:rsidRPr="0043259F" w14:paraId="3E72FBEC" w14:textId="77777777" w:rsidTr="00E72162">
        <w:trPr>
          <w:trHeight w:val="155"/>
        </w:trPr>
        <w:tc>
          <w:tcPr>
            <w:tcW w:w="2335" w:type="dxa"/>
          </w:tcPr>
          <w:p w14:paraId="3D169D38" w14:textId="77777777" w:rsidR="00ED2F5A" w:rsidRPr="0043259F" w:rsidRDefault="00ED2F5A" w:rsidP="00E72162">
            <w:pPr>
              <w:ind w:left="90"/>
              <w:rPr>
                <w:rFonts w:cstheme="minorHAnsi"/>
              </w:rPr>
            </w:pPr>
            <w:r w:rsidRPr="0043259F">
              <w:rPr>
                <w:rFonts w:cstheme="minorHAnsi"/>
              </w:rPr>
              <w:t>Community Counseling Solutions</w:t>
            </w:r>
          </w:p>
        </w:tc>
        <w:tc>
          <w:tcPr>
            <w:tcW w:w="3600" w:type="dxa"/>
          </w:tcPr>
          <w:p w14:paraId="279A3713"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623FA38D" w14:textId="77777777" w:rsidR="00ED2F5A" w:rsidRPr="0043259F" w:rsidRDefault="00ED2F5A" w:rsidP="00E72162">
            <w:pPr>
              <w:ind w:left="90"/>
              <w:rPr>
                <w:rFonts w:cstheme="minorHAnsi"/>
              </w:rPr>
            </w:pPr>
            <w:r w:rsidRPr="0043259F">
              <w:rPr>
                <w:rFonts w:cstheme="minorHAnsi"/>
              </w:rPr>
              <w:t>2019</w:t>
            </w:r>
          </w:p>
        </w:tc>
        <w:tc>
          <w:tcPr>
            <w:tcW w:w="2880" w:type="dxa"/>
          </w:tcPr>
          <w:p w14:paraId="3E723549" w14:textId="77777777" w:rsidR="00ED2F5A" w:rsidRPr="00D80227" w:rsidRDefault="00101CB3" w:rsidP="00E72162">
            <w:pPr>
              <w:ind w:left="90"/>
              <w:rPr>
                <w:rFonts w:cstheme="minorHAnsi"/>
                <w:color w:val="000000" w:themeColor="text1"/>
              </w:rPr>
            </w:pPr>
            <w:hyperlink r:id="rId65" w:history="1">
              <w:r w:rsidR="00ED2F5A" w:rsidRPr="00D80227">
                <w:rPr>
                  <w:rFonts w:cstheme="minorHAnsi"/>
                  <w:color w:val="000000" w:themeColor="text1"/>
                </w:rPr>
                <w:t>Grant County Community Health Assessment</w:t>
              </w:r>
            </w:hyperlink>
          </w:p>
        </w:tc>
      </w:tr>
      <w:tr w:rsidR="00ED2F5A" w:rsidRPr="0043259F" w14:paraId="7C733285" w14:textId="77777777" w:rsidTr="00E72162">
        <w:trPr>
          <w:trHeight w:val="155"/>
        </w:trPr>
        <w:tc>
          <w:tcPr>
            <w:tcW w:w="2335" w:type="dxa"/>
          </w:tcPr>
          <w:p w14:paraId="5C3774BC" w14:textId="77777777" w:rsidR="00ED2F5A" w:rsidRPr="0043259F" w:rsidRDefault="00ED2F5A" w:rsidP="00E72162">
            <w:pPr>
              <w:ind w:left="90"/>
              <w:rPr>
                <w:rFonts w:cstheme="minorHAnsi"/>
              </w:rPr>
            </w:pPr>
            <w:r w:rsidRPr="0043259F">
              <w:rPr>
                <w:rFonts w:cstheme="minorHAnsi"/>
              </w:rPr>
              <w:t>Symmetry Care, Inc.</w:t>
            </w:r>
          </w:p>
        </w:tc>
        <w:tc>
          <w:tcPr>
            <w:tcW w:w="3600" w:type="dxa"/>
          </w:tcPr>
          <w:p w14:paraId="56862EA1"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74B7CAA0" w14:textId="77777777" w:rsidR="00ED2F5A" w:rsidRPr="0043259F" w:rsidRDefault="00ED2F5A" w:rsidP="00E72162">
            <w:pPr>
              <w:ind w:left="90"/>
              <w:rPr>
                <w:rFonts w:cstheme="minorHAnsi"/>
              </w:rPr>
            </w:pPr>
            <w:r w:rsidRPr="0043259F">
              <w:rPr>
                <w:rFonts w:cstheme="minorHAnsi"/>
              </w:rPr>
              <w:t>2019</w:t>
            </w:r>
          </w:p>
        </w:tc>
        <w:tc>
          <w:tcPr>
            <w:tcW w:w="2880" w:type="dxa"/>
          </w:tcPr>
          <w:p w14:paraId="49E54ACB" w14:textId="77777777" w:rsidR="00ED2F5A" w:rsidRPr="00D80227" w:rsidRDefault="00101CB3" w:rsidP="00E72162">
            <w:pPr>
              <w:ind w:left="90"/>
              <w:rPr>
                <w:rFonts w:cstheme="minorHAnsi"/>
                <w:color w:val="000000" w:themeColor="text1"/>
              </w:rPr>
            </w:pPr>
            <w:hyperlink r:id="rId66" w:history="1">
              <w:r w:rsidR="00ED2F5A" w:rsidRPr="00D80227">
                <w:rPr>
                  <w:rFonts w:cstheme="minorHAnsi"/>
                  <w:color w:val="000000" w:themeColor="text1"/>
                </w:rPr>
                <w:t>Harney County Community Health Assessment</w:t>
              </w:r>
            </w:hyperlink>
          </w:p>
        </w:tc>
      </w:tr>
      <w:tr w:rsidR="00ED2F5A" w:rsidRPr="0043259F" w14:paraId="6D55AAF3" w14:textId="77777777" w:rsidTr="00E72162">
        <w:trPr>
          <w:trHeight w:val="155"/>
        </w:trPr>
        <w:tc>
          <w:tcPr>
            <w:tcW w:w="2335" w:type="dxa"/>
          </w:tcPr>
          <w:p w14:paraId="6A662448" w14:textId="77777777" w:rsidR="00ED2F5A" w:rsidRPr="0043259F" w:rsidRDefault="00ED2F5A" w:rsidP="00E72162">
            <w:pPr>
              <w:ind w:left="90"/>
              <w:rPr>
                <w:rFonts w:cstheme="minorHAnsi"/>
              </w:rPr>
            </w:pPr>
            <w:r w:rsidRPr="0043259F">
              <w:rPr>
                <w:rFonts w:cstheme="minorHAnsi"/>
              </w:rPr>
              <w:t>Wallowa Valley Center for Living</w:t>
            </w:r>
          </w:p>
        </w:tc>
        <w:tc>
          <w:tcPr>
            <w:tcW w:w="3600" w:type="dxa"/>
          </w:tcPr>
          <w:p w14:paraId="6B8AC3AF"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4581EF22" w14:textId="77777777" w:rsidR="00ED2F5A" w:rsidRPr="0043259F" w:rsidRDefault="00ED2F5A" w:rsidP="00E72162">
            <w:pPr>
              <w:ind w:left="90"/>
              <w:rPr>
                <w:rFonts w:cstheme="minorHAnsi"/>
              </w:rPr>
            </w:pPr>
            <w:r w:rsidRPr="0043259F">
              <w:rPr>
                <w:rFonts w:cstheme="minorHAnsi"/>
              </w:rPr>
              <w:t>2019</w:t>
            </w:r>
          </w:p>
        </w:tc>
        <w:tc>
          <w:tcPr>
            <w:tcW w:w="2880" w:type="dxa"/>
          </w:tcPr>
          <w:p w14:paraId="24BFCE2F" w14:textId="77777777" w:rsidR="00ED2F5A" w:rsidRPr="00D80227" w:rsidRDefault="00101CB3" w:rsidP="00E72162">
            <w:pPr>
              <w:ind w:left="90"/>
              <w:rPr>
                <w:rFonts w:cstheme="minorHAnsi"/>
                <w:color w:val="000000" w:themeColor="text1"/>
              </w:rPr>
            </w:pPr>
            <w:hyperlink r:id="rId67" w:history="1">
              <w:r w:rsidR="00ED2F5A" w:rsidRPr="00D80227">
                <w:rPr>
                  <w:rFonts w:cstheme="minorHAnsi"/>
                  <w:color w:val="000000" w:themeColor="text1"/>
                </w:rPr>
                <w:t>Wallowa County Community Health Assessment</w:t>
              </w:r>
            </w:hyperlink>
          </w:p>
        </w:tc>
      </w:tr>
      <w:tr w:rsidR="00ED2F5A" w:rsidRPr="0043259F" w14:paraId="46407CC5" w14:textId="77777777" w:rsidTr="00E72162">
        <w:trPr>
          <w:trHeight w:val="155"/>
        </w:trPr>
        <w:tc>
          <w:tcPr>
            <w:tcW w:w="2335" w:type="dxa"/>
          </w:tcPr>
          <w:p w14:paraId="0A8C303B" w14:textId="77777777" w:rsidR="00ED2F5A" w:rsidRPr="0043259F" w:rsidRDefault="00ED2F5A" w:rsidP="00E72162">
            <w:pPr>
              <w:ind w:left="90"/>
              <w:rPr>
                <w:rFonts w:cstheme="minorHAnsi"/>
              </w:rPr>
            </w:pPr>
            <w:r w:rsidRPr="0043259F">
              <w:rPr>
                <w:rFonts w:cstheme="minorHAnsi"/>
              </w:rPr>
              <w:t>Wallowa Valley Center for Living</w:t>
            </w:r>
          </w:p>
        </w:tc>
        <w:tc>
          <w:tcPr>
            <w:tcW w:w="3600" w:type="dxa"/>
          </w:tcPr>
          <w:p w14:paraId="3F22F5F7"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3B42D6DA" w14:textId="77777777" w:rsidR="00ED2F5A" w:rsidRPr="0043259F" w:rsidRDefault="00ED2F5A" w:rsidP="00E72162">
            <w:pPr>
              <w:ind w:left="90"/>
              <w:rPr>
                <w:rFonts w:cstheme="minorHAnsi"/>
              </w:rPr>
            </w:pPr>
            <w:r w:rsidRPr="0043259F">
              <w:rPr>
                <w:rFonts w:cstheme="minorHAnsi"/>
              </w:rPr>
              <w:t>2021</w:t>
            </w:r>
          </w:p>
        </w:tc>
        <w:tc>
          <w:tcPr>
            <w:tcW w:w="2880" w:type="dxa"/>
          </w:tcPr>
          <w:p w14:paraId="0E394609" w14:textId="77777777" w:rsidR="00ED2F5A" w:rsidRPr="00D80227" w:rsidRDefault="00101CB3" w:rsidP="00E72162">
            <w:pPr>
              <w:ind w:left="90"/>
              <w:rPr>
                <w:rFonts w:cstheme="minorHAnsi"/>
                <w:color w:val="000000" w:themeColor="text1"/>
              </w:rPr>
            </w:pPr>
            <w:hyperlink r:id="rId68" w:history="1">
              <w:r w:rsidR="00ED2F5A" w:rsidRPr="00D80227">
                <w:rPr>
                  <w:rFonts w:cstheme="minorHAnsi"/>
                  <w:color w:val="000000" w:themeColor="text1"/>
                </w:rPr>
                <w:t>2021 EOCCO Community Health Plan for Wallowa County</w:t>
              </w:r>
            </w:hyperlink>
            <w:r w:rsidR="00ED2F5A" w:rsidRPr="00D80227">
              <w:rPr>
                <w:rFonts w:cstheme="minorHAnsi"/>
                <w:color w:val="000000" w:themeColor="text1"/>
              </w:rPr>
              <w:t xml:space="preserve"> </w:t>
            </w:r>
          </w:p>
        </w:tc>
      </w:tr>
      <w:tr w:rsidR="00ED2F5A" w:rsidRPr="0043259F" w14:paraId="50CCEA4D" w14:textId="77777777" w:rsidTr="00E72162">
        <w:trPr>
          <w:trHeight w:val="155"/>
        </w:trPr>
        <w:tc>
          <w:tcPr>
            <w:tcW w:w="2335" w:type="dxa"/>
          </w:tcPr>
          <w:p w14:paraId="32FF5F91" w14:textId="77777777" w:rsidR="00ED2F5A" w:rsidRPr="0043259F" w:rsidRDefault="00ED2F5A" w:rsidP="00E72162">
            <w:pPr>
              <w:ind w:left="90"/>
              <w:rPr>
                <w:rFonts w:cstheme="minorHAnsi"/>
              </w:rPr>
            </w:pPr>
            <w:r w:rsidRPr="0043259F">
              <w:rPr>
                <w:rFonts w:cstheme="minorHAnsi"/>
              </w:rPr>
              <w:t>Symmetry Care, Inc.</w:t>
            </w:r>
          </w:p>
        </w:tc>
        <w:tc>
          <w:tcPr>
            <w:tcW w:w="3600" w:type="dxa"/>
          </w:tcPr>
          <w:p w14:paraId="0A021AE4"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0DCE4ECF" w14:textId="77777777" w:rsidR="00ED2F5A" w:rsidRPr="0043259F" w:rsidRDefault="00ED2F5A" w:rsidP="00E72162">
            <w:pPr>
              <w:ind w:left="90"/>
              <w:rPr>
                <w:rFonts w:cstheme="minorHAnsi"/>
              </w:rPr>
            </w:pPr>
            <w:r w:rsidRPr="0043259F">
              <w:rPr>
                <w:rFonts w:cstheme="minorHAnsi"/>
              </w:rPr>
              <w:t>2021</w:t>
            </w:r>
          </w:p>
        </w:tc>
        <w:tc>
          <w:tcPr>
            <w:tcW w:w="2880" w:type="dxa"/>
          </w:tcPr>
          <w:p w14:paraId="3EB21498" w14:textId="77777777" w:rsidR="00ED2F5A" w:rsidRPr="00D80227" w:rsidRDefault="00101CB3" w:rsidP="00E72162">
            <w:pPr>
              <w:ind w:left="90"/>
              <w:rPr>
                <w:rFonts w:cstheme="minorHAnsi"/>
                <w:color w:val="000000" w:themeColor="text1"/>
              </w:rPr>
            </w:pPr>
            <w:hyperlink r:id="rId69" w:history="1">
              <w:r w:rsidR="00ED2F5A" w:rsidRPr="00D80227">
                <w:rPr>
                  <w:rFonts w:cstheme="minorHAnsi"/>
                  <w:color w:val="000000" w:themeColor="text1"/>
                </w:rPr>
                <w:t>2021 EOCCO Community Health Plan for Harney County</w:t>
              </w:r>
            </w:hyperlink>
            <w:r w:rsidR="00ED2F5A" w:rsidRPr="00D80227">
              <w:rPr>
                <w:rFonts w:cstheme="minorHAnsi"/>
                <w:color w:val="000000" w:themeColor="text1"/>
              </w:rPr>
              <w:t xml:space="preserve"> </w:t>
            </w:r>
          </w:p>
        </w:tc>
      </w:tr>
      <w:tr w:rsidR="00ED2F5A" w:rsidRPr="0043259F" w14:paraId="6E6B5357" w14:textId="77777777" w:rsidTr="00E72162">
        <w:trPr>
          <w:trHeight w:val="155"/>
        </w:trPr>
        <w:tc>
          <w:tcPr>
            <w:tcW w:w="2335" w:type="dxa"/>
          </w:tcPr>
          <w:p w14:paraId="60457911" w14:textId="77777777" w:rsidR="00ED2F5A" w:rsidRPr="0043259F" w:rsidRDefault="00ED2F5A" w:rsidP="00E72162">
            <w:pPr>
              <w:ind w:left="90"/>
              <w:rPr>
                <w:rFonts w:cstheme="minorHAnsi"/>
              </w:rPr>
            </w:pPr>
            <w:r w:rsidRPr="0043259F">
              <w:rPr>
                <w:rFonts w:cstheme="minorHAnsi"/>
              </w:rPr>
              <w:t>Community Counseling Solutions</w:t>
            </w:r>
          </w:p>
        </w:tc>
        <w:tc>
          <w:tcPr>
            <w:tcW w:w="3600" w:type="dxa"/>
          </w:tcPr>
          <w:p w14:paraId="64426CFF"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635C5B16" w14:textId="77777777" w:rsidR="00ED2F5A" w:rsidRPr="0043259F" w:rsidRDefault="00ED2F5A" w:rsidP="00E72162">
            <w:pPr>
              <w:ind w:left="90"/>
              <w:rPr>
                <w:rFonts w:cstheme="minorHAnsi"/>
              </w:rPr>
            </w:pPr>
            <w:r w:rsidRPr="0043259F">
              <w:rPr>
                <w:rFonts w:cstheme="minorHAnsi"/>
              </w:rPr>
              <w:t>2021</w:t>
            </w:r>
          </w:p>
        </w:tc>
        <w:tc>
          <w:tcPr>
            <w:tcW w:w="2880" w:type="dxa"/>
          </w:tcPr>
          <w:p w14:paraId="691F3CC5" w14:textId="77777777" w:rsidR="00ED2F5A" w:rsidRPr="00D80227" w:rsidRDefault="00101CB3" w:rsidP="00E72162">
            <w:pPr>
              <w:ind w:left="90"/>
              <w:rPr>
                <w:rFonts w:cstheme="minorHAnsi"/>
                <w:color w:val="000000" w:themeColor="text1"/>
              </w:rPr>
            </w:pPr>
            <w:hyperlink r:id="rId70" w:history="1">
              <w:r w:rsidR="00ED2F5A" w:rsidRPr="00D80227">
                <w:rPr>
                  <w:rFonts w:cstheme="minorHAnsi"/>
                  <w:color w:val="000000" w:themeColor="text1"/>
                </w:rPr>
                <w:t>2021-2022 EOCCO Community Health Plan, Grant County Community Advisory Council</w:t>
              </w:r>
            </w:hyperlink>
            <w:r w:rsidR="00ED2F5A" w:rsidRPr="00D80227">
              <w:rPr>
                <w:rFonts w:cstheme="minorHAnsi"/>
                <w:color w:val="000000" w:themeColor="text1"/>
              </w:rPr>
              <w:t xml:space="preserve"> </w:t>
            </w:r>
          </w:p>
        </w:tc>
      </w:tr>
      <w:tr w:rsidR="00ED2F5A" w:rsidRPr="0043259F" w14:paraId="7359219E" w14:textId="77777777" w:rsidTr="00E72162">
        <w:trPr>
          <w:trHeight w:val="155"/>
        </w:trPr>
        <w:tc>
          <w:tcPr>
            <w:tcW w:w="2335" w:type="dxa"/>
          </w:tcPr>
          <w:p w14:paraId="26692186" w14:textId="77777777" w:rsidR="00ED2F5A" w:rsidRPr="0043259F" w:rsidRDefault="00ED2F5A" w:rsidP="00E72162">
            <w:pPr>
              <w:ind w:left="90"/>
              <w:rPr>
                <w:rFonts w:cstheme="minorHAnsi"/>
              </w:rPr>
            </w:pPr>
            <w:r w:rsidRPr="0043259F">
              <w:rPr>
                <w:rFonts w:cstheme="minorHAnsi"/>
              </w:rPr>
              <w:t>Community Counseling Solutions</w:t>
            </w:r>
            <w:r w:rsidRPr="0043259F">
              <w:rPr>
                <w:rFonts w:cstheme="minorHAnsi"/>
              </w:rPr>
              <w:br/>
              <w:t>Symmetry Care, Inc.</w:t>
            </w:r>
            <w:r w:rsidRPr="0043259F">
              <w:rPr>
                <w:rFonts w:cstheme="minorHAnsi"/>
              </w:rPr>
              <w:br/>
              <w:t>Wallowa Valley Center for Living</w:t>
            </w:r>
          </w:p>
        </w:tc>
        <w:tc>
          <w:tcPr>
            <w:tcW w:w="3600" w:type="dxa"/>
          </w:tcPr>
          <w:p w14:paraId="2A37E155"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3CCC3094" w14:textId="77777777" w:rsidR="00ED2F5A" w:rsidRPr="0043259F" w:rsidRDefault="00ED2F5A" w:rsidP="00E72162">
            <w:pPr>
              <w:ind w:left="90"/>
              <w:rPr>
                <w:rFonts w:cstheme="minorHAnsi"/>
              </w:rPr>
            </w:pPr>
            <w:r w:rsidRPr="0043259F">
              <w:rPr>
                <w:rFonts w:cstheme="minorHAnsi"/>
              </w:rPr>
              <w:t>2021</w:t>
            </w:r>
          </w:p>
        </w:tc>
        <w:tc>
          <w:tcPr>
            <w:tcW w:w="2880" w:type="dxa"/>
          </w:tcPr>
          <w:p w14:paraId="0070682C" w14:textId="77777777" w:rsidR="00ED2F5A" w:rsidRPr="00D80227" w:rsidRDefault="00101CB3" w:rsidP="00E72162">
            <w:pPr>
              <w:ind w:left="90"/>
              <w:rPr>
                <w:rFonts w:cstheme="minorHAnsi"/>
                <w:color w:val="000000" w:themeColor="text1"/>
              </w:rPr>
            </w:pPr>
            <w:hyperlink r:id="rId71" w:history="1">
              <w:r w:rsidR="00ED2F5A" w:rsidRPr="00D80227">
                <w:rPr>
                  <w:rFonts w:cstheme="minorHAnsi"/>
                  <w:color w:val="000000" w:themeColor="text1"/>
                </w:rPr>
                <w:t>Community Health Plan (CHP) Progress Report</w:t>
              </w:r>
            </w:hyperlink>
          </w:p>
        </w:tc>
      </w:tr>
      <w:tr w:rsidR="00ED2F5A" w:rsidRPr="0043259F" w14:paraId="340595FE" w14:textId="77777777" w:rsidTr="00E72162">
        <w:trPr>
          <w:trHeight w:val="1232"/>
        </w:trPr>
        <w:tc>
          <w:tcPr>
            <w:tcW w:w="2335" w:type="dxa"/>
          </w:tcPr>
          <w:p w14:paraId="3D6BAF19" w14:textId="77777777" w:rsidR="00ED2F5A" w:rsidRPr="0043259F" w:rsidRDefault="00ED2F5A" w:rsidP="00E72162">
            <w:pPr>
              <w:ind w:left="90"/>
              <w:rPr>
                <w:rFonts w:cstheme="minorHAnsi"/>
              </w:rPr>
            </w:pPr>
            <w:r w:rsidRPr="0043259F">
              <w:rPr>
                <w:rFonts w:cstheme="minorHAnsi"/>
              </w:rPr>
              <w:t>Community Counseling Solutions</w:t>
            </w:r>
            <w:r w:rsidRPr="0043259F">
              <w:rPr>
                <w:rFonts w:cstheme="minorHAnsi"/>
              </w:rPr>
              <w:br/>
              <w:t>Symmetry Care, Inc.</w:t>
            </w:r>
            <w:r w:rsidRPr="0043259F">
              <w:rPr>
                <w:rFonts w:cstheme="minorHAnsi"/>
              </w:rPr>
              <w:br/>
              <w:t>Wallowa Valley Center for Living</w:t>
            </w:r>
          </w:p>
        </w:tc>
        <w:tc>
          <w:tcPr>
            <w:tcW w:w="3600" w:type="dxa"/>
          </w:tcPr>
          <w:p w14:paraId="67292B78"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31758F2F" w14:textId="77777777" w:rsidR="00ED2F5A" w:rsidRPr="0043259F" w:rsidRDefault="00ED2F5A" w:rsidP="00E72162">
            <w:pPr>
              <w:ind w:left="90"/>
              <w:rPr>
                <w:rFonts w:cstheme="minorHAnsi"/>
              </w:rPr>
            </w:pPr>
            <w:r w:rsidRPr="0043259F">
              <w:rPr>
                <w:rFonts w:cstheme="minorHAnsi"/>
              </w:rPr>
              <w:t>2021</w:t>
            </w:r>
          </w:p>
        </w:tc>
        <w:tc>
          <w:tcPr>
            <w:tcW w:w="2880" w:type="dxa"/>
          </w:tcPr>
          <w:p w14:paraId="0602C9D5" w14:textId="77777777" w:rsidR="00ED2F5A" w:rsidRPr="00D80227" w:rsidRDefault="00101CB3" w:rsidP="00E72162">
            <w:pPr>
              <w:ind w:left="90"/>
              <w:rPr>
                <w:rFonts w:cstheme="minorHAnsi"/>
                <w:color w:val="000000" w:themeColor="text1"/>
              </w:rPr>
            </w:pPr>
            <w:hyperlink r:id="rId72" w:history="1">
              <w:r w:rsidR="00ED2F5A" w:rsidRPr="00D80227">
                <w:rPr>
                  <w:rFonts w:cstheme="minorHAnsi"/>
                  <w:color w:val="000000" w:themeColor="text1"/>
                </w:rPr>
                <w:t>Equitable Health Care for All</w:t>
              </w:r>
            </w:hyperlink>
          </w:p>
        </w:tc>
      </w:tr>
      <w:tr w:rsidR="00ED2F5A" w:rsidRPr="0043259F" w14:paraId="52DD210F" w14:textId="77777777" w:rsidTr="00E72162">
        <w:trPr>
          <w:trHeight w:val="155"/>
        </w:trPr>
        <w:tc>
          <w:tcPr>
            <w:tcW w:w="2335" w:type="dxa"/>
          </w:tcPr>
          <w:p w14:paraId="55581228" w14:textId="77777777" w:rsidR="00ED2F5A" w:rsidRPr="0043259F" w:rsidRDefault="00ED2F5A" w:rsidP="00E72162">
            <w:pPr>
              <w:ind w:left="90"/>
              <w:rPr>
                <w:rFonts w:cstheme="minorHAnsi"/>
              </w:rPr>
            </w:pPr>
            <w:r w:rsidRPr="0043259F">
              <w:rPr>
                <w:rFonts w:cstheme="minorHAnsi"/>
              </w:rPr>
              <w:t>Community Counseling Solutions</w:t>
            </w:r>
            <w:r w:rsidRPr="0043259F">
              <w:rPr>
                <w:rFonts w:cstheme="minorHAnsi"/>
              </w:rPr>
              <w:br/>
              <w:t>Symmetry Care, Inc.</w:t>
            </w:r>
            <w:r w:rsidRPr="0043259F">
              <w:rPr>
                <w:rFonts w:cstheme="minorHAnsi"/>
              </w:rPr>
              <w:br/>
              <w:t>Wallowa Valley Center for Living</w:t>
            </w:r>
          </w:p>
        </w:tc>
        <w:tc>
          <w:tcPr>
            <w:tcW w:w="3600" w:type="dxa"/>
          </w:tcPr>
          <w:p w14:paraId="2EBD5D0D" w14:textId="77777777" w:rsidR="00ED2F5A" w:rsidRPr="0043259F" w:rsidRDefault="00ED2F5A" w:rsidP="00E72162">
            <w:pPr>
              <w:ind w:left="90"/>
              <w:rPr>
                <w:rFonts w:cstheme="minorHAnsi"/>
              </w:rPr>
            </w:pPr>
            <w:r w:rsidRPr="0043259F">
              <w:rPr>
                <w:rFonts w:cstheme="minorHAnsi"/>
              </w:rPr>
              <w:t>Eastern Oregon Coordinated Care Organization</w:t>
            </w:r>
          </w:p>
        </w:tc>
        <w:tc>
          <w:tcPr>
            <w:tcW w:w="900" w:type="dxa"/>
          </w:tcPr>
          <w:p w14:paraId="31A7915E" w14:textId="77777777" w:rsidR="00ED2F5A" w:rsidRPr="0043259F" w:rsidRDefault="00ED2F5A" w:rsidP="00E72162">
            <w:pPr>
              <w:ind w:left="90"/>
              <w:rPr>
                <w:rFonts w:cstheme="minorHAnsi"/>
              </w:rPr>
            </w:pPr>
            <w:r w:rsidRPr="0043259F">
              <w:rPr>
                <w:rFonts w:cstheme="minorHAnsi"/>
              </w:rPr>
              <w:t>2021</w:t>
            </w:r>
          </w:p>
        </w:tc>
        <w:tc>
          <w:tcPr>
            <w:tcW w:w="2880" w:type="dxa"/>
          </w:tcPr>
          <w:p w14:paraId="04808E3B" w14:textId="77777777" w:rsidR="00ED2F5A" w:rsidRPr="00D80227" w:rsidRDefault="00101CB3" w:rsidP="00E72162">
            <w:pPr>
              <w:ind w:left="90"/>
              <w:rPr>
                <w:rFonts w:cstheme="minorHAnsi"/>
                <w:color w:val="000000" w:themeColor="text1"/>
              </w:rPr>
            </w:pPr>
            <w:hyperlink r:id="rId73" w:history="1">
              <w:r w:rsidR="00ED2F5A" w:rsidRPr="00D80227">
                <w:rPr>
                  <w:rFonts w:cstheme="minorHAnsi"/>
                  <w:color w:val="000000" w:themeColor="text1"/>
                </w:rPr>
                <w:t>Comprehensive Behavioral Health Plan: July 2021</w:t>
              </w:r>
            </w:hyperlink>
            <w:r w:rsidR="00ED2F5A" w:rsidRPr="00D80227">
              <w:rPr>
                <w:rFonts w:cstheme="minorHAnsi"/>
                <w:color w:val="000000" w:themeColor="text1"/>
              </w:rPr>
              <w:t xml:space="preserve"> </w:t>
            </w:r>
          </w:p>
        </w:tc>
      </w:tr>
      <w:tr w:rsidR="00ED2F5A" w:rsidRPr="0043259F" w14:paraId="10690E87" w14:textId="77777777" w:rsidTr="00E72162">
        <w:trPr>
          <w:trHeight w:val="155"/>
        </w:trPr>
        <w:tc>
          <w:tcPr>
            <w:tcW w:w="2335" w:type="dxa"/>
          </w:tcPr>
          <w:p w14:paraId="084A1C10" w14:textId="77777777" w:rsidR="00ED2F5A" w:rsidRPr="0043259F" w:rsidRDefault="00ED2F5A" w:rsidP="00E72162">
            <w:pPr>
              <w:ind w:left="90"/>
              <w:rPr>
                <w:rFonts w:cstheme="minorHAnsi"/>
              </w:rPr>
            </w:pPr>
            <w:r w:rsidRPr="0043259F">
              <w:rPr>
                <w:rFonts w:cstheme="minorHAnsi"/>
              </w:rPr>
              <w:t>Community Counseling Solutions</w:t>
            </w:r>
          </w:p>
        </w:tc>
        <w:tc>
          <w:tcPr>
            <w:tcW w:w="3600" w:type="dxa"/>
          </w:tcPr>
          <w:p w14:paraId="1E233C99" w14:textId="77777777" w:rsidR="00ED2F5A" w:rsidRPr="0043259F" w:rsidRDefault="00ED2F5A" w:rsidP="00E72162">
            <w:pPr>
              <w:ind w:left="90"/>
              <w:rPr>
                <w:rFonts w:cstheme="minorHAnsi"/>
              </w:rPr>
            </w:pPr>
            <w:r w:rsidRPr="0043259F">
              <w:rPr>
                <w:rFonts w:cstheme="minorHAnsi"/>
              </w:rPr>
              <w:t>Grant County Public Health Department</w:t>
            </w:r>
          </w:p>
        </w:tc>
        <w:tc>
          <w:tcPr>
            <w:tcW w:w="900" w:type="dxa"/>
          </w:tcPr>
          <w:p w14:paraId="48D8888E" w14:textId="77777777" w:rsidR="00ED2F5A" w:rsidRPr="0043259F" w:rsidRDefault="00ED2F5A" w:rsidP="00E72162">
            <w:pPr>
              <w:ind w:left="90"/>
              <w:rPr>
                <w:rFonts w:cstheme="minorHAnsi"/>
              </w:rPr>
            </w:pPr>
            <w:r w:rsidRPr="0043259F">
              <w:rPr>
                <w:rFonts w:cstheme="minorHAnsi"/>
              </w:rPr>
              <w:t>2019</w:t>
            </w:r>
          </w:p>
        </w:tc>
        <w:tc>
          <w:tcPr>
            <w:tcW w:w="2880" w:type="dxa"/>
          </w:tcPr>
          <w:p w14:paraId="35FB9AA9" w14:textId="77777777" w:rsidR="00ED2F5A" w:rsidRPr="00D80227" w:rsidRDefault="00101CB3" w:rsidP="00E72162">
            <w:pPr>
              <w:ind w:left="90"/>
              <w:rPr>
                <w:rFonts w:cstheme="minorHAnsi"/>
                <w:color w:val="000000" w:themeColor="text1"/>
              </w:rPr>
            </w:pPr>
            <w:hyperlink r:id="rId74" w:history="1">
              <w:r w:rsidR="00ED2F5A" w:rsidRPr="00D80227">
                <w:rPr>
                  <w:rFonts w:cstheme="minorHAnsi"/>
                  <w:color w:val="000000" w:themeColor="text1"/>
                </w:rPr>
                <w:t>Grant County Public Health Department Community Health Assessment: 2019</w:t>
              </w:r>
            </w:hyperlink>
            <w:r w:rsidR="00ED2F5A" w:rsidRPr="00D80227">
              <w:rPr>
                <w:rFonts w:cstheme="minorHAnsi"/>
                <w:color w:val="000000" w:themeColor="text1"/>
              </w:rPr>
              <w:t xml:space="preserve"> </w:t>
            </w:r>
          </w:p>
        </w:tc>
      </w:tr>
      <w:tr w:rsidR="00ED2F5A" w:rsidRPr="0043259F" w14:paraId="2751A76B" w14:textId="77777777" w:rsidTr="00E72162">
        <w:trPr>
          <w:trHeight w:val="155"/>
        </w:trPr>
        <w:tc>
          <w:tcPr>
            <w:tcW w:w="2335" w:type="dxa"/>
          </w:tcPr>
          <w:p w14:paraId="295F0F4F" w14:textId="77777777" w:rsidR="00ED2F5A" w:rsidRPr="0043259F" w:rsidRDefault="00ED2F5A" w:rsidP="00E72162">
            <w:pPr>
              <w:ind w:left="90"/>
              <w:rPr>
                <w:rFonts w:cstheme="minorHAnsi"/>
              </w:rPr>
            </w:pPr>
            <w:r w:rsidRPr="0043259F">
              <w:rPr>
                <w:rFonts w:cstheme="minorHAnsi"/>
              </w:rPr>
              <w:t>Symmetry Care, Inc.</w:t>
            </w:r>
          </w:p>
        </w:tc>
        <w:tc>
          <w:tcPr>
            <w:tcW w:w="3600" w:type="dxa"/>
          </w:tcPr>
          <w:p w14:paraId="3EDB215E" w14:textId="77777777" w:rsidR="00ED2F5A" w:rsidRPr="0043259F" w:rsidRDefault="00ED2F5A" w:rsidP="00E72162">
            <w:pPr>
              <w:ind w:left="90"/>
              <w:rPr>
                <w:rFonts w:cstheme="minorHAnsi"/>
              </w:rPr>
            </w:pPr>
            <w:r w:rsidRPr="0043259F">
              <w:rPr>
                <w:rFonts w:cstheme="minorHAnsi"/>
              </w:rPr>
              <w:t>Harney District Hospital</w:t>
            </w:r>
          </w:p>
        </w:tc>
        <w:tc>
          <w:tcPr>
            <w:tcW w:w="900" w:type="dxa"/>
          </w:tcPr>
          <w:p w14:paraId="779BDA8D" w14:textId="77777777" w:rsidR="00ED2F5A" w:rsidRPr="0043259F" w:rsidRDefault="00ED2F5A" w:rsidP="00E72162">
            <w:pPr>
              <w:ind w:left="90"/>
              <w:rPr>
                <w:rFonts w:cstheme="minorHAnsi"/>
              </w:rPr>
            </w:pPr>
            <w:r w:rsidRPr="0043259F">
              <w:rPr>
                <w:rFonts w:cstheme="minorHAnsi"/>
              </w:rPr>
              <w:t>2019</w:t>
            </w:r>
          </w:p>
        </w:tc>
        <w:tc>
          <w:tcPr>
            <w:tcW w:w="2880" w:type="dxa"/>
          </w:tcPr>
          <w:p w14:paraId="311C5766" w14:textId="77777777" w:rsidR="00ED2F5A" w:rsidRPr="00D80227" w:rsidRDefault="00101CB3" w:rsidP="00E72162">
            <w:pPr>
              <w:ind w:left="90"/>
              <w:rPr>
                <w:rFonts w:cstheme="minorHAnsi"/>
                <w:color w:val="000000" w:themeColor="text1"/>
              </w:rPr>
            </w:pPr>
            <w:hyperlink r:id="rId75" w:history="1">
              <w:r w:rsidR="00ED2F5A" w:rsidRPr="00D80227">
                <w:rPr>
                  <w:rFonts w:cstheme="minorHAnsi"/>
                  <w:color w:val="000000" w:themeColor="text1"/>
                </w:rPr>
                <w:t>2019 Harney County Community Health Needs Assessment</w:t>
              </w:r>
            </w:hyperlink>
            <w:r w:rsidR="00ED2F5A" w:rsidRPr="00D80227">
              <w:rPr>
                <w:rFonts w:cstheme="minorHAnsi"/>
                <w:color w:val="000000" w:themeColor="text1"/>
              </w:rPr>
              <w:t xml:space="preserve"> </w:t>
            </w:r>
          </w:p>
        </w:tc>
      </w:tr>
      <w:tr w:rsidR="00ED2F5A" w:rsidRPr="0043259F" w14:paraId="2DC1DE3F" w14:textId="77777777" w:rsidTr="00E72162">
        <w:trPr>
          <w:trHeight w:val="155"/>
        </w:trPr>
        <w:tc>
          <w:tcPr>
            <w:tcW w:w="2335" w:type="dxa"/>
          </w:tcPr>
          <w:p w14:paraId="029072AA" w14:textId="77777777" w:rsidR="00ED2F5A" w:rsidRPr="0043259F" w:rsidRDefault="00ED2F5A" w:rsidP="00E72162">
            <w:pPr>
              <w:ind w:left="90"/>
              <w:rPr>
                <w:rFonts w:cstheme="minorHAnsi"/>
              </w:rPr>
            </w:pPr>
            <w:r w:rsidRPr="0043259F">
              <w:rPr>
                <w:rFonts w:cstheme="minorHAnsi"/>
              </w:rPr>
              <w:t>Symmetry Care, Inc.</w:t>
            </w:r>
          </w:p>
        </w:tc>
        <w:tc>
          <w:tcPr>
            <w:tcW w:w="3600" w:type="dxa"/>
          </w:tcPr>
          <w:p w14:paraId="7A8B9F79" w14:textId="77777777" w:rsidR="00ED2F5A" w:rsidRPr="0043259F" w:rsidRDefault="00ED2F5A" w:rsidP="00E72162">
            <w:pPr>
              <w:ind w:left="90"/>
              <w:rPr>
                <w:rFonts w:cstheme="minorHAnsi"/>
              </w:rPr>
            </w:pPr>
            <w:r w:rsidRPr="0043259F">
              <w:rPr>
                <w:rFonts w:cstheme="minorHAnsi"/>
              </w:rPr>
              <w:t>Harney District Hospital</w:t>
            </w:r>
          </w:p>
        </w:tc>
        <w:tc>
          <w:tcPr>
            <w:tcW w:w="900" w:type="dxa"/>
          </w:tcPr>
          <w:p w14:paraId="5971DC3E" w14:textId="77777777" w:rsidR="00ED2F5A" w:rsidRPr="0043259F" w:rsidRDefault="00ED2F5A" w:rsidP="00E72162">
            <w:pPr>
              <w:ind w:left="90"/>
              <w:rPr>
                <w:rFonts w:cstheme="minorHAnsi"/>
              </w:rPr>
            </w:pPr>
            <w:r w:rsidRPr="0043259F">
              <w:rPr>
                <w:rFonts w:cstheme="minorHAnsi"/>
              </w:rPr>
              <w:t>2022</w:t>
            </w:r>
          </w:p>
        </w:tc>
        <w:tc>
          <w:tcPr>
            <w:tcW w:w="2880" w:type="dxa"/>
          </w:tcPr>
          <w:p w14:paraId="001B2E0A" w14:textId="77777777" w:rsidR="00ED2F5A" w:rsidRPr="00D80227" w:rsidRDefault="00101CB3" w:rsidP="00E72162">
            <w:pPr>
              <w:ind w:left="90"/>
              <w:rPr>
                <w:rFonts w:cstheme="minorHAnsi"/>
                <w:color w:val="000000" w:themeColor="text1"/>
              </w:rPr>
            </w:pPr>
            <w:hyperlink r:id="rId76" w:history="1">
              <w:r w:rsidR="00ED2F5A" w:rsidRPr="00D80227">
                <w:rPr>
                  <w:rFonts w:cstheme="minorHAnsi"/>
                  <w:color w:val="000000" w:themeColor="text1"/>
                </w:rPr>
                <w:t>2022 Harney County Community Health Needs Assessment</w:t>
              </w:r>
            </w:hyperlink>
            <w:r w:rsidR="00ED2F5A" w:rsidRPr="00D80227">
              <w:rPr>
                <w:rFonts w:cstheme="minorHAnsi"/>
                <w:color w:val="000000" w:themeColor="text1"/>
              </w:rPr>
              <w:t xml:space="preserve"> </w:t>
            </w:r>
          </w:p>
        </w:tc>
      </w:tr>
      <w:tr w:rsidR="00ED2F5A" w:rsidRPr="0043259F" w14:paraId="27272161" w14:textId="77777777" w:rsidTr="00E72162">
        <w:trPr>
          <w:trHeight w:val="155"/>
        </w:trPr>
        <w:tc>
          <w:tcPr>
            <w:tcW w:w="2335" w:type="dxa"/>
          </w:tcPr>
          <w:p w14:paraId="0177DB9A" w14:textId="77777777" w:rsidR="00ED2F5A" w:rsidRPr="0043259F" w:rsidRDefault="00ED2F5A" w:rsidP="00E72162">
            <w:pPr>
              <w:ind w:left="90"/>
              <w:rPr>
                <w:rFonts w:cstheme="minorHAnsi"/>
              </w:rPr>
            </w:pPr>
            <w:r w:rsidRPr="0043259F">
              <w:rPr>
                <w:rFonts w:cstheme="minorHAnsi"/>
              </w:rPr>
              <w:t>Options for Southern Oregon</w:t>
            </w:r>
          </w:p>
        </w:tc>
        <w:tc>
          <w:tcPr>
            <w:tcW w:w="3600" w:type="dxa"/>
          </w:tcPr>
          <w:p w14:paraId="6E305419" w14:textId="2082E758" w:rsidR="00ED2F5A" w:rsidRPr="0043259F" w:rsidRDefault="00ED2F5A" w:rsidP="00E72162">
            <w:pPr>
              <w:ind w:left="90"/>
              <w:rPr>
                <w:rFonts w:cstheme="minorHAnsi"/>
              </w:rPr>
            </w:pPr>
            <w:r w:rsidRPr="0043259F">
              <w:rPr>
                <w:rFonts w:cstheme="minorHAnsi"/>
              </w:rPr>
              <w:t xml:space="preserve">Health Resources in Action </w:t>
            </w:r>
            <w:r w:rsidR="00517AAA">
              <w:rPr>
                <w:rFonts w:cstheme="minorHAnsi"/>
              </w:rPr>
              <w:t>and</w:t>
            </w:r>
            <w:r w:rsidRPr="0043259F">
              <w:rPr>
                <w:rFonts w:cstheme="minorHAnsi"/>
              </w:rPr>
              <w:t xml:space="preserve"> Jefferson Regional Health Alliance</w:t>
            </w:r>
          </w:p>
        </w:tc>
        <w:tc>
          <w:tcPr>
            <w:tcW w:w="900" w:type="dxa"/>
          </w:tcPr>
          <w:p w14:paraId="4F1722EA" w14:textId="77777777" w:rsidR="00ED2F5A" w:rsidRPr="0043259F" w:rsidRDefault="00ED2F5A" w:rsidP="00E72162">
            <w:pPr>
              <w:ind w:left="90"/>
              <w:rPr>
                <w:rFonts w:cstheme="minorHAnsi"/>
              </w:rPr>
            </w:pPr>
            <w:r w:rsidRPr="0043259F">
              <w:rPr>
                <w:rFonts w:cstheme="minorHAnsi"/>
              </w:rPr>
              <w:t>2019</w:t>
            </w:r>
          </w:p>
        </w:tc>
        <w:tc>
          <w:tcPr>
            <w:tcW w:w="2880" w:type="dxa"/>
          </w:tcPr>
          <w:p w14:paraId="45A35CAD" w14:textId="77777777" w:rsidR="00ED2F5A" w:rsidRPr="00D80227" w:rsidRDefault="00101CB3" w:rsidP="00E72162">
            <w:pPr>
              <w:ind w:left="90"/>
              <w:rPr>
                <w:rFonts w:cstheme="minorHAnsi"/>
                <w:color w:val="000000" w:themeColor="text1"/>
              </w:rPr>
            </w:pPr>
            <w:hyperlink r:id="rId77" w:history="1">
              <w:r w:rsidR="00ED2F5A" w:rsidRPr="00D80227">
                <w:rPr>
                  <w:rFonts w:cstheme="minorHAnsi"/>
                  <w:color w:val="000000" w:themeColor="text1"/>
                </w:rPr>
                <w:t>2018 Community Health Assessment of Jackson and Josephine Counties</w:t>
              </w:r>
            </w:hyperlink>
          </w:p>
        </w:tc>
      </w:tr>
      <w:tr w:rsidR="00ED2F5A" w:rsidRPr="0043259F" w14:paraId="3538C28E" w14:textId="77777777" w:rsidTr="00E72162">
        <w:trPr>
          <w:trHeight w:val="155"/>
        </w:trPr>
        <w:tc>
          <w:tcPr>
            <w:tcW w:w="2335" w:type="dxa"/>
          </w:tcPr>
          <w:p w14:paraId="2338597C"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43CDBC51" w14:textId="77777777" w:rsidR="00ED2F5A" w:rsidRPr="0043259F" w:rsidRDefault="00ED2F5A" w:rsidP="00E72162">
            <w:pPr>
              <w:ind w:left="90"/>
              <w:rPr>
                <w:rFonts w:cstheme="minorHAnsi"/>
              </w:rPr>
            </w:pPr>
            <w:r w:rsidRPr="0043259F">
              <w:rPr>
                <w:rFonts w:cstheme="minorHAnsi"/>
              </w:rPr>
              <w:t>Health Share of Oregon</w:t>
            </w:r>
          </w:p>
        </w:tc>
        <w:tc>
          <w:tcPr>
            <w:tcW w:w="900" w:type="dxa"/>
          </w:tcPr>
          <w:p w14:paraId="46BE5A33" w14:textId="77777777" w:rsidR="00ED2F5A" w:rsidRPr="0043259F" w:rsidRDefault="00ED2F5A" w:rsidP="00E72162">
            <w:pPr>
              <w:ind w:left="90"/>
              <w:rPr>
                <w:rFonts w:cstheme="minorHAnsi"/>
              </w:rPr>
            </w:pPr>
            <w:r w:rsidRPr="0043259F">
              <w:rPr>
                <w:rFonts w:cstheme="minorHAnsi"/>
              </w:rPr>
              <w:t>2018</w:t>
            </w:r>
          </w:p>
        </w:tc>
        <w:tc>
          <w:tcPr>
            <w:tcW w:w="2880" w:type="dxa"/>
          </w:tcPr>
          <w:p w14:paraId="0F972A27" w14:textId="77777777" w:rsidR="00ED2F5A" w:rsidRPr="00D80227" w:rsidRDefault="00101CB3" w:rsidP="00E72162">
            <w:pPr>
              <w:ind w:left="90"/>
              <w:rPr>
                <w:rFonts w:cstheme="minorHAnsi"/>
                <w:color w:val="000000" w:themeColor="text1"/>
              </w:rPr>
            </w:pPr>
            <w:hyperlink r:id="rId78" w:history="1">
              <w:r w:rsidR="00ED2F5A" w:rsidRPr="00D80227">
                <w:rPr>
                  <w:rFonts w:cstheme="minorHAnsi"/>
                  <w:color w:val="000000" w:themeColor="text1"/>
                </w:rPr>
                <w:t>Together in Health: 2018-2020 Community Health Needs Assessment</w:t>
              </w:r>
            </w:hyperlink>
            <w:r w:rsidR="00ED2F5A" w:rsidRPr="00D80227">
              <w:rPr>
                <w:rFonts w:cstheme="minorHAnsi"/>
                <w:color w:val="000000" w:themeColor="text1"/>
              </w:rPr>
              <w:t xml:space="preserve"> </w:t>
            </w:r>
          </w:p>
        </w:tc>
      </w:tr>
      <w:tr w:rsidR="00ED2F5A" w:rsidRPr="0043259F" w14:paraId="29FED49B" w14:textId="77777777" w:rsidTr="00E72162">
        <w:trPr>
          <w:trHeight w:val="155"/>
        </w:trPr>
        <w:tc>
          <w:tcPr>
            <w:tcW w:w="2335" w:type="dxa"/>
          </w:tcPr>
          <w:p w14:paraId="5D8C97C1"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75A69C9A" w14:textId="77777777" w:rsidR="00ED2F5A" w:rsidRPr="0043259F" w:rsidRDefault="00ED2F5A" w:rsidP="00E72162">
            <w:pPr>
              <w:ind w:left="90"/>
              <w:rPr>
                <w:rFonts w:cstheme="minorHAnsi"/>
              </w:rPr>
            </w:pPr>
            <w:r w:rsidRPr="0043259F">
              <w:rPr>
                <w:rFonts w:cstheme="minorHAnsi"/>
              </w:rPr>
              <w:t>Health Share of Oregon</w:t>
            </w:r>
          </w:p>
        </w:tc>
        <w:tc>
          <w:tcPr>
            <w:tcW w:w="900" w:type="dxa"/>
          </w:tcPr>
          <w:p w14:paraId="13D2C9D1" w14:textId="77777777" w:rsidR="00ED2F5A" w:rsidRPr="0043259F" w:rsidRDefault="00ED2F5A" w:rsidP="00E72162">
            <w:pPr>
              <w:ind w:left="90"/>
              <w:rPr>
                <w:rFonts w:cstheme="minorHAnsi"/>
              </w:rPr>
            </w:pPr>
            <w:r w:rsidRPr="0043259F">
              <w:rPr>
                <w:rFonts w:cstheme="minorHAnsi"/>
              </w:rPr>
              <w:t>2019</w:t>
            </w:r>
          </w:p>
        </w:tc>
        <w:tc>
          <w:tcPr>
            <w:tcW w:w="2880" w:type="dxa"/>
          </w:tcPr>
          <w:p w14:paraId="189512CC" w14:textId="77777777" w:rsidR="00ED2F5A" w:rsidRPr="00D80227" w:rsidRDefault="00101CB3" w:rsidP="00E72162">
            <w:pPr>
              <w:ind w:left="90"/>
              <w:rPr>
                <w:rFonts w:cstheme="minorHAnsi"/>
                <w:color w:val="000000" w:themeColor="text1"/>
              </w:rPr>
            </w:pPr>
            <w:hyperlink r:id="rId79" w:history="1">
              <w:r w:rsidR="00ED2F5A" w:rsidRPr="00D80227">
                <w:rPr>
                  <w:rFonts w:cstheme="minorHAnsi"/>
                  <w:color w:val="000000" w:themeColor="text1"/>
                </w:rPr>
                <w:t>Together in Health: 2019-2023 Community Health Improvement Plan</w:t>
              </w:r>
            </w:hyperlink>
            <w:r w:rsidR="00ED2F5A" w:rsidRPr="00D80227">
              <w:rPr>
                <w:rFonts w:cstheme="minorHAnsi"/>
                <w:color w:val="000000" w:themeColor="text1"/>
              </w:rPr>
              <w:t xml:space="preserve"> </w:t>
            </w:r>
          </w:p>
        </w:tc>
      </w:tr>
      <w:tr w:rsidR="00ED2F5A" w:rsidRPr="0043259F" w14:paraId="7F6BCD9A" w14:textId="77777777" w:rsidTr="00E72162">
        <w:trPr>
          <w:trHeight w:val="155"/>
        </w:trPr>
        <w:tc>
          <w:tcPr>
            <w:tcW w:w="2335" w:type="dxa"/>
          </w:tcPr>
          <w:p w14:paraId="302F1680" w14:textId="77777777" w:rsidR="00ED2F5A" w:rsidRPr="0043259F" w:rsidRDefault="00ED2F5A" w:rsidP="00E72162">
            <w:pPr>
              <w:ind w:left="90"/>
              <w:rPr>
                <w:rFonts w:cstheme="minorHAnsi"/>
              </w:rPr>
            </w:pPr>
            <w:r w:rsidRPr="0043259F">
              <w:rPr>
                <w:rFonts w:cstheme="minorHAnsi"/>
              </w:rPr>
              <w:t>Klamath Basin Behavioral Health</w:t>
            </w:r>
          </w:p>
        </w:tc>
        <w:tc>
          <w:tcPr>
            <w:tcW w:w="3600" w:type="dxa"/>
          </w:tcPr>
          <w:p w14:paraId="197EFE53" w14:textId="77777777" w:rsidR="00ED2F5A" w:rsidRPr="0043259F" w:rsidRDefault="00ED2F5A" w:rsidP="00E72162">
            <w:pPr>
              <w:ind w:left="90"/>
              <w:rPr>
                <w:rFonts w:cstheme="minorHAnsi"/>
              </w:rPr>
            </w:pPr>
            <w:r w:rsidRPr="0043259F">
              <w:rPr>
                <w:rFonts w:cstheme="minorHAnsi"/>
              </w:rPr>
              <w:t>Healthy Klamath Coalition</w:t>
            </w:r>
          </w:p>
        </w:tc>
        <w:tc>
          <w:tcPr>
            <w:tcW w:w="900" w:type="dxa"/>
          </w:tcPr>
          <w:p w14:paraId="37EF771E" w14:textId="77777777" w:rsidR="00ED2F5A" w:rsidRPr="0043259F" w:rsidRDefault="00ED2F5A" w:rsidP="00E72162">
            <w:pPr>
              <w:ind w:left="90"/>
              <w:rPr>
                <w:rFonts w:cstheme="minorHAnsi"/>
              </w:rPr>
            </w:pPr>
            <w:r w:rsidRPr="0043259F">
              <w:rPr>
                <w:rFonts w:cstheme="minorHAnsi"/>
              </w:rPr>
              <w:t>2019</w:t>
            </w:r>
          </w:p>
        </w:tc>
        <w:tc>
          <w:tcPr>
            <w:tcW w:w="2880" w:type="dxa"/>
          </w:tcPr>
          <w:p w14:paraId="78B97FE1" w14:textId="77777777" w:rsidR="00ED2F5A" w:rsidRPr="00D80227" w:rsidRDefault="00101CB3" w:rsidP="00E72162">
            <w:pPr>
              <w:ind w:left="90"/>
              <w:rPr>
                <w:rFonts w:cstheme="minorHAnsi"/>
                <w:color w:val="000000" w:themeColor="text1"/>
              </w:rPr>
            </w:pPr>
            <w:hyperlink r:id="rId80" w:history="1">
              <w:r w:rsidR="00ED2F5A" w:rsidRPr="00D80227">
                <w:rPr>
                  <w:rFonts w:cstheme="minorHAnsi"/>
                  <w:color w:val="000000" w:themeColor="text1"/>
                </w:rPr>
                <w:t>Klamath County Community Health Assessment: 2018</w:t>
              </w:r>
            </w:hyperlink>
            <w:r w:rsidR="00ED2F5A" w:rsidRPr="00D80227">
              <w:rPr>
                <w:rFonts w:cstheme="minorHAnsi"/>
                <w:color w:val="000000" w:themeColor="text1"/>
              </w:rPr>
              <w:t xml:space="preserve"> </w:t>
            </w:r>
          </w:p>
        </w:tc>
      </w:tr>
      <w:tr w:rsidR="00ED2F5A" w:rsidRPr="0043259F" w14:paraId="3C9F446B" w14:textId="77777777" w:rsidTr="00E72162">
        <w:trPr>
          <w:trHeight w:val="155"/>
        </w:trPr>
        <w:tc>
          <w:tcPr>
            <w:tcW w:w="2335" w:type="dxa"/>
          </w:tcPr>
          <w:p w14:paraId="65BB7851" w14:textId="77777777" w:rsidR="00ED2F5A" w:rsidRPr="0043259F" w:rsidRDefault="00ED2F5A" w:rsidP="00E72162">
            <w:pPr>
              <w:ind w:left="90"/>
              <w:rPr>
                <w:rFonts w:cstheme="minorHAnsi"/>
              </w:rPr>
            </w:pPr>
            <w:r w:rsidRPr="0043259F">
              <w:rPr>
                <w:rFonts w:cstheme="minorHAnsi"/>
              </w:rPr>
              <w:t>Klamath Basin Behavioral Health</w:t>
            </w:r>
          </w:p>
        </w:tc>
        <w:tc>
          <w:tcPr>
            <w:tcW w:w="3600" w:type="dxa"/>
          </w:tcPr>
          <w:p w14:paraId="6403A081" w14:textId="77777777" w:rsidR="00ED2F5A" w:rsidRPr="0043259F" w:rsidRDefault="00ED2F5A" w:rsidP="00E72162">
            <w:pPr>
              <w:ind w:left="90"/>
              <w:rPr>
                <w:rFonts w:cstheme="minorHAnsi"/>
              </w:rPr>
            </w:pPr>
            <w:r w:rsidRPr="0043259F">
              <w:rPr>
                <w:rFonts w:cstheme="minorHAnsi"/>
              </w:rPr>
              <w:t>Healthy Klamath Coalition</w:t>
            </w:r>
          </w:p>
        </w:tc>
        <w:tc>
          <w:tcPr>
            <w:tcW w:w="900" w:type="dxa"/>
          </w:tcPr>
          <w:p w14:paraId="7A314FF9" w14:textId="77777777" w:rsidR="00ED2F5A" w:rsidRPr="0043259F" w:rsidRDefault="00ED2F5A" w:rsidP="00E72162">
            <w:pPr>
              <w:ind w:left="90"/>
              <w:rPr>
                <w:rFonts w:cstheme="minorHAnsi"/>
              </w:rPr>
            </w:pPr>
            <w:r w:rsidRPr="0043259F">
              <w:rPr>
                <w:rFonts w:cstheme="minorHAnsi"/>
              </w:rPr>
              <w:t>2019</w:t>
            </w:r>
          </w:p>
        </w:tc>
        <w:tc>
          <w:tcPr>
            <w:tcW w:w="2880" w:type="dxa"/>
          </w:tcPr>
          <w:p w14:paraId="50D5FEDD" w14:textId="77777777" w:rsidR="00ED2F5A" w:rsidRPr="00D80227" w:rsidRDefault="00101CB3" w:rsidP="00E72162">
            <w:pPr>
              <w:ind w:left="90"/>
              <w:rPr>
                <w:rFonts w:cstheme="minorHAnsi"/>
                <w:color w:val="000000" w:themeColor="text1"/>
              </w:rPr>
            </w:pPr>
            <w:hyperlink r:id="rId81" w:history="1">
              <w:r w:rsidR="00ED2F5A" w:rsidRPr="00D80227">
                <w:rPr>
                  <w:rFonts w:cstheme="minorHAnsi"/>
                  <w:color w:val="000000" w:themeColor="text1"/>
                </w:rPr>
                <w:t>Klamath County Community Health Improvement Plan: 2019-2021</w:t>
              </w:r>
            </w:hyperlink>
            <w:r w:rsidR="00ED2F5A" w:rsidRPr="00D80227">
              <w:rPr>
                <w:rFonts w:cstheme="minorHAnsi"/>
                <w:color w:val="000000" w:themeColor="text1"/>
              </w:rPr>
              <w:t xml:space="preserve"> </w:t>
            </w:r>
          </w:p>
        </w:tc>
      </w:tr>
      <w:tr w:rsidR="00ED2F5A" w:rsidRPr="0043259F" w14:paraId="09B5ECC6" w14:textId="77777777" w:rsidTr="00E72162">
        <w:trPr>
          <w:trHeight w:val="155"/>
        </w:trPr>
        <w:tc>
          <w:tcPr>
            <w:tcW w:w="2335" w:type="dxa"/>
          </w:tcPr>
          <w:p w14:paraId="4510986F" w14:textId="77777777" w:rsidR="00ED2F5A" w:rsidRPr="0043259F" w:rsidRDefault="00ED2F5A" w:rsidP="00E72162">
            <w:pPr>
              <w:ind w:left="90"/>
              <w:rPr>
                <w:rFonts w:cstheme="minorHAnsi"/>
              </w:rPr>
            </w:pPr>
            <w:r w:rsidRPr="0043259F">
              <w:rPr>
                <w:rFonts w:cstheme="minorHAnsi"/>
              </w:rPr>
              <w:t>Klamath Basin Behavioral Health</w:t>
            </w:r>
          </w:p>
        </w:tc>
        <w:tc>
          <w:tcPr>
            <w:tcW w:w="3600" w:type="dxa"/>
          </w:tcPr>
          <w:p w14:paraId="28B4B2D1" w14:textId="77777777" w:rsidR="00ED2F5A" w:rsidRPr="0043259F" w:rsidRDefault="00ED2F5A" w:rsidP="00E72162">
            <w:pPr>
              <w:ind w:left="90"/>
              <w:rPr>
                <w:rFonts w:cstheme="minorHAnsi"/>
              </w:rPr>
            </w:pPr>
            <w:r w:rsidRPr="0043259F">
              <w:rPr>
                <w:rFonts w:cstheme="minorHAnsi"/>
              </w:rPr>
              <w:t>Healthy Klamath Coalition</w:t>
            </w:r>
          </w:p>
        </w:tc>
        <w:tc>
          <w:tcPr>
            <w:tcW w:w="900" w:type="dxa"/>
          </w:tcPr>
          <w:p w14:paraId="373CC342" w14:textId="77777777" w:rsidR="00ED2F5A" w:rsidRPr="0043259F" w:rsidRDefault="00ED2F5A" w:rsidP="00E72162">
            <w:pPr>
              <w:ind w:left="90"/>
              <w:rPr>
                <w:rFonts w:cstheme="minorHAnsi"/>
              </w:rPr>
            </w:pPr>
            <w:r w:rsidRPr="0043259F">
              <w:rPr>
                <w:rFonts w:cstheme="minorHAnsi"/>
              </w:rPr>
              <w:t>2021</w:t>
            </w:r>
          </w:p>
        </w:tc>
        <w:tc>
          <w:tcPr>
            <w:tcW w:w="2880" w:type="dxa"/>
          </w:tcPr>
          <w:p w14:paraId="311B91D2" w14:textId="77777777" w:rsidR="00ED2F5A" w:rsidRPr="00D80227" w:rsidRDefault="00101CB3" w:rsidP="00E72162">
            <w:pPr>
              <w:ind w:left="90"/>
              <w:rPr>
                <w:rFonts w:cstheme="minorHAnsi"/>
                <w:color w:val="000000" w:themeColor="text1"/>
              </w:rPr>
            </w:pPr>
            <w:hyperlink r:id="rId82" w:history="1">
              <w:r w:rsidR="00ED2F5A" w:rsidRPr="00D80227">
                <w:rPr>
                  <w:rFonts w:cstheme="minorHAnsi"/>
                  <w:color w:val="000000" w:themeColor="text1"/>
                </w:rPr>
                <w:t>Klamath County Community Health Assessment</w:t>
              </w:r>
            </w:hyperlink>
            <w:r w:rsidR="00ED2F5A" w:rsidRPr="00D80227">
              <w:rPr>
                <w:rFonts w:cstheme="minorHAnsi"/>
                <w:color w:val="000000" w:themeColor="text1"/>
              </w:rPr>
              <w:t xml:space="preserve"> </w:t>
            </w:r>
          </w:p>
        </w:tc>
      </w:tr>
      <w:tr w:rsidR="00ED2F5A" w:rsidRPr="0043259F" w14:paraId="0B2CDCB4" w14:textId="77777777" w:rsidTr="00E72162">
        <w:trPr>
          <w:trHeight w:val="155"/>
        </w:trPr>
        <w:tc>
          <w:tcPr>
            <w:tcW w:w="2335" w:type="dxa"/>
          </w:tcPr>
          <w:p w14:paraId="23492659" w14:textId="77777777" w:rsidR="00ED2F5A" w:rsidRPr="0043259F" w:rsidRDefault="00ED2F5A" w:rsidP="00E72162">
            <w:pPr>
              <w:ind w:left="90"/>
              <w:rPr>
                <w:rFonts w:cstheme="minorHAnsi"/>
              </w:rPr>
            </w:pPr>
            <w:r w:rsidRPr="0043259F">
              <w:rPr>
                <w:rFonts w:cstheme="minorHAnsi"/>
                <w:bCs/>
                <w:lang w:val="en-US"/>
              </w:rPr>
              <w:t>PeaceHealth Medical Group, Oregon West Network</w:t>
            </w:r>
          </w:p>
        </w:tc>
        <w:tc>
          <w:tcPr>
            <w:tcW w:w="3600" w:type="dxa"/>
          </w:tcPr>
          <w:p w14:paraId="4850E392" w14:textId="77777777" w:rsidR="00ED2F5A" w:rsidRPr="0043259F" w:rsidRDefault="00ED2F5A" w:rsidP="00E72162">
            <w:pPr>
              <w:ind w:left="90"/>
              <w:rPr>
                <w:rFonts w:cstheme="minorHAnsi"/>
              </w:rPr>
            </w:pPr>
            <w:r w:rsidRPr="0043259F">
              <w:rPr>
                <w:rFonts w:cstheme="minorHAnsi"/>
              </w:rPr>
              <w:t>Live Healthy Lane</w:t>
            </w:r>
          </w:p>
        </w:tc>
        <w:tc>
          <w:tcPr>
            <w:tcW w:w="900" w:type="dxa"/>
          </w:tcPr>
          <w:p w14:paraId="62373D91" w14:textId="77777777" w:rsidR="00ED2F5A" w:rsidRPr="0043259F" w:rsidRDefault="00ED2F5A" w:rsidP="00E72162">
            <w:pPr>
              <w:ind w:left="90"/>
              <w:rPr>
                <w:rFonts w:cstheme="minorHAnsi"/>
              </w:rPr>
            </w:pPr>
            <w:r w:rsidRPr="0043259F">
              <w:rPr>
                <w:rFonts w:cstheme="minorHAnsi"/>
              </w:rPr>
              <w:t>2016</w:t>
            </w:r>
          </w:p>
        </w:tc>
        <w:tc>
          <w:tcPr>
            <w:tcW w:w="2880" w:type="dxa"/>
          </w:tcPr>
          <w:p w14:paraId="7C41C23B" w14:textId="77777777" w:rsidR="00ED2F5A" w:rsidRPr="00D80227" w:rsidRDefault="00101CB3" w:rsidP="00E72162">
            <w:pPr>
              <w:ind w:left="90"/>
              <w:rPr>
                <w:rFonts w:cstheme="minorHAnsi"/>
                <w:color w:val="000000" w:themeColor="text1"/>
              </w:rPr>
            </w:pPr>
            <w:hyperlink r:id="rId83" w:history="1">
              <w:r w:rsidR="00ED2F5A" w:rsidRPr="00D80227">
                <w:rPr>
                  <w:rFonts w:cstheme="minorHAnsi"/>
                  <w:color w:val="000000" w:themeColor="text1"/>
                </w:rPr>
                <w:t>2016-2019 Lane County Regional Community Health Improvement Plan</w:t>
              </w:r>
            </w:hyperlink>
          </w:p>
          <w:p w14:paraId="01C55A7B" w14:textId="77777777" w:rsidR="00ED2F5A" w:rsidRPr="00D80227" w:rsidRDefault="00ED2F5A" w:rsidP="00E72162">
            <w:pPr>
              <w:ind w:left="90"/>
              <w:rPr>
                <w:rFonts w:cstheme="minorHAnsi"/>
                <w:color w:val="000000" w:themeColor="text1"/>
              </w:rPr>
            </w:pPr>
          </w:p>
        </w:tc>
      </w:tr>
      <w:tr w:rsidR="00ED2F5A" w:rsidRPr="0043259F" w14:paraId="76D282CF" w14:textId="77777777" w:rsidTr="00E72162">
        <w:trPr>
          <w:trHeight w:val="1055"/>
        </w:trPr>
        <w:tc>
          <w:tcPr>
            <w:tcW w:w="2335" w:type="dxa"/>
          </w:tcPr>
          <w:p w14:paraId="531BABD3" w14:textId="77777777" w:rsidR="00ED2F5A" w:rsidRPr="0043259F" w:rsidRDefault="00ED2F5A" w:rsidP="00E72162">
            <w:pPr>
              <w:ind w:left="90"/>
              <w:rPr>
                <w:rFonts w:cstheme="minorHAnsi"/>
              </w:rPr>
            </w:pPr>
            <w:r w:rsidRPr="0043259F">
              <w:rPr>
                <w:rFonts w:cstheme="minorHAnsi"/>
                <w:bCs/>
              </w:rPr>
              <w:t>PeaceHealth Medical Group, Oregon West Network</w:t>
            </w:r>
          </w:p>
        </w:tc>
        <w:tc>
          <w:tcPr>
            <w:tcW w:w="3600" w:type="dxa"/>
          </w:tcPr>
          <w:p w14:paraId="679BA498" w14:textId="77777777" w:rsidR="00ED2F5A" w:rsidRPr="0043259F" w:rsidRDefault="00ED2F5A" w:rsidP="00E72162">
            <w:pPr>
              <w:ind w:left="90"/>
              <w:rPr>
                <w:rFonts w:cstheme="minorHAnsi"/>
              </w:rPr>
            </w:pPr>
            <w:r w:rsidRPr="0043259F">
              <w:rPr>
                <w:rFonts w:cstheme="minorHAnsi"/>
              </w:rPr>
              <w:t>Live Healthy Lane</w:t>
            </w:r>
          </w:p>
        </w:tc>
        <w:tc>
          <w:tcPr>
            <w:tcW w:w="900" w:type="dxa"/>
          </w:tcPr>
          <w:p w14:paraId="59063BCD" w14:textId="77777777" w:rsidR="00ED2F5A" w:rsidRPr="0043259F" w:rsidRDefault="00ED2F5A" w:rsidP="00E72162">
            <w:pPr>
              <w:ind w:left="90"/>
              <w:rPr>
                <w:rFonts w:cstheme="minorHAnsi"/>
              </w:rPr>
            </w:pPr>
            <w:r w:rsidRPr="0043259F">
              <w:rPr>
                <w:rFonts w:cstheme="minorHAnsi"/>
              </w:rPr>
              <w:t>2018</w:t>
            </w:r>
          </w:p>
        </w:tc>
        <w:tc>
          <w:tcPr>
            <w:tcW w:w="2880" w:type="dxa"/>
          </w:tcPr>
          <w:p w14:paraId="5F31067B" w14:textId="77777777" w:rsidR="00ED2F5A" w:rsidRPr="00D80227" w:rsidRDefault="00101CB3" w:rsidP="00E72162">
            <w:pPr>
              <w:ind w:left="90"/>
              <w:rPr>
                <w:rFonts w:cstheme="minorHAnsi"/>
                <w:color w:val="000000" w:themeColor="text1"/>
              </w:rPr>
            </w:pPr>
            <w:hyperlink r:id="rId84" w:history="1">
              <w:r w:rsidR="00ED2F5A" w:rsidRPr="00D80227">
                <w:rPr>
                  <w:rFonts w:cstheme="minorHAnsi"/>
                  <w:color w:val="000000" w:themeColor="text1"/>
                </w:rPr>
                <w:t>Lane County Community Health Assessment 2018-2019</w:t>
              </w:r>
            </w:hyperlink>
            <w:r w:rsidR="00ED2F5A" w:rsidRPr="00D80227">
              <w:rPr>
                <w:rFonts w:cstheme="minorHAnsi"/>
                <w:color w:val="000000" w:themeColor="text1"/>
              </w:rPr>
              <w:t xml:space="preserve"> </w:t>
            </w:r>
          </w:p>
        </w:tc>
      </w:tr>
      <w:tr w:rsidR="00ED2F5A" w:rsidRPr="0043259F" w14:paraId="6A6D941E" w14:textId="77777777" w:rsidTr="00E72162">
        <w:trPr>
          <w:trHeight w:val="1044"/>
        </w:trPr>
        <w:tc>
          <w:tcPr>
            <w:tcW w:w="2335" w:type="dxa"/>
          </w:tcPr>
          <w:p w14:paraId="04F12F25" w14:textId="77777777" w:rsidR="00ED2F5A" w:rsidRPr="0043259F" w:rsidRDefault="00ED2F5A" w:rsidP="00E72162">
            <w:pPr>
              <w:ind w:left="90"/>
              <w:rPr>
                <w:rFonts w:cstheme="minorHAnsi"/>
              </w:rPr>
            </w:pPr>
            <w:r w:rsidRPr="0043259F">
              <w:rPr>
                <w:rFonts w:cstheme="minorHAnsi"/>
                <w:bCs/>
              </w:rPr>
              <w:t>PeaceHealth Medical Group, Oregon West Network</w:t>
            </w:r>
          </w:p>
        </w:tc>
        <w:tc>
          <w:tcPr>
            <w:tcW w:w="3600" w:type="dxa"/>
          </w:tcPr>
          <w:p w14:paraId="33AA604E" w14:textId="77777777" w:rsidR="00ED2F5A" w:rsidRPr="0043259F" w:rsidRDefault="00ED2F5A" w:rsidP="00E72162">
            <w:pPr>
              <w:ind w:left="90"/>
              <w:rPr>
                <w:rFonts w:cstheme="minorHAnsi"/>
              </w:rPr>
            </w:pPr>
            <w:r w:rsidRPr="0043259F">
              <w:rPr>
                <w:rFonts w:cstheme="minorHAnsi"/>
              </w:rPr>
              <w:t>Live Healthy Lane</w:t>
            </w:r>
          </w:p>
        </w:tc>
        <w:tc>
          <w:tcPr>
            <w:tcW w:w="900" w:type="dxa"/>
          </w:tcPr>
          <w:p w14:paraId="2A3D5D37" w14:textId="77777777" w:rsidR="00ED2F5A" w:rsidRPr="0043259F" w:rsidRDefault="00ED2F5A" w:rsidP="00E72162">
            <w:pPr>
              <w:ind w:left="90"/>
              <w:rPr>
                <w:rFonts w:cstheme="minorHAnsi"/>
              </w:rPr>
            </w:pPr>
            <w:r w:rsidRPr="0043259F">
              <w:rPr>
                <w:rFonts w:cstheme="minorHAnsi"/>
              </w:rPr>
              <w:t>2021</w:t>
            </w:r>
          </w:p>
        </w:tc>
        <w:tc>
          <w:tcPr>
            <w:tcW w:w="2880" w:type="dxa"/>
          </w:tcPr>
          <w:p w14:paraId="0F2DC865" w14:textId="77777777" w:rsidR="00ED2F5A" w:rsidRPr="00D80227" w:rsidRDefault="00101CB3" w:rsidP="00E72162">
            <w:pPr>
              <w:ind w:left="90"/>
              <w:rPr>
                <w:rFonts w:cstheme="minorHAnsi"/>
                <w:color w:val="000000" w:themeColor="text1"/>
              </w:rPr>
            </w:pPr>
            <w:hyperlink r:id="rId85" w:history="1">
              <w:r w:rsidR="00ED2F5A" w:rsidRPr="00D80227">
                <w:rPr>
                  <w:rFonts w:cstheme="minorHAnsi"/>
                  <w:color w:val="000000" w:themeColor="text1"/>
                </w:rPr>
                <w:t>Lane County Community Health Improvement Plan (CHP) 2021-2025</w:t>
              </w:r>
            </w:hyperlink>
            <w:r w:rsidR="00ED2F5A" w:rsidRPr="00D80227">
              <w:rPr>
                <w:rFonts w:cstheme="minorHAnsi"/>
                <w:color w:val="000000" w:themeColor="text1"/>
              </w:rPr>
              <w:t xml:space="preserve"> </w:t>
            </w:r>
          </w:p>
        </w:tc>
      </w:tr>
      <w:tr w:rsidR="00ED2F5A" w:rsidRPr="0043259F" w14:paraId="56A8CA45" w14:textId="77777777" w:rsidTr="00E72162">
        <w:trPr>
          <w:trHeight w:val="1583"/>
        </w:trPr>
        <w:tc>
          <w:tcPr>
            <w:tcW w:w="2335" w:type="dxa"/>
          </w:tcPr>
          <w:p w14:paraId="08D84367" w14:textId="77777777" w:rsidR="00ED2F5A" w:rsidRPr="0043259F" w:rsidRDefault="00ED2F5A" w:rsidP="00E72162">
            <w:pPr>
              <w:ind w:left="90"/>
              <w:rPr>
                <w:rFonts w:cstheme="minorHAnsi"/>
              </w:rPr>
            </w:pPr>
            <w:r w:rsidRPr="0043259F">
              <w:rPr>
                <w:rFonts w:cstheme="minorHAnsi"/>
              </w:rPr>
              <w:t>Wallowa Valley Center for Living</w:t>
            </w:r>
          </w:p>
        </w:tc>
        <w:tc>
          <w:tcPr>
            <w:tcW w:w="3600" w:type="dxa"/>
          </w:tcPr>
          <w:p w14:paraId="6B9E8D99" w14:textId="77777777" w:rsidR="00ED2F5A" w:rsidRPr="0043259F" w:rsidRDefault="00ED2F5A" w:rsidP="00E72162">
            <w:pPr>
              <w:ind w:left="90"/>
              <w:rPr>
                <w:rFonts w:cstheme="minorHAnsi"/>
              </w:rPr>
            </w:pPr>
            <w:r w:rsidRPr="0043259F">
              <w:rPr>
                <w:rFonts w:cstheme="minorHAnsi"/>
              </w:rPr>
              <w:t>Northeast Oregon Network, Wallowa Valley Center for Wellness, Wallowa Memorial Hospital, Winding Waters Medical Clinic, Building Healthy Families, and the Wallowa County Local Advisory Committee for the Eastern Oregon Coordinated Care Organization</w:t>
            </w:r>
          </w:p>
        </w:tc>
        <w:tc>
          <w:tcPr>
            <w:tcW w:w="900" w:type="dxa"/>
          </w:tcPr>
          <w:p w14:paraId="3CAB15DA" w14:textId="77777777" w:rsidR="00ED2F5A" w:rsidRPr="0043259F" w:rsidRDefault="00ED2F5A" w:rsidP="00E72162">
            <w:pPr>
              <w:ind w:left="90"/>
              <w:rPr>
                <w:rFonts w:cstheme="minorHAnsi"/>
              </w:rPr>
            </w:pPr>
            <w:r w:rsidRPr="0043259F">
              <w:rPr>
                <w:rFonts w:cstheme="minorHAnsi"/>
              </w:rPr>
              <w:t>2016</w:t>
            </w:r>
          </w:p>
        </w:tc>
        <w:tc>
          <w:tcPr>
            <w:tcW w:w="2880" w:type="dxa"/>
          </w:tcPr>
          <w:p w14:paraId="0A721BFF" w14:textId="77777777" w:rsidR="00ED2F5A" w:rsidRPr="00D80227" w:rsidRDefault="00101CB3" w:rsidP="00E72162">
            <w:pPr>
              <w:ind w:left="90"/>
              <w:rPr>
                <w:rFonts w:cstheme="minorHAnsi"/>
                <w:color w:val="000000" w:themeColor="text1"/>
              </w:rPr>
            </w:pPr>
            <w:hyperlink r:id="rId86" w:history="1">
              <w:r w:rsidR="00ED2F5A" w:rsidRPr="00D80227">
                <w:rPr>
                  <w:rFonts w:cstheme="minorHAnsi"/>
                  <w:color w:val="000000" w:themeColor="text1"/>
                </w:rPr>
                <w:t>Wallowa County Comprehensive Needs Assessment</w:t>
              </w:r>
            </w:hyperlink>
            <w:r w:rsidR="00ED2F5A" w:rsidRPr="00D80227">
              <w:rPr>
                <w:rFonts w:cstheme="minorHAnsi"/>
                <w:color w:val="000000" w:themeColor="text1"/>
              </w:rPr>
              <w:t xml:space="preserve"> </w:t>
            </w:r>
          </w:p>
        </w:tc>
      </w:tr>
      <w:tr w:rsidR="00ED2F5A" w:rsidRPr="0043259F" w14:paraId="1A558F73" w14:textId="77777777" w:rsidTr="00E72162">
        <w:trPr>
          <w:trHeight w:val="1314"/>
        </w:trPr>
        <w:tc>
          <w:tcPr>
            <w:tcW w:w="2335" w:type="dxa"/>
          </w:tcPr>
          <w:p w14:paraId="2464A198" w14:textId="77777777" w:rsidR="00ED2F5A" w:rsidRPr="0043259F" w:rsidRDefault="00ED2F5A" w:rsidP="00E72162">
            <w:pPr>
              <w:ind w:left="90"/>
              <w:rPr>
                <w:rFonts w:cstheme="minorHAnsi"/>
              </w:rPr>
            </w:pPr>
            <w:r w:rsidRPr="0043259F">
              <w:rPr>
                <w:rFonts w:cstheme="minorHAnsi"/>
              </w:rPr>
              <w:t>Wallowa Valley Center for Living</w:t>
            </w:r>
          </w:p>
        </w:tc>
        <w:tc>
          <w:tcPr>
            <w:tcW w:w="3600" w:type="dxa"/>
          </w:tcPr>
          <w:p w14:paraId="4398069B" w14:textId="77777777" w:rsidR="00ED2F5A" w:rsidRPr="0043259F" w:rsidRDefault="00ED2F5A" w:rsidP="00E72162">
            <w:pPr>
              <w:ind w:left="90"/>
              <w:rPr>
                <w:rFonts w:cstheme="minorHAnsi"/>
              </w:rPr>
            </w:pPr>
            <w:r w:rsidRPr="0043259F">
              <w:rPr>
                <w:rFonts w:cstheme="minorHAnsi"/>
              </w:rPr>
              <w:t>Northeast Oregon Network, Wallowa Valley Center for Wellness, Wallowa Memorial Hospital, Winding Waters Medical Clinic, Building Healthy Families, and the Wallowa County Local Advisory Committee for the Eastern Oregon Coordinated Care Organization</w:t>
            </w:r>
          </w:p>
        </w:tc>
        <w:tc>
          <w:tcPr>
            <w:tcW w:w="900" w:type="dxa"/>
          </w:tcPr>
          <w:p w14:paraId="3A423F9A" w14:textId="77777777" w:rsidR="00ED2F5A" w:rsidRPr="0043259F" w:rsidRDefault="00ED2F5A" w:rsidP="00E72162">
            <w:pPr>
              <w:ind w:left="90"/>
              <w:rPr>
                <w:rFonts w:cstheme="minorHAnsi"/>
              </w:rPr>
            </w:pPr>
            <w:r w:rsidRPr="0043259F">
              <w:rPr>
                <w:rFonts w:cstheme="minorHAnsi"/>
              </w:rPr>
              <w:t>2019</w:t>
            </w:r>
          </w:p>
        </w:tc>
        <w:tc>
          <w:tcPr>
            <w:tcW w:w="2880" w:type="dxa"/>
          </w:tcPr>
          <w:p w14:paraId="1A8EC1E0" w14:textId="77777777" w:rsidR="00ED2F5A" w:rsidRPr="00D80227" w:rsidRDefault="00101CB3" w:rsidP="00E72162">
            <w:pPr>
              <w:ind w:left="90"/>
              <w:rPr>
                <w:rFonts w:cstheme="minorHAnsi"/>
                <w:color w:val="000000" w:themeColor="text1"/>
              </w:rPr>
            </w:pPr>
            <w:hyperlink r:id="rId87" w:history="1">
              <w:r w:rsidR="00ED2F5A" w:rsidRPr="00D80227">
                <w:rPr>
                  <w:rFonts w:cstheme="minorHAnsi"/>
                  <w:color w:val="000000" w:themeColor="text1"/>
                </w:rPr>
                <w:t>Wallowa County Comprehensive Needs Assessment</w:t>
              </w:r>
            </w:hyperlink>
          </w:p>
          <w:p w14:paraId="71B07A6D" w14:textId="77777777" w:rsidR="00ED2F5A" w:rsidRPr="00D80227" w:rsidRDefault="00ED2F5A" w:rsidP="00E72162">
            <w:pPr>
              <w:ind w:left="90"/>
              <w:rPr>
                <w:rFonts w:cstheme="minorHAnsi"/>
                <w:color w:val="000000" w:themeColor="text1"/>
              </w:rPr>
            </w:pPr>
          </w:p>
        </w:tc>
      </w:tr>
      <w:tr w:rsidR="00ED2F5A" w:rsidRPr="0043259F" w14:paraId="63AA77CE" w14:textId="77777777" w:rsidTr="00E72162">
        <w:trPr>
          <w:trHeight w:val="809"/>
        </w:trPr>
        <w:tc>
          <w:tcPr>
            <w:tcW w:w="2335" w:type="dxa"/>
          </w:tcPr>
          <w:p w14:paraId="5F6CFF53"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738BF71B" w14:textId="77777777" w:rsidR="00ED2F5A" w:rsidRPr="0043259F" w:rsidRDefault="00ED2F5A" w:rsidP="00E72162">
            <w:pPr>
              <w:ind w:left="90"/>
              <w:rPr>
                <w:rFonts w:cstheme="minorHAnsi"/>
              </w:rPr>
            </w:pPr>
            <w:r w:rsidRPr="0043259F">
              <w:rPr>
                <w:rFonts w:cstheme="minorHAnsi"/>
              </w:rPr>
              <w:t>Oregon Health Equity Alliance and Multnomah County</w:t>
            </w:r>
          </w:p>
        </w:tc>
        <w:tc>
          <w:tcPr>
            <w:tcW w:w="900" w:type="dxa"/>
          </w:tcPr>
          <w:p w14:paraId="5B93AC7C" w14:textId="77777777" w:rsidR="00ED2F5A" w:rsidRPr="0043259F" w:rsidRDefault="00ED2F5A" w:rsidP="00E72162">
            <w:pPr>
              <w:ind w:left="90"/>
              <w:rPr>
                <w:rFonts w:cstheme="minorHAnsi"/>
              </w:rPr>
            </w:pPr>
            <w:r w:rsidRPr="0043259F">
              <w:rPr>
                <w:rFonts w:cstheme="minorHAnsi"/>
              </w:rPr>
              <w:t>2016</w:t>
            </w:r>
          </w:p>
        </w:tc>
        <w:tc>
          <w:tcPr>
            <w:tcW w:w="2880" w:type="dxa"/>
          </w:tcPr>
          <w:p w14:paraId="4B4CFD9E" w14:textId="77777777" w:rsidR="00ED2F5A" w:rsidRPr="00D80227" w:rsidRDefault="00101CB3" w:rsidP="00E72162">
            <w:pPr>
              <w:ind w:left="90"/>
              <w:rPr>
                <w:rFonts w:cstheme="minorHAnsi"/>
                <w:color w:val="000000" w:themeColor="text1"/>
              </w:rPr>
            </w:pPr>
            <w:hyperlink r:id="rId88" w:history="1">
              <w:r w:rsidR="00ED2F5A" w:rsidRPr="00D80227">
                <w:rPr>
                  <w:rFonts w:cstheme="minorHAnsi"/>
                  <w:color w:val="000000" w:themeColor="text1"/>
                </w:rPr>
                <w:t>Multnomah County Community Health Improvement Plan (CHIP)</w:t>
              </w:r>
            </w:hyperlink>
            <w:r w:rsidR="00ED2F5A" w:rsidRPr="00D80227">
              <w:rPr>
                <w:rFonts w:cstheme="minorHAnsi"/>
                <w:color w:val="000000" w:themeColor="text1"/>
              </w:rPr>
              <w:t xml:space="preserve"> </w:t>
            </w:r>
          </w:p>
        </w:tc>
      </w:tr>
      <w:tr w:rsidR="00ED2F5A" w:rsidRPr="0043259F" w14:paraId="5D8A5DCD" w14:textId="77777777" w:rsidTr="00E72162">
        <w:trPr>
          <w:trHeight w:val="786"/>
        </w:trPr>
        <w:tc>
          <w:tcPr>
            <w:tcW w:w="2335" w:type="dxa"/>
          </w:tcPr>
          <w:p w14:paraId="1DC2F8C6"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5BCE7CB9" w14:textId="77777777" w:rsidR="00ED2F5A" w:rsidRPr="0043259F" w:rsidRDefault="00ED2F5A" w:rsidP="00E72162">
            <w:pPr>
              <w:ind w:left="90"/>
              <w:rPr>
                <w:rFonts w:cstheme="minorHAnsi"/>
              </w:rPr>
            </w:pPr>
            <w:r w:rsidRPr="0043259F">
              <w:rPr>
                <w:rFonts w:cstheme="minorHAnsi"/>
              </w:rPr>
              <w:t>Oregon Health Equity Alliance and Multnomah County</w:t>
            </w:r>
          </w:p>
        </w:tc>
        <w:tc>
          <w:tcPr>
            <w:tcW w:w="900" w:type="dxa"/>
          </w:tcPr>
          <w:p w14:paraId="1B93B946" w14:textId="77777777" w:rsidR="00ED2F5A" w:rsidRPr="0043259F" w:rsidRDefault="00ED2F5A" w:rsidP="00E72162">
            <w:pPr>
              <w:ind w:left="90"/>
              <w:rPr>
                <w:rFonts w:cstheme="minorHAnsi"/>
              </w:rPr>
            </w:pPr>
            <w:r w:rsidRPr="0043259F">
              <w:rPr>
                <w:rFonts w:cstheme="minorHAnsi"/>
              </w:rPr>
              <w:t>2017</w:t>
            </w:r>
          </w:p>
        </w:tc>
        <w:tc>
          <w:tcPr>
            <w:tcW w:w="2880" w:type="dxa"/>
          </w:tcPr>
          <w:p w14:paraId="0D3773C5" w14:textId="77777777" w:rsidR="00ED2F5A" w:rsidRPr="00D80227" w:rsidRDefault="00101CB3" w:rsidP="00E72162">
            <w:pPr>
              <w:ind w:left="90"/>
              <w:rPr>
                <w:rFonts w:cstheme="minorHAnsi"/>
                <w:color w:val="000000" w:themeColor="text1"/>
              </w:rPr>
            </w:pPr>
            <w:hyperlink r:id="rId89" w:history="1">
              <w:r w:rsidR="00ED2F5A" w:rsidRPr="00D80227">
                <w:rPr>
                  <w:rFonts w:cstheme="minorHAnsi"/>
                  <w:color w:val="000000" w:themeColor="text1"/>
                </w:rPr>
                <w:t>Community Health Improvement Plan (CHIP)</w:t>
              </w:r>
            </w:hyperlink>
          </w:p>
          <w:p w14:paraId="23610F08" w14:textId="77777777" w:rsidR="00ED2F5A" w:rsidRPr="00D80227" w:rsidRDefault="00ED2F5A" w:rsidP="00E72162">
            <w:pPr>
              <w:ind w:left="90"/>
              <w:rPr>
                <w:rFonts w:cstheme="minorHAnsi"/>
                <w:color w:val="000000" w:themeColor="text1"/>
              </w:rPr>
            </w:pPr>
          </w:p>
        </w:tc>
      </w:tr>
      <w:tr w:rsidR="00ED2F5A" w:rsidRPr="0043259F" w14:paraId="6244F815" w14:textId="77777777" w:rsidTr="00E72162">
        <w:trPr>
          <w:trHeight w:val="786"/>
        </w:trPr>
        <w:tc>
          <w:tcPr>
            <w:tcW w:w="2335" w:type="dxa"/>
          </w:tcPr>
          <w:p w14:paraId="203D6EA5" w14:textId="77777777" w:rsidR="00ED2F5A" w:rsidRPr="0043259F" w:rsidRDefault="00ED2F5A" w:rsidP="00E72162">
            <w:pPr>
              <w:ind w:left="90"/>
              <w:rPr>
                <w:rFonts w:cstheme="minorHAnsi"/>
              </w:rPr>
            </w:pPr>
            <w:r w:rsidRPr="0043259F">
              <w:rPr>
                <w:rFonts w:cstheme="minorHAnsi"/>
              </w:rPr>
              <w:t>Cascadia Health</w:t>
            </w:r>
            <w:r w:rsidRPr="0043259F">
              <w:rPr>
                <w:rFonts w:cstheme="minorHAnsi"/>
              </w:rPr>
              <w:br/>
              <w:t>LifeWorks, NW</w:t>
            </w:r>
          </w:p>
        </w:tc>
        <w:tc>
          <w:tcPr>
            <w:tcW w:w="3600" w:type="dxa"/>
          </w:tcPr>
          <w:p w14:paraId="6FCA7C5E" w14:textId="77777777" w:rsidR="00ED2F5A" w:rsidRPr="0043259F" w:rsidRDefault="00ED2F5A" w:rsidP="00E72162">
            <w:pPr>
              <w:ind w:left="90"/>
              <w:rPr>
                <w:rFonts w:cstheme="minorHAnsi"/>
              </w:rPr>
            </w:pPr>
            <w:r w:rsidRPr="0043259F">
              <w:rPr>
                <w:rFonts w:cstheme="minorHAnsi"/>
              </w:rPr>
              <w:t>Oregon Health Equity Alliance and Multnomah County</w:t>
            </w:r>
          </w:p>
        </w:tc>
        <w:tc>
          <w:tcPr>
            <w:tcW w:w="900" w:type="dxa"/>
          </w:tcPr>
          <w:p w14:paraId="4612067A" w14:textId="77777777" w:rsidR="00ED2F5A" w:rsidRPr="0043259F" w:rsidRDefault="00ED2F5A" w:rsidP="00E72162">
            <w:pPr>
              <w:ind w:left="90"/>
              <w:rPr>
                <w:rFonts w:cstheme="minorHAnsi"/>
              </w:rPr>
            </w:pPr>
            <w:r w:rsidRPr="0043259F">
              <w:rPr>
                <w:rFonts w:cstheme="minorHAnsi"/>
              </w:rPr>
              <w:t>2019</w:t>
            </w:r>
          </w:p>
        </w:tc>
        <w:tc>
          <w:tcPr>
            <w:tcW w:w="2880" w:type="dxa"/>
          </w:tcPr>
          <w:p w14:paraId="3C8F588D" w14:textId="77777777" w:rsidR="00ED2F5A" w:rsidRPr="00D80227" w:rsidRDefault="00101CB3" w:rsidP="00E72162">
            <w:pPr>
              <w:ind w:left="90"/>
              <w:rPr>
                <w:rFonts w:cstheme="minorHAnsi"/>
                <w:color w:val="000000" w:themeColor="text1"/>
              </w:rPr>
            </w:pPr>
            <w:hyperlink r:id="rId90" w:history="1">
              <w:r w:rsidR="00ED2F5A" w:rsidRPr="00D80227">
                <w:rPr>
                  <w:rFonts w:cstheme="minorHAnsi"/>
                  <w:color w:val="000000" w:themeColor="text1"/>
                </w:rPr>
                <w:t>Community Powered Change</w:t>
              </w:r>
            </w:hyperlink>
          </w:p>
        </w:tc>
      </w:tr>
      <w:tr w:rsidR="00ED2F5A" w:rsidRPr="0043259F" w14:paraId="7610790B" w14:textId="77777777" w:rsidTr="00E72162">
        <w:trPr>
          <w:trHeight w:val="1055"/>
        </w:trPr>
        <w:tc>
          <w:tcPr>
            <w:tcW w:w="2335" w:type="dxa"/>
          </w:tcPr>
          <w:p w14:paraId="0AEE15D3" w14:textId="77777777" w:rsidR="00ED2F5A" w:rsidRPr="0043259F" w:rsidRDefault="00ED2F5A" w:rsidP="00E72162">
            <w:pPr>
              <w:ind w:left="90"/>
              <w:rPr>
                <w:rFonts w:cstheme="minorHAnsi"/>
              </w:rPr>
            </w:pPr>
            <w:r w:rsidRPr="0043259F">
              <w:rPr>
                <w:rFonts w:cstheme="minorHAnsi"/>
              </w:rPr>
              <w:t>Wallowa Valley Center for Living</w:t>
            </w:r>
          </w:p>
        </w:tc>
        <w:tc>
          <w:tcPr>
            <w:tcW w:w="3600" w:type="dxa"/>
          </w:tcPr>
          <w:p w14:paraId="6AC7EB1C" w14:textId="77777777" w:rsidR="00ED2F5A" w:rsidRPr="0043259F" w:rsidRDefault="00ED2F5A" w:rsidP="00E72162">
            <w:pPr>
              <w:ind w:left="90"/>
              <w:rPr>
                <w:rFonts w:cstheme="minorHAnsi"/>
              </w:rPr>
            </w:pPr>
            <w:r w:rsidRPr="0043259F">
              <w:rPr>
                <w:rFonts w:cstheme="minorHAnsi"/>
              </w:rPr>
              <w:t>PRC, Wallowa Memorial Hospital and Medical Clinics, Building Health Families, Wallowa Valley Center for Wellness, Winding Waters Medical Clinic, and Northeast Oregon Network</w:t>
            </w:r>
          </w:p>
        </w:tc>
        <w:tc>
          <w:tcPr>
            <w:tcW w:w="900" w:type="dxa"/>
          </w:tcPr>
          <w:p w14:paraId="12937880" w14:textId="77777777" w:rsidR="00ED2F5A" w:rsidRPr="0043259F" w:rsidRDefault="00ED2F5A" w:rsidP="00E72162">
            <w:pPr>
              <w:ind w:left="90"/>
              <w:rPr>
                <w:rFonts w:cstheme="minorHAnsi"/>
              </w:rPr>
            </w:pPr>
            <w:r w:rsidRPr="0043259F">
              <w:rPr>
                <w:rFonts w:cstheme="minorHAnsi"/>
              </w:rPr>
              <w:t>2022</w:t>
            </w:r>
          </w:p>
        </w:tc>
        <w:tc>
          <w:tcPr>
            <w:tcW w:w="2880" w:type="dxa"/>
          </w:tcPr>
          <w:p w14:paraId="3E828C8F" w14:textId="77777777" w:rsidR="00ED2F5A" w:rsidRPr="00D80227" w:rsidRDefault="00101CB3" w:rsidP="00E72162">
            <w:pPr>
              <w:ind w:left="90"/>
              <w:rPr>
                <w:rFonts w:cstheme="minorHAnsi"/>
                <w:color w:val="000000" w:themeColor="text1"/>
              </w:rPr>
            </w:pPr>
            <w:hyperlink r:id="rId91" w:history="1">
              <w:r w:rsidR="00ED2F5A" w:rsidRPr="00D80227">
                <w:rPr>
                  <w:rFonts w:cstheme="minorHAnsi"/>
                  <w:color w:val="000000" w:themeColor="text1"/>
                </w:rPr>
                <w:t>2022 Community Health Needs Assessment: Wallowa County, Oregon</w:t>
              </w:r>
            </w:hyperlink>
          </w:p>
          <w:p w14:paraId="31571D6C" w14:textId="77777777" w:rsidR="00ED2F5A" w:rsidRPr="00D80227" w:rsidRDefault="00ED2F5A" w:rsidP="00E72162">
            <w:pPr>
              <w:ind w:left="90"/>
              <w:rPr>
                <w:rFonts w:cstheme="minorHAnsi"/>
                <w:color w:val="000000" w:themeColor="text1"/>
              </w:rPr>
            </w:pPr>
          </w:p>
        </w:tc>
      </w:tr>
      <w:tr w:rsidR="00ED2F5A" w:rsidRPr="0043259F" w14:paraId="203958B8" w14:textId="77777777" w:rsidTr="00E72162">
        <w:trPr>
          <w:trHeight w:val="786"/>
        </w:trPr>
        <w:tc>
          <w:tcPr>
            <w:tcW w:w="2335" w:type="dxa"/>
          </w:tcPr>
          <w:p w14:paraId="71009FC4" w14:textId="77777777" w:rsidR="00ED2F5A" w:rsidRPr="0043259F" w:rsidRDefault="00ED2F5A" w:rsidP="00E72162">
            <w:pPr>
              <w:ind w:left="90"/>
              <w:rPr>
                <w:rFonts w:cstheme="minorHAnsi"/>
              </w:rPr>
            </w:pPr>
            <w:r w:rsidRPr="0043259F">
              <w:rPr>
                <w:rFonts w:cstheme="minorHAnsi"/>
              </w:rPr>
              <w:t>Deschutes County Health Services</w:t>
            </w:r>
          </w:p>
        </w:tc>
        <w:tc>
          <w:tcPr>
            <w:tcW w:w="3600" w:type="dxa"/>
          </w:tcPr>
          <w:p w14:paraId="3FFE1D50" w14:textId="77777777" w:rsidR="00ED2F5A" w:rsidRPr="0043259F" w:rsidRDefault="00ED2F5A" w:rsidP="00E72162">
            <w:pPr>
              <w:ind w:left="90"/>
              <w:rPr>
                <w:rFonts w:cstheme="minorHAnsi"/>
              </w:rPr>
            </w:pPr>
            <w:r w:rsidRPr="0043259F">
              <w:rPr>
                <w:rFonts w:cstheme="minorHAnsi"/>
              </w:rPr>
              <w:t>Deschutes County, Public Health Advisory Board</w:t>
            </w:r>
          </w:p>
        </w:tc>
        <w:tc>
          <w:tcPr>
            <w:tcW w:w="900" w:type="dxa"/>
          </w:tcPr>
          <w:p w14:paraId="12B74A53" w14:textId="77777777" w:rsidR="00ED2F5A" w:rsidRPr="0043259F" w:rsidRDefault="00ED2F5A" w:rsidP="00E72162">
            <w:pPr>
              <w:ind w:left="90"/>
              <w:rPr>
                <w:rFonts w:cstheme="minorHAnsi"/>
              </w:rPr>
            </w:pPr>
            <w:r w:rsidRPr="0043259F">
              <w:rPr>
                <w:rFonts w:cstheme="minorHAnsi"/>
              </w:rPr>
              <w:t>2020</w:t>
            </w:r>
          </w:p>
        </w:tc>
        <w:tc>
          <w:tcPr>
            <w:tcW w:w="2880" w:type="dxa"/>
          </w:tcPr>
          <w:p w14:paraId="1CAB17D7" w14:textId="77777777" w:rsidR="00ED2F5A" w:rsidRPr="00D80227" w:rsidRDefault="00101CB3" w:rsidP="00E72162">
            <w:pPr>
              <w:ind w:left="90"/>
              <w:rPr>
                <w:rFonts w:cstheme="minorHAnsi"/>
                <w:color w:val="000000" w:themeColor="text1"/>
              </w:rPr>
            </w:pPr>
            <w:hyperlink r:id="rId92" w:history="1">
              <w:r w:rsidR="00ED2F5A" w:rsidRPr="00D80227">
                <w:rPr>
                  <w:rFonts w:cstheme="minorHAnsi"/>
                  <w:color w:val="000000" w:themeColor="text1"/>
                </w:rPr>
                <w:t>Central Oregon Public Health Equity Report 2020</w:t>
              </w:r>
            </w:hyperlink>
          </w:p>
          <w:p w14:paraId="6ABE43BB" w14:textId="77777777" w:rsidR="00ED2F5A" w:rsidRPr="00D80227" w:rsidRDefault="00ED2F5A" w:rsidP="00E72162">
            <w:pPr>
              <w:ind w:left="90"/>
              <w:rPr>
                <w:rFonts w:cstheme="minorHAnsi"/>
                <w:color w:val="000000" w:themeColor="text1"/>
              </w:rPr>
            </w:pPr>
          </w:p>
        </w:tc>
      </w:tr>
      <w:tr w:rsidR="00ED2F5A" w:rsidRPr="0043259F" w14:paraId="541576ED" w14:textId="77777777" w:rsidTr="00E72162">
        <w:trPr>
          <w:trHeight w:val="797"/>
        </w:trPr>
        <w:tc>
          <w:tcPr>
            <w:tcW w:w="2335" w:type="dxa"/>
          </w:tcPr>
          <w:p w14:paraId="530D4104" w14:textId="77777777" w:rsidR="00ED2F5A" w:rsidRPr="0043259F" w:rsidRDefault="00ED2F5A" w:rsidP="00E72162">
            <w:pPr>
              <w:ind w:left="90"/>
              <w:rPr>
                <w:rFonts w:cstheme="minorHAnsi"/>
              </w:rPr>
            </w:pPr>
            <w:r w:rsidRPr="0043259F">
              <w:rPr>
                <w:rFonts w:cstheme="minorHAnsi"/>
              </w:rPr>
              <w:t>LifeWorks, NW</w:t>
            </w:r>
          </w:p>
        </w:tc>
        <w:tc>
          <w:tcPr>
            <w:tcW w:w="3600" w:type="dxa"/>
          </w:tcPr>
          <w:p w14:paraId="3E841CCE" w14:textId="77777777" w:rsidR="00ED2F5A" w:rsidRPr="0043259F" w:rsidRDefault="00ED2F5A" w:rsidP="00E72162">
            <w:pPr>
              <w:ind w:left="90"/>
              <w:rPr>
                <w:rFonts w:cstheme="minorHAnsi"/>
              </w:rPr>
            </w:pPr>
            <w:r w:rsidRPr="0043259F">
              <w:rPr>
                <w:rFonts w:cstheme="minorHAnsi"/>
              </w:rPr>
              <w:t>Tuality Healthcare</w:t>
            </w:r>
          </w:p>
        </w:tc>
        <w:tc>
          <w:tcPr>
            <w:tcW w:w="900" w:type="dxa"/>
          </w:tcPr>
          <w:p w14:paraId="6D51E951" w14:textId="77777777" w:rsidR="00ED2F5A" w:rsidRPr="0043259F" w:rsidRDefault="00ED2F5A" w:rsidP="00E72162">
            <w:pPr>
              <w:ind w:left="90"/>
              <w:rPr>
                <w:rFonts w:cstheme="minorHAnsi"/>
              </w:rPr>
            </w:pPr>
            <w:r w:rsidRPr="0043259F">
              <w:rPr>
                <w:rFonts w:cstheme="minorHAnsi"/>
              </w:rPr>
              <w:t>2016</w:t>
            </w:r>
          </w:p>
        </w:tc>
        <w:tc>
          <w:tcPr>
            <w:tcW w:w="2880" w:type="dxa"/>
          </w:tcPr>
          <w:p w14:paraId="7A70CA80" w14:textId="77777777" w:rsidR="00ED2F5A" w:rsidRPr="00D80227" w:rsidRDefault="00101CB3" w:rsidP="00E72162">
            <w:pPr>
              <w:ind w:left="90"/>
              <w:rPr>
                <w:rFonts w:cstheme="minorHAnsi"/>
                <w:color w:val="000000" w:themeColor="text1"/>
              </w:rPr>
            </w:pPr>
            <w:hyperlink r:id="rId93" w:history="1">
              <w:r w:rsidR="00ED2F5A" w:rsidRPr="00D80227">
                <w:rPr>
                  <w:rFonts w:cstheme="minorHAnsi"/>
                  <w:color w:val="000000" w:themeColor="text1"/>
                </w:rPr>
                <w:t>2016 Community Health Needs Assessment: Washington County, Oregon</w:t>
              </w:r>
            </w:hyperlink>
          </w:p>
        </w:tc>
      </w:tr>
      <w:tr w:rsidR="00ED2F5A" w:rsidRPr="00067023" w14:paraId="57260B33" w14:textId="77777777" w:rsidTr="00E72162">
        <w:trPr>
          <w:trHeight w:val="517"/>
        </w:trPr>
        <w:tc>
          <w:tcPr>
            <w:tcW w:w="2335" w:type="dxa"/>
          </w:tcPr>
          <w:p w14:paraId="568047A0" w14:textId="530A94BC" w:rsidR="00ED2F5A" w:rsidRPr="00067023" w:rsidRDefault="00ED2F5A" w:rsidP="00E72162">
            <w:pPr>
              <w:ind w:left="90"/>
              <w:rPr>
                <w:rFonts w:cstheme="minorHAnsi"/>
              </w:rPr>
            </w:pPr>
            <w:r w:rsidRPr="00067023">
              <w:rPr>
                <w:rFonts w:cstheme="minorHAnsi"/>
              </w:rPr>
              <w:t xml:space="preserve">Yamhill County Health </w:t>
            </w:r>
            <w:r w:rsidR="00517AAA">
              <w:rPr>
                <w:rFonts w:cstheme="minorHAnsi"/>
              </w:rPr>
              <w:t>and</w:t>
            </w:r>
            <w:r w:rsidRPr="00067023">
              <w:rPr>
                <w:rFonts w:cstheme="minorHAnsi"/>
              </w:rPr>
              <w:t xml:space="preserve"> Human Services </w:t>
            </w:r>
          </w:p>
        </w:tc>
        <w:tc>
          <w:tcPr>
            <w:tcW w:w="3600" w:type="dxa"/>
          </w:tcPr>
          <w:p w14:paraId="1248A3B0" w14:textId="77777777" w:rsidR="00ED2F5A" w:rsidRPr="00067023" w:rsidRDefault="00ED2F5A" w:rsidP="00E72162">
            <w:pPr>
              <w:ind w:left="90"/>
              <w:rPr>
                <w:rFonts w:cstheme="minorHAnsi"/>
              </w:rPr>
            </w:pPr>
            <w:r w:rsidRPr="00067023">
              <w:rPr>
                <w:rFonts w:cstheme="minorHAnsi"/>
              </w:rPr>
              <w:t>Yamhill Community Care</w:t>
            </w:r>
          </w:p>
        </w:tc>
        <w:tc>
          <w:tcPr>
            <w:tcW w:w="900" w:type="dxa"/>
          </w:tcPr>
          <w:p w14:paraId="07BC5342" w14:textId="77777777" w:rsidR="00ED2F5A" w:rsidRPr="00067023" w:rsidRDefault="00ED2F5A" w:rsidP="00E72162">
            <w:pPr>
              <w:ind w:left="90"/>
              <w:rPr>
                <w:rFonts w:cstheme="minorHAnsi"/>
              </w:rPr>
            </w:pPr>
            <w:r w:rsidRPr="00067023">
              <w:rPr>
                <w:rFonts w:cstheme="minorHAnsi"/>
              </w:rPr>
              <w:t>2019</w:t>
            </w:r>
          </w:p>
        </w:tc>
        <w:tc>
          <w:tcPr>
            <w:tcW w:w="2880" w:type="dxa"/>
          </w:tcPr>
          <w:p w14:paraId="5ED2C6EB" w14:textId="77777777" w:rsidR="00ED2F5A" w:rsidRPr="00D80227" w:rsidRDefault="00101CB3" w:rsidP="00E72162">
            <w:pPr>
              <w:ind w:left="90"/>
              <w:rPr>
                <w:rFonts w:cstheme="minorHAnsi"/>
                <w:color w:val="000000" w:themeColor="text1"/>
              </w:rPr>
            </w:pPr>
            <w:hyperlink r:id="rId94" w:history="1">
              <w:r w:rsidR="00ED2F5A" w:rsidRPr="00D80227">
                <w:rPr>
                  <w:rFonts w:cstheme="minorHAnsi"/>
                  <w:color w:val="000000" w:themeColor="text1"/>
                </w:rPr>
                <w:t>2019-2024 Community Health Improvement Plan</w:t>
              </w:r>
            </w:hyperlink>
            <w:r w:rsidR="00ED2F5A" w:rsidRPr="00D80227">
              <w:rPr>
                <w:rFonts w:cstheme="minorHAnsi"/>
                <w:color w:val="000000" w:themeColor="text1"/>
              </w:rPr>
              <w:t xml:space="preserve"> </w:t>
            </w:r>
          </w:p>
        </w:tc>
      </w:tr>
      <w:tr w:rsidR="00ED2F5A" w:rsidRPr="00067023" w14:paraId="5F92B307" w14:textId="77777777" w:rsidTr="00E72162">
        <w:trPr>
          <w:trHeight w:val="527"/>
        </w:trPr>
        <w:tc>
          <w:tcPr>
            <w:tcW w:w="2335" w:type="dxa"/>
          </w:tcPr>
          <w:p w14:paraId="69887798" w14:textId="01271318" w:rsidR="00ED2F5A" w:rsidRPr="00067023" w:rsidRDefault="00ED2F5A" w:rsidP="00E72162">
            <w:pPr>
              <w:ind w:left="90"/>
              <w:rPr>
                <w:rFonts w:cstheme="minorHAnsi"/>
              </w:rPr>
            </w:pPr>
            <w:r w:rsidRPr="00067023">
              <w:rPr>
                <w:rFonts w:cstheme="minorHAnsi"/>
              </w:rPr>
              <w:t xml:space="preserve">Yamhill County Health </w:t>
            </w:r>
            <w:r w:rsidR="00517AAA">
              <w:rPr>
                <w:rFonts w:cstheme="minorHAnsi"/>
              </w:rPr>
              <w:t>and</w:t>
            </w:r>
            <w:r w:rsidRPr="00067023">
              <w:rPr>
                <w:rFonts w:cstheme="minorHAnsi"/>
              </w:rPr>
              <w:t xml:space="preserve"> Human Services</w:t>
            </w:r>
          </w:p>
        </w:tc>
        <w:tc>
          <w:tcPr>
            <w:tcW w:w="3600" w:type="dxa"/>
          </w:tcPr>
          <w:p w14:paraId="3360FAC8" w14:textId="77777777" w:rsidR="00ED2F5A" w:rsidRPr="00067023" w:rsidRDefault="00ED2F5A" w:rsidP="00E72162">
            <w:pPr>
              <w:ind w:left="90"/>
              <w:rPr>
                <w:rFonts w:cstheme="minorHAnsi"/>
              </w:rPr>
            </w:pPr>
            <w:r w:rsidRPr="00067023">
              <w:rPr>
                <w:rFonts w:cstheme="minorHAnsi"/>
              </w:rPr>
              <w:t>Yamhill County Public Health</w:t>
            </w:r>
          </w:p>
        </w:tc>
        <w:tc>
          <w:tcPr>
            <w:tcW w:w="900" w:type="dxa"/>
          </w:tcPr>
          <w:p w14:paraId="2A818819" w14:textId="77777777" w:rsidR="00ED2F5A" w:rsidRPr="00067023" w:rsidRDefault="00ED2F5A" w:rsidP="00E72162">
            <w:pPr>
              <w:ind w:left="90"/>
              <w:rPr>
                <w:rFonts w:cstheme="minorHAnsi"/>
              </w:rPr>
            </w:pPr>
            <w:r w:rsidRPr="00067023">
              <w:rPr>
                <w:rFonts w:cstheme="minorHAnsi"/>
              </w:rPr>
              <w:t>2017</w:t>
            </w:r>
          </w:p>
        </w:tc>
        <w:tc>
          <w:tcPr>
            <w:tcW w:w="2880" w:type="dxa"/>
          </w:tcPr>
          <w:p w14:paraId="464EFED3" w14:textId="77777777" w:rsidR="00ED2F5A" w:rsidRPr="00D80227" w:rsidRDefault="00101CB3" w:rsidP="00E72162">
            <w:pPr>
              <w:ind w:left="90"/>
              <w:rPr>
                <w:rFonts w:cstheme="minorHAnsi"/>
                <w:color w:val="000000" w:themeColor="text1"/>
              </w:rPr>
            </w:pPr>
            <w:hyperlink r:id="rId95" w:history="1">
              <w:r w:rsidR="00ED2F5A" w:rsidRPr="00D80227">
                <w:rPr>
                  <w:rFonts w:cstheme="minorHAnsi"/>
                  <w:color w:val="000000" w:themeColor="text1"/>
                </w:rPr>
                <w:t>Community Health Assessment of Yamhill County</w:t>
              </w:r>
            </w:hyperlink>
          </w:p>
        </w:tc>
      </w:tr>
    </w:tbl>
    <w:p w14:paraId="27D7C7D7" w14:textId="42C1790A" w:rsidR="00A32A0E" w:rsidRPr="00225851" w:rsidRDefault="00323FC9" w:rsidP="00A32A0E">
      <w:pPr>
        <w:pStyle w:val="ListParagraph"/>
        <w:spacing w:after="120"/>
        <w:ind w:left="0"/>
        <w:rPr>
          <w:b/>
          <w:bCs/>
          <w:color w:val="6A7F0F"/>
          <w:sz w:val="22"/>
          <w:szCs w:val="22"/>
        </w:rPr>
      </w:pPr>
      <w:r w:rsidRPr="00225851">
        <w:rPr>
          <w:b/>
          <w:bCs/>
          <w:color w:val="6A7F0F"/>
          <w:sz w:val="22"/>
          <w:szCs w:val="22"/>
        </w:rPr>
        <w:t>Citations for Community Health Reports</w:t>
      </w:r>
    </w:p>
    <w:p w14:paraId="34003C34" w14:textId="40E19ABE"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All in for Health </w:t>
      </w:r>
      <w:r w:rsidR="00517AAA">
        <w:rPr>
          <w:rFonts w:ascii="Calibri" w:eastAsia="Calibri" w:hAnsi="Calibri"/>
          <w:sz w:val="22"/>
          <w:szCs w:val="22"/>
          <w:lang w:val="en"/>
        </w:rPr>
        <w:t>and</w:t>
      </w:r>
      <w:r w:rsidRPr="009A6F83">
        <w:rPr>
          <w:rFonts w:ascii="Calibri" w:eastAsia="Calibri" w:hAnsi="Calibri"/>
          <w:sz w:val="22"/>
          <w:szCs w:val="22"/>
          <w:lang w:val="en"/>
        </w:rPr>
        <w:t xml:space="preserve"> Jefferson Regional Health Alliance. (2019). “Equity Addendum.” </w:t>
      </w:r>
      <w:hyperlink r:id="rId96" w:history="1">
        <w:r w:rsidRPr="009A6F83">
          <w:rPr>
            <w:rStyle w:val="Hyperlink"/>
            <w:rFonts w:ascii="Calibri" w:eastAsia="Calibri" w:hAnsi="Calibri"/>
            <w:sz w:val="22"/>
            <w:szCs w:val="22"/>
            <w:lang w:val="en"/>
          </w:rPr>
          <w:t>https://www.allcarehealth.com/media/5497/aifh-equity-addendum_62022.pdf</w:t>
        </w:r>
      </w:hyperlink>
      <w:r w:rsidRPr="009A6F83">
        <w:rPr>
          <w:rFonts w:ascii="Calibri" w:eastAsia="Calibri" w:hAnsi="Calibri"/>
          <w:sz w:val="22"/>
          <w:szCs w:val="22"/>
          <w:lang w:val="en"/>
        </w:rPr>
        <w:cr/>
      </w:r>
    </w:p>
    <w:p w14:paraId="0812681E" w14:textId="71A9D58F"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All in for Health </w:t>
      </w:r>
      <w:r w:rsidR="00517AAA">
        <w:rPr>
          <w:rFonts w:ascii="Calibri" w:eastAsia="Calibri" w:hAnsi="Calibri"/>
          <w:sz w:val="22"/>
          <w:szCs w:val="22"/>
          <w:lang w:val="en"/>
        </w:rPr>
        <w:t>and</w:t>
      </w:r>
      <w:r w:rsidRPr="009A6F83">
        <w:rPr>
          <w:rFonts w:ascii="Calibri" w:eastAsia="Calibri" w:hAnsi="Calibri"/>
          <w:sz w:val="22"/>
          <w:szCs w:val="22"/>
          <w:lang w:val="en"/>
        </w:rPr>
        <w:t xml:space="preserve"> Jefferson Regional Health Alliance. (2019). “Jackson </w:t>
      </w:r>
      <w:r w:rsidR="00517AAA">
        <w:rPr>
          <w:rFonts w:ascii="Calibri" w:eastAsia="Calibri" w:hAnsi="Calibri"/>
          <w:sz w:val="22"/>
          <w:szCs w:val="22"/>
          <w:lang w:val="en"/>
        </w:rPr>
        <w:t>and</w:t>
      </w:r>
      <w:r w:rsidRPr="009A6F83">
        <w:rPr>
          <w:rFonts w:ascii="Calibri" w:eastAsia="Calibri" w:hAnsi="Calibri"/>
          <w:sz w:val="22"/>
          <w:szCs w:val="22"/>
          <w:lang w:val="en"/>
        </w:rPr>
        <w:t xml:space="preserve"> Josephine Counties: Community Health Improvement Plan 2019-2022.” </w:t>
      </w:r>
      <w:hyperlink r:id="rId97" w:history="1">
        <w:r w:rsidRPr="009A6F83">
          <w:rPr>
            <w:rStyle w:val="Hyperlink"/>
            <w:rFonts w:ascii="Calibri" w:eastAsia="Calibri" w:hAnsi="Calibri"/>
            <w:sz w:val="22"/>
            <w:szCs w:val="22"/>
            <w:lang w:val="en"/>
          </w:rPr>
          <w:t>https://jeffersonregionalhealthalliance.org/wp-content/uploads/2019/07/Full-CHIP-FINAL.pdf</w:t>
        </w:r>
      </w:hyperlink>
      <w:r w:rsidRPr="009A6F83">
        <w:rPr>
          <w:rFonts w:ascii="Calibri" w:eastAsia="Calibri" w:hAnsi="Calibri"/>
          <w:sz w:val="22"/>
          <w:szCs w:val="22"/>
          <w:lang w:val="en"/>
        </w:rPr>
        <w:cr/>
      </w:r>
    </w:p>
    <w:p w14:paraId="4530F67A" w14:textId="1D9067C8"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Allcare Health. (2019). “Allcare CCO Jackson </w:t>
      </w:r>
      <w:r w:rsidR="00517AAA">
        <w:rPr>
          <w:rFonts w:ascii="Calibri" w:eastAsia="Calibri" w:hAnsi="Calibri"/>
          <w:sz w:val="22"/>
          <w:szCs w:val="22"/>
          <w:lang w:val="en"/>
        </w:rPr>
        <w:t>and</w:t>
      </w:r>
      <w:r w:rsidRPr="009A6F83">
        <w:rPr>
          <w:rFonts w:ascii="Calibri" w:eastAsia="Calibri" w:hAnsi="Calibri"/>
          <w:sz w:val="22"/>
          <w:szCs w:val="22"/>
          <w:lang w:val="en"/>
        </w:rPr>
        <w:t xml:space="preserve"> Josephine County 2019 CHIP Addendum.” </w:t>
      </w:r>
      <w:hyperlink r:id="rId98" w:history="1">
        <w:r w:rsidRPr="009A6F83">
          <w:rPr>
            <w:rStyle w:val="Hyperlink"/>
            <w:rFonts w:ascii="Calibri" w:eastAsia="Calibri" w:hAnsi="Calibri"/>
            <w:sz w:val="22"/>
            <w:szCs w:val="22"/>
            <w:lang w:val="en"/>
          </w:rPr>
          <w:t>https://www.allcarehealth.com/media/2825/accco-jackson-josephine-2019-chip-addendum-pq.pdf</w:t>
        </w:r>
      </w:hyperlink>
      <w:r w:rsidRPr="009A6F83">
        <w:rPr>
          <w:rFonts w:ascii="Calibri" w:eastAsia="Calibri" w:hAnsi="Calibri"/>
          <w:sz w:val="22"/>
          <w:szCs w:val="22"/>
          <w:lang w:val="en"/>
        </w:rPr>
        <w:cr/>
        <w:t xml:space="preserve"> </w:t>
      </w:r>
    </w:p>
    <w:p w14:paraId="026C8D47"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Blue Mountain Hospital District. (2022). “2022 Community Health Needs Assessment.” </w:t>
      </w:r>
      <w:hyperlink r:id="rId99" w:history="1">
        <w:r w:rsidRPr="009A6F83">
          <w:rPr>
            <w:rStyle w:val="Hyperlink"/>
            <w:rFonts w:ascii="Calibri" w:eastAsia="Calibri" w:hAnsi="Calibri"/>
            <w:sz w:val="22"/>
            <w:szCs w:val="22"/>
            <w:lang w:val="en"/>
          </w:rPr>
          <w:t>https://bluemountainhospital.org/wp-content/uploads/2022/06/2022-BMHD-CHNA-FINAL-with-link.pdf</w:t>
        </w:r>
      </w:hyperlink>
      <w:r w:rsidRPr="009A6F83">
        <w:rPr>
          <w:rFonts w:ascii="Calibri" w:eastAsia="Calibri" w:hAnsi="Calibri"/>
          <w:sz w:val="22"/>
          <w:szCs w:val="22"/>
          <w:lang w:val="en"/>
        </w:rPr>
        <w:cr/>
      </w:r>
    </w:p>
    <w:p w14:paraId="19747FF0"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Central Oregon Health Council. (2016). “</w:t>
      </w:r>
      <w:r w:rsidRPr="009A6F83">
        <w:rPr>
          <w:rFonts w:ascii="Calibri" w:eastAsia="Calibri" w:hAnsi="Calibri"/>
          <w:sz w:val="22"/>
          <w:szCs w:val="22"/>
          <w:lang w:val="en"/>
        </w:rPr>
        <w:tab/>
        <w:t>2016-2019 Central Oregon Regional Health Improvement Plan.”</w:t>
      </w:r>
      <w:r>
        <w:rPr>
          <w:rFonts w:ascii="Calibri" w:eastAsia="Calibri" w:hAnsi="Calibri"/>
          <w:sz w:val="22"/>
          <w:szCs w:val="22"/>
          <w:lang w:val="en"/>
        </w:rPr>
        <w:t xml:space="preserve"> </w:t>
      </w:r>
      <w:hyperlink r:id="rId100" w:history="1">
        <w:r w:rsidRPr="009A6F83">
          <w:rPr>
            <w:rStyle w:val="Hyperlink"/>
            <w:rFonts w:ascii="Calibri" w:eastAsia="Calibri" w:hAnsi="Calibri"/>
            <w:sz w:val="22"/>
            <w:szCs w:val="22"/>
            <w:lang w:val="en"/>
          </w:rPr>
          <w:t>https://cohealthcouncil.org/2016/02/12/2016-2016-central-oregon-regional-health-improvement-plan/</w:t>
        </w:r>
      </w:hyperlink>
    </w:p>
    <w:p w14:paraId="255CD4F0" w14:textId="77777777" w:rsidR="00ED2F5A" w:rsidRDefault="00ED2F5A" w:rsidP="00ED2F5A">
      <w:pPr>
        <w:rPr>
          <w:rFonts w:ascii="Calibri" w:eastAsia="Calibri" w:hAnsi="Calibri"/>
          <w:sz w:val="22"/>
          <w:szCs w:val="22"/>
          <w:lang w:val="en"/>
        </w:rPr>
      </w:pPr>
    </w:p>
    <w:p w14:paraId="7561AEE3"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Central Oregon Health Council. (2019). “2019 Central Oregon: Regional Health Assessment.” </w:t>
      </w:r>
      <w:hyperlink r:id="rId101" w:history="1">
        <w:r w:rsidRPr="009A6F83">
          <w:rPr>
            <w:rStyle w:val="Hyperlink"/>
            <w:rFonts w:ascii="Calibri" w:eastAsia="Calibri" w:hAnsi="Calibri"/>
            <w:sz w:val="22"/>
            <w:szCs w:val="22"/>
            <w:lang w:val="en"/>
          </w:rPr>
          <w:t>https://www.deschutes.org/sites/default/files/fileattachments/health_services/page/1862/cohc_2019regionalhealthassessment_printfriendly.pdf</w:t>
        </w:r>
      </w:hyperlink>
      <w:r w:rsidRPr="009A6F83">
        <w:rPr>
          <w:rFonts w:ascii="Calibri" w:eastAsia="Calibri" w:hAnsi="Calibri"/>
          <w:sz w:val="22"/>
          <w:szCs w:val="22"/>
          <w:lang w:val="en"/>
        </w:rPr>
        <w:cr/>
        <w:t xml:space="preserve"> </w:t>
      </w:r>
    </w:p>
    <w:p w14:paraId="3F7F210B"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Central Oregon Health Council. (2020). “2020-2024 Central Oregon: Regional Health Improvement Plan.” </w:t>
      </w:r>
      <w:hyperlink r:id="rId102" w:history="1">
        <w:r w:rsidRPr="009A6F83">
          <w:rPr>
            <w:rStyle w:val="Hyperlink"/>
            <w:rFonts w:ascii="Calibri" w:eastAsia="Calibri" w:hAnsi="Calibri"/>
            <w:sz w:val="22"/>
            <w:szCs w:val="22"/>
            <w:lang w:val="en"/>
          </w:rPr>
          <w:t>https://www.dropbox.com/s/svd1ntivd1y83da/RHIP_2020_2024_Final.pdf?dl=0</w:t>
        </w:r>
      </w:hyperlink>
      <w:r w:rsidRPr="009A6F83">
        <w:rPr>
          <w:rFonts w:ascii="Calibri" w:eastAsia="Calibri" w:hAnsi="Calibri"/>
          <w:sz w:val="22"/>
          <w:szCs w:val="22"/>
          <w:lang w:val="en"/>
        </w:rPr>
        <w:cr/>
      </w:r>
    </w:p>
    <w:p w14:paraId="0B23701A"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Columbia Gorge Health Council. (2019). “Columbia Gorge Regional Community Health Assessment 2019.” </w:t>
      </w:r>
      <w:hyperlink r:id="rId103" w:history="1">
        <w:r w:rsidRPr="009A6F83">
          <w:rPr>
            <w:rStyle w:val="Hyperlink"/>
            <w:rFonts w:ascii="Calibri" w:eastAsia="Calibri" w:hAnsi="Calibri"/>
            <w:sz w:val="22"/>
            <w:szCs w:val="22"/>
            <w:lang w:val="en"/>
          </w:rPr>
          <w:t>https://static1.squarespace.com/static/5e7109f83cff1b7d10e22da6/t/5e726a0365f6a14df7-d2c767/1584556567017/Final-CHA-December-10-2019-Full-Document.pdf</w:t>
        </w:r>
      </w:hyperlink>
      <w:r w:rsidRPr="009A6F83">
        <w:rPr>
          <w:rFonts w:ascii="Calibri" w:eastAsia="Calibri" w:hAnsi="Calibri"/>
          <w:sz w:val="22"/>
          <w:szCs w:val="22"/>
          <w:lang w:val="en"/>
        </w:rPr>
        <w:cr/>
      </w:r>
    </w:p>
    <w:p w14:paraId="69904566"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Columbia Gorge Health Council. (2021). “Columbia Gorge Regional Community Health Improvement Plan 2020-2023.” </w:t>
      </w:r>
      <w:hyperlink r:id="rId104" w:history="1">
        <w:r w:rsidRPr="009A6F83">
          <w:rPr>
            <w:rStyle w:val="Hyperlink"/>
            <w:rFonts w:ascii="Calibri" w:eastAsia="Calibri" w:hAnsi="Calibri"/>
            <w:sz w:val="22"/>
            <w:szCs w:val="22"/>
            <w:lang w:val="en"/>
          </w:rPr>
          <w:t>https://static1.squarespace.com/static/5e7109f83cff1b7d10e22da6/t/60ccf8f0-efd30f5bde726444/1624045867609/CHP+Narrative+FINAL+2021+including+appendices.pdf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5EC33D7C" w14:textId="7BA2D838"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Columbia Pacific Coordinated Care Organization. (2019). “Regional Health Assessment </w:t>
      </w:r>
      <w:r w:rsidR="00517AAA">
        <w:rPr>
          <w:rFonts w:ascii="Calibri" w:eastAsia="Calibri" w:hAnsi="Calibri"/>
          <w:sz w:val="22"/>
          <w:szCs w:val="22"/>
          <w:lang w:val="en"/>
        </w:rPr>
        <w:t>and</w:t>
      </w:r>
      <w:r w:rsidRPr="009A6F83">
        <w:rPr>
          <w:rFonts w:ascii="Calibri" w:eastAsia="Calibri" w:hAnsi="Calibri"/>
          <w:sz w:val="22"/>
          <w:szCs w:val="22"/>
          <w:lang w:val="en"/>
        </w:rPr>
        <w:t xml:space="preserve"> Regional Health Improvement Plan 2019.” </w:t>
      </w:r>
      <w:hyperlink r:id="rId105" w:history="1">
        <w:r w:rsidRPr="009A6F83">
          <w:rPr>
            <w:rStyle w:val="Hyperlink"/>
            <w:rFonts w:ascii="Calibri" w:eastAsia="Calibri" w:hAnsi="Calibri"/>
            <w:sz w:val="22"/>
            <w:szCs w:val="22"/>
            <w:lang w:val="en"/>
          </w:rPr>
          <w:t>https://www.colpachealth.org/docs/colpachealthorglibraries/community-partners/regional-health-improvement-plan/cpcco_rha_rhip_7-19.pdf?sfvrsn=4ab0bbcc_1</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031A9950" w14:textId="0F5B435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Comagine </w:t>
      </w:r>
      <w:r w:rsidR="00517AAA">
        <w:rPr>
          <w:rFonts w:ascii="Calibri" w:eastAsia="Calibri" w:hAnsi="Calibri"/>
          <w:sz w:val="22"/>
          <w:szCs w:val="22"/>
          <w:lang w:val="en"/>
        </w:rPr>
        <w:t>and</w:t>
      </w:r>
      <w:r w:rsidRPr="009A6F83">
        <w:rPr>
          <w:rFonts w:ascii="Calibri" w:eastAsia="Calibri" w:hAnsi="Calibri"/>
          <w:sz w:val="22"/>
          <w:szCs w:val="22"/>
          <w:lang w:val="en"/>
        </w:rPr>
        <w:t xml:space="preserve"> Healthy Columbia Willamette Collaborative. (2019). “2019 Community Health Needs Assessment.” </w:t>
      </w:r>
      <w:hyperlink r:id="rId106" w:history="1">
        <w:r w:rsidRPr="009A6F83">
          <w:rPr>
            <w:rStyle w:val="Hyperlink"/>
            <w:rFonts w:ascii="Calibri" w:eastAsia="Calibri" w:hAnsi="Calibri"/>
            <w:sz w:val="22"/>
            <w:szCs w:val="22"/>
            <w:lang w:val="en"/>
          </w:rPr>
          <w:t>https://comagine.org/resource/740</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76085ED" w14:textId="34B83738" w:rsidR="00ED2F5A"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Community Actions Team, Inc. (2018). “Community Needs Assessment: Clatsop, Columbia, </w:t>
      </w:r>
      <w:r w:rsidR="00517AAA">
        <w:rPr>
          <w:rFonts w:ascii="Calibri" w:eastAsia="Calibri" w:hAnsi="Calibri"/>
          <w:sz w:val="22"/>
          <w:szCs w:val="22"/>
          <w:lang w:val="en"/>
        </w:rPr>
        <w:t>and</w:t>
      </w:r>
      <w:r w:rsidRPr="009A6F83">
        <w:rPr>
          <w:rFonts w:ascii="Calibri" w:eastAsia="Calibri" w:hAnsi="Calibri"/>
          <w:sz w:val="22"/>
          <w:szCs w:val="22"/>
          <w:lang w:val="en"/>
        </w:rPr>
        <w:t xml:space="preserve"> Tillamook Counties.” </w:t>
      </w:r>
      <w:hyperlink r:id="rId107" w:history="1">
        <w:r w:rsidRPr="009A6F83">
          <w:rPr>
            <w:rStyle w:val="Hyperlink"/>
            <w:rFonts w:ascii="Calibri" w:eastAsia="Calibri" w:hAnsi="Calibri"/>
            <w:sz w:val="22"/>
            <w:szCs w:val="22"/>
            <w:lang w:val="en"/>
          </w:rPr>
          <w:t>https://cat-team.org/wp-content/uploads/2020/09/CAT-Needs-Assessment-final-press.pdf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07FA6352" w14:textId="77777777" w:rsidR="00310852" w:rsidRDefault="00310852">
      <w:pPr>
        <w:rPr>
          <w:rFonts w:ascii="Calibri" w:eastAsia="Calibri" w:hAnsi="Calibri"/>
          <w:sz w:val="22"/>
          <w:szCs w:val="22"/>
          <w:lang w:val="en"/>
        </w:rPr>
      </w:pPr>
      <w:r>
        <w:rPr>
          <w:rFonts w:ascii="Calibri" w:eastAsia="Calibri" w:hAnsi="Calibri"/>
          <w:sz w:val="22"/>
          <w:szCs w:val="22"/>
          <w:lang w:val="en"/>
        </w:rPr>
        <w:br w:type="page"/>
      </w:r>
    </w:p>
    <w:p w14:paraId="586F4107" w14:textId="0B45988F"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Deschutes County Health Services, Public Health Division. (2018). “2018 Health Equity Report.” </w:t>
      </w:r>
      <w:hyperlink r:id="rId108" w:history="1">
        <w:r w:rsidRPr="009A6F83">
          <w:rPr>
            <w:rStyle w:val="Hyperlink"/>
            <w:rFonts w:ascii="Calibri" w:eastAsia="Calibri" w:hAnsi="Calibri"/>
            <w:sz w:val="22"/>
            <w:szCs w:val="22"/>
            <w:lang w:val="en"/>
          </w:rPr>
          <w:t>https://www.deschutes.org/sites/default/files/fileattachments/health_services/page/11980/health_equity_report_2018_rev.2019_0.pdf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3F1E95E4"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Deschutes County, Public Health Advisory Board. (2020). “Central Oregon Public Health Equity Report 2020.” </w:t>
      </w:r>
      <w:hyperlink r:id="rId109" w:history="1">
        <w:r w:rsidRPr="009A6F83">
          <w:rPr>
            <w:rStyle w:val="Hyperlink"/>
            <w:rFonts w:ascii="Calibri" w:eastAsia="Calibri" w:hAnsi="Calibri"/>
            <w:sz w:val="22"/>
            <w:szCs w:val="22"/>
            <w:lang w:val="en"/>
          </w:rPr>
          <w:t>https://www.deschutes.org/sites/default/files/fileattachments/health_services/page/11980-/2020_central_oregon_health_equity_report.pdf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13691855"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(2019). “Grant County Community Health Assessment.” </w:t>
      </w:r>
      <w:hyperlink r:id="rId110" w:history="1">
        <w:r w:rsidRPr="009A6F83">
          <w:rPr>
            <w:rStyle w:val="Hyperlink"/>
            <w:rFonts w:ascii="Calibri" w:eastAsia="Calibri" w:hAnsi="Calibri"/>
            <w:sz w:val="22"/>
            <w:szCs w:val="22"/>
            <w:lang w:val="en"/>
          </w:rPr>
          <w:t>https://ccswebsite.org/wp-content/uploads/2021/11/2019-Community-Health-Assessment.pdf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41D739D0"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(2019). “Harney County Community Health Assessment.” </w:t>
      </w:r>
      <w:hyperlink r:id="rId111" w:history="1">
        <w:r w:rsidRPr="009A6F83">
          <w:rPr>
            <w:rStyle w:val="Hyperlink"/>
            <w:rFonts w:ascii="Calibri" w:eastAsia="Calibri" w:hAnsi="Calibri"/>
            <w:sz w:val="22"/>
            <w:szCs w:val="22"/>
            <w:lang w:val="en"/>
          </w:rPr>
          <w:t>https://www.eocco.com/-/media/EOCCO/PDFs/CHA/cha_harney.pdf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78D1BE98"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(2019). “Wallowa County Community Health Assessment.” </w:t>
      </w:r>
      <w:hyperlink r:id="rId112" w:history="1">
        <w:r w:rsidRPr="009A6F83">
          <w:rPr>
            <w:rStyle w:val="Hyperlink"/>
            <w:rFonts w:ascii="Calibri" w:eastAsia="Calibri" w:hAnsi="Calibri"/>
            <w:sz w:val="22"/>
            <w:szCs w:val="22"/>
            <w:lang w:val="en"/>
          </w:rPr>
          <w:t>https://www.eocco.com/-/media/EOCCO/PDFs/CHA/cha_wallowa.pdf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189CBDA"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“2021 EOCCO Community Health Plan for Wallowa County.” </w:t>
      </w:r>
      <w:hyperlink r:id="rId113" w:history="1">
        <w:r w:rsidRPr="009A6F83">
          <w:rPr>
            <w:rStyle w:val="Hyperlink"/>
            <w:rFonts w:ascii="Calibri" w:eastAsia="Calibri" w:hAnsi="Calibri"/>
            <w:sz w:val="22"/>
            <w:szCs w:val="22"/>
            <w:lang w:val="en"/>
          </w:rPr>
          <w:t>https://www.eocco.com/eocco/-media/eocco/pdfs/chip/chip_wallowa.pdf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3E5E1CC6"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“2021 EOCCO Community Health Plan for Harney County.” </w:t>
      </w:r>
      <w:hyperlink r:id="rId114" w:history="1">
        <w:r w:rsidRPr="009A6F83">
          <w:rPr>
            <w:rStyle w:val="Hyperlink"/>
            <w:rFonts w:ascii="Calibri" w:eastAsia="Calibri" w:hAnsi="Calibri"/>
            <w:sz w:val="22"/>
            <w:szCs w:val="22"/>
            <w:lang w:val="en"/>
          </w:rPr>
          <w:t>https://www.eocco.com/eocco/-/media/eocco/pdfs/chip/chip_harney.pdf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3B82A2B5"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“2021-2022 EOCCO Community Health Plan, Grant County Community Advisory Council.” </w:t>
      </w:r>
      <w:hyperlink r:id="rId115" w:history="1">
        <w:r w:rsidRPr="009A6F83">
          <w:rPr>
            <w:rStyle w:val="Hyperlink"/>
            <w:rFonts w:ascii="Calibri" w:eastAsia="Calibri" w:hAnsi="Calibri"/>
            <w:sz w:val="22"/>
            <w:szCs w:val="22"/>
            <w:lang w:val="en"/>
          </w:rPr>
          <w:t>https://www.eocco.com/-/media/EOCCO/PDFs/CHIP/-chip_grant.pdf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1DA8DE3C"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“Community Health Plan (CHP) Progress Report.” </w:t>
      </w:r>
      <w:hyperlink r:id="rId116" w:history="1">
        <w:r w:rsidRPr="009A6F83">
          <w:rPr>
            <w:rStyle w:val="Hyperlink"/>
            <w:rFonts w:ascii="Calibri" w:eastAsia="Calibri" w:hAnsi="Calibri"/>
            <w:sz w:val="22"/>
            <w:szCs w:val="22"/>
            <w:lang w:val="en"/>
          </w:rPr>
          <w:t>https://www.oregon.gov/oha/HPA/dsi-tc/CCOCHIP/EOCCO%20CHP%20Progress%20-Report%202021.pdf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72626D86"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“Comprehensive Behavioral Health Plan: July 2021.” </w:t>
      </w:r>
      <w:hyperlink r:id="rId117" w:history="1">
        <w:r w:rsidRPr="009A6F83">
          <w:rPr>
            <w:rStyle w:val="Hyperlink"/>
            <w:rFonts w:ascii="Calibri" w:eastAsia="Calibri" w:hAnsi="Calibri"/>
            <w:sz w:val="22"/>
            <w:szCs w:val="22"/>
            <w:lang w:val="en"/>
          </w:rPr>
          <w:t>https://www.eocco.com/-/media/EOCCO/PDFs/providers/EOCCO_CBHP_2021.pdf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4510A3B1"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Eastern Oregon Coordinated Care Organization. (2021). “Equitable Health Care for All.” </w:t>
      </w:r>
      <w:hyperlink r:id="rId118" w:history="1">
        <w:r w:rsidRPr="009A6F83">
          <w:rPr>
            <w:rStyle w:val="Hyperlink"/>
            <w:rFonts w:ascii="Calibri" w:eastAsia="Calibri" w:hAnsi="Calibri"/>
            <w:sz w:val="22"/>
            <w:szCs w:val="22"/>
            <w:lang w:val="en"/>
          </w:rPr>
          <w:t>https://www.eocco.com/-/media/EOCCO/PDFs/providers/health_equity_strategic_plan.pdf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A649A70"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Grant County Public Health Department. (2019). “Grant County Public Health Department Community Health Assessment: 2019.” </w:t>
      </w:r>
      <w:hyperlink r:id="rId119" w:history="1">
        <w:r w:rsidRPr="009A6F83">
          <w:rPr>
            <w:rStyle w:val="Hyperlink"/>
            <w:rFonts w:ascii="Calibri" w:eastAsia="Calibri" w:hAnsi="Calibri"/>
            <w:sz w:val="22"/>
            <w:szCs w:val="22"/>
            <w:lang w:val="en"/>
          </w:rPr>
          <w:t>https://grantcountyoregon.net/DocumentCenter/View/718/2019--GCHD-Public-Health-Community-Health-Assessment</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70858C0F"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Harney District Hospital. (2019). “2019 Harney County Community Health Needs Assessment.” </w:t>
      </w:r>
      <w:hyperlink r:id="rId120" w:history="1">
        <w:r w:rsidRPr="009A6F83">
          <w:rPr>
            <w:rStyle w:val="Hyperlink"/>
            <w:rFonts w:ascii="Calibri" w:eastAsia="Calibri" w:hAnsi="Calibri"/>
            <w:sz w:val="22"/>
            <w:szCs w:val="22"/>
            <w:lang w:val="en"/>
          </w:rPr>
          <w:t>https://www.harneydh.com/wp-content/uploads/2019/06/HC_CHNA_FINALREPORT_2019_with-Appendix.pdf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4E5AFF54"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Harney District Hospital. (2022). “2022 Harney County Community Health Needs Assessment.” </w:t>
      </w:r>
      <w:hyperlink r:id="rId121" w:history="1">
        <w:r w:rsidRPr="009A6F83">
          <w:rPr>
            <w:rStyle w:val="Hyperlink"/>
            <w:rFonts w:ascii="Calibri" w:eastAsia="Calibri" w:hAnsi="Calibri"/>
            <w:sz w:val="22"/>
            <w:szCs w:val="22"/>
            <w:lang w:val="en"/>
          </w:rPr>
          <w:t>https://www.harneydh.com/wp-content/uploads/2022/08/FINAL-2022-CHNA-REPORT.pdf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1402184E" w14:textId="07577096"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 Resources in Action </w:t>
      </w:r>
      <w:r w:rsidR="00517AAA">
        <w:rPr>
          <w:rFonts w:ascii="Calibri" w:eastAsia="Calibri" w:hAnsi="Calibri"/>
          <w:sz w:val="22"/>
          <w:szCs w:val="22"/>
          <w:lang w:val="en"/>
        </w:rPr>
        <w:t>and</w:t>
      </w:r>
      <w:r w:rsidRPr="009A6F83">
        <w:rPr>
          <w:rFonts w:ascii="Calibri" w:eastAsia="Calibri" w:hAnsi="Calibri"/>
          <w:sz w:val="22"/>
          <w:szCs w:val="22"/>
          <w:lang w:val="en"/>
        </w:rPr>
        <w:t xml:space="preserve"> Jefferson Regional Health Alliance. (2019). “2018 Community Health Assessment of Jackson and Josephine Counties.” </w:t>
      </w:r>
      <w:hyperlink r:id="rId122" w:history="1">
        <w:r w:rsidRPr="009A6F83">
          <w:rPr>
            <w:rStyle w:val="Hyperlink"/>
            <w:rFonts w:ascii="Calibri" w:eastAsia="Calibri" w:hAnsi="Calibri"/>
            <w:sz w:val="22"/>
            <w:szCs w:val="22"/>
            <w:lang w:val="en"/>
          </w:rPr>
          <w:t>https://jeffersonregionalhealthalliance.org/allin-forhealth/2018-community-health-assessment/</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F6B1332"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 Share of Oregon. (2018). “Together in Health: 2018-2020 Community Health Needs Assessment.” </w:t>
      </w:r>
      <w:hyperlink r:id="rId123" w:history="1">
        <w:r w:rsidRPr="009A6F83">
          <w:rPr>
            <w:rStyle w:val="Hyperlink"/>
            <w:rFonts w:ascii="Calibri" w:eastAsia="Calibri" w:hAnsi="Calibri"/>
            <w:sz w:val="22"/>
            <w:szCs w:val="22"/>
            <w:lang w:val="en"/>
          </w:rPr>
          <w:t>https://www.healthshareoregon.org/storage/app/media/documents/Health%20Equity/Reports/Final_HS_CHNA%20Report_Pages.pdf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39CC3B1C"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 Share of Oregon. (2019). “Together in Health: 2019-2023 Community Health Improvement Plan.” </w:t>
      </w:r>
      <w:hyperlink r:id="rId124" w:history="1">
        <w:r w:rsidRPr="009A6F83">
          <w:rPr>
            <w:rStyle w:val="Hyperlink"/>
            <w:rFonts w:ascii="Calibri" w:eastAsia="Calibri" w:hAnsi="Calibri"/>
            <w:sz w:val="22"/>
            <w:szCs w:val="22"/>
            <w:lang w:val="en"/>
          </w:rPr>
          <w:t>https://www.healthshareoregon.org/storage/app/media/documents/Health%20Equity/Reports/CHNA/2019-2023%20Community%20Health%20Improvement%20Plan.pdf</w:t>
        </w:r>
      </w:hyperlink>
      <w:r w:rsidRPr="009A6F83">
        <w:rPr>
          <w:rFonts w:ascii="Calibri" w:eastAsia="Calibri" w:hAnsi="Calibri"/>
          <w:sz w:val="22"/>
          <w:szCs w:val="22"/>
          <w:lang w:val="en"/>
        </w:rPr>
        <w:t xml:space="preserve"> </w:t>
      </w:r>
    </w:p>
    <w:p w14:paraId="6B0461C2" w14:textId="77777777" w:rsidR="00ED2F5A" w:rsidRDefault="00ED2F5A" w:rsidP="00ED2F5A">
      <w:pPr>
        <w:rPr>
          <w:rFonts w:ascii="Calibri" w:eastAsia="Calibri" w:hAnsi="Calibri"/>
          <w:sz w:val="22"/>
          <w:szCs w:val="22"/>
          <w:lang w:val="en"/>
        </w:rPr>
      </w:pPr>
    </w:p>
    <w:p w14:paraId="22273F59"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Healthy Klamath Coalition. (2019). “Klamath County Community Health Assessment: 2018.” </w:t>
      </w:r>
      <w:hyperlink r:id="rId125" w:history="1">
        <w:r w:rsidRPr="009A6F83">
          <w:rPr>
            <w:rStyle w:val="Hyperlink"/>
            <w:rFonts w:ascii="Calibri" w:eastAsia="Calibri" w:hAnsi="Calibri"/>
            <w:sz w:val="22"/>
            <w:szCs w:val="22"/>
            <w:lang w:val="en"/>
          </w:rPr>
          <w:t>https://www.healthyklamath.org/content/sites/klamath/2018_Community_Health_Assessment_25FEB19FINAL.pdf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56B5F426"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Healthy Klamath Coalition. (2019). “Klamath County Community Health Improvement Plan: 2019-2021.” </w:t>
      </w:r>
      <w:hyperlink r:id="rId126" w:history="1">
        <w:r w:rsidRPr="009A6F83">
          <w:rPr>
            <w:rStyle w:val="Hyperlink"/>
            <w:rFonts w:ascii="Calibri" w:eastAsia="Calibri" w:hAnsi="Calibri"/>
            <w:sz w:val="22"/>
            <w:szCs w:val="22"/>
            <w:lang w:val="en"/>
          </w:rPr>
          <w:t>https://www.healthyklamath.org/content/sites/klamath/CHIP/FINAL_Klamath_County_Community_Health_Improvement_Plan_10192019.pdf</w:t>
        </w:r>
      </w:hyperlink>
      <w:r w:rsidRPr="009A6F83">
        <w:rPr>
          <w:rFonts w:ascii="Calibri" w:eastAsia="Calibri" w:hAnsi="Calibri"/>
          <w:sz w:val="22"/>
          <w:szCs w:val="22"/>
          <w:lang w:val="en"/>
        </w:rPr>
        <w:t xml:space="preserve"> </w:t>
      </w:r>
    </w:p>
    <w:p w14:paraId="1D644633" w14:textId="77777777" w:rsidR="00ED2F5A" w:rsidRDefault="00ED2F5A" w:rsidP="00ED2F5A">
      <w:pPr>
        <w:rPr>
          <w:rFonts w:ascii="Calibri" w:eastAsia="Calibri" w:hAnsi="Calibri"/>
          <w:sz w:val="22"/>
          <w:szCs w:val="22"/>
          <w:lang w:val="en"/>
        </w:rPr>
      </w:pPr>
    </w:p>
    <w:p w14:paraId="2AE5D7B0"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Healthy Klamath Coalition. (2021). “Klamath County Community Health Assessment.” </w:t>
      </w:r>
      <w:hyperlink r:id="rId127" w:history="1">
        <w:r w:rsidRPr="009A6F83">
          <w:rPr>
            <w:rStyle w:val="Hyperlink"/>
            <w:rFonts w:ascii="Calibri" w:eastAsia="Calibri" w:hAnsi="Calibri"/>
            <w:sz w:val="22"/>
            <w:szCs w:val="22"/>
            <w:lang w:val="en"/>
          </w:rPr>
          <w:t>https://www.healthyklamath.org/content/sites/klamath/01272022_CHA_DRAFT.pdf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4E904783"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Live Healthy Lane. (2016). “2016-2019 Lane County Regional Community Health Improvement Plan.” </w:t>
      </w:r>
      <w:hyperlink r:id="rId128" w:history="1">
        <w:r w:rsidRPr="009A6F83">
          <w:rPr>
            <w:rStyle w:val="Hyperlink"/>
            <w:rFonts w:ascii="Calibri" w:eastAsia="Calibri" w:hAnsi="Calibri"/>
            <w:sz w:val="22"/>
            <w:szCs w:val="22"/>
            <w:lang w:val="en"/>
          </w:rPr>
          <w:t>http://www.livehealthylane.org/uploads/6/9/3/5/69353783/2016-2019_lane_county_regional_chip.pdf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t xml:space="preserve"> </w:t>
      </w:r>
    </w:p>
    <w:p w14:paraId="10145EDC"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Live Healthy Lane. (2018). “Lane County Community Health Assessment 2018-2019.” </w:t>
      </w:r>
      <w:hyperlink r:id="rId129" w:history="1">
        <w:r w:rsidRPr="009A6F83">
          <w:rPr>
            <w:rStyle w:val="Hyperlink"/>
            <w:rFonts w:ascii="Calibri" w:eastAsia="Calibri" w:hAnsi="Calibri"/>
            <w:sz w:val="22"/>
            <w:szCs w:val="22"/>
            <w:lang w:val="en"/>
          </w:rPr>
          <w:t>https://www.lanecounty.org/government/county_departments/health_and_human_services/public_health/administration/public_health_reports_and_data/2019_community_health_status_assessment</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7887D178"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Live Healthy Lane. (2021). “Lane County Community Health Improvement Plan (CHP) 2021-2025.” </w:t>
      </w:r>
      <w:hyperlink r:id="rId130" w:history="1">
        <w:r w:rsidRPr="009A6F83">
          <w:rPr>
            <w:rStyle w:val="Hyperlink"/>
            <w:rFonts w:ascii="Calibri" w:eastAsia="Calibri" w:hAnsi="Calibri"/>
            <w:sz w:val="22"/>
            <w:szCs w:val="22"/>
            <w:lang w:val="en"/>
          </w:rPr>
          <w:t>https://cdn5-hosted.civiclive.com/UserFiles/Servers/Server_3585797/File/Government/County%20-Departments/Health%20and%20Human%20Services/Public%20Health/CHP/FULLCHP2021-2025.pdf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0D7BE79A" w14:textId="111DE359"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Northeast Oregon Network, Wallowa Valley Center for Wellness, Wallowa Memorial Hospital, Winding Waters Medical Clinic, Building Healthy Families, </w:t>
      </w:r>
      <w:r w:rsidR="00517AAA">
        <w:rPr>
          <w:rFonts w:ascii="Calibri" w:eastAsia="Calibri" w:hAnsi="Calibri"/>
          <w:sz w:val="22"/>
          <w:szCs w:val="22"/>
          <w:lang w:val="en"/>
        </w:rPr>
        <w:t>and</w:t>
      </w:r>
      <w:r w:rsidRPr="009A6F83">
        <w:rPr>
          <w:rFonts w:ascii="Calibri" w:eastAsia="Calibri" w:hAnsi="Calibri"/>
          <w:sz w:val="22"/>
          <w:szCs w:val="22"/>
          <w:lang w:val="en"/>
        </w:rPr>
        <w:t xml:space="preserve"> the Wallowa County Local Advisory Committee for the Eastern Oregon Coordinated Care Organization. (2016). “Wallowa County Comprehensive Needs Assessment.” </w:t>
      </w:r>
      <w:hyperlink r:id="rId131" w:history="1">
        <w:r w:rsidRPr="009A6F83">
          <w:rPr>
            <w:rStyle w:val="Hyperlink"/>
            <w:rFonts w:ascii="Calibri" w:eastAsia="Calibri" w:hAnsi="Calibri"/>
            <w:sz w:val="22"/>
            <w:szCs w:val="22"/>
            <w:lang w:val="en"/>
          </w:rPr>
          <w:t>https://www.wvcenterforwellness.org/images/PDFs/about_us/WallowaCHNA-Assessment_FinalReport.pdf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30BD607" w14:textId="77777777" w:rsidR="00310852" w:rsidRDefault="00310852">
      <w:pPr>
        <w:rPr>
          <w:rFonts w:ascii="Calibri" w:eastAsia="Calibri" w:hAnsi="Calibri"/>
          <w:sz w:val="22"/>
          <w:szCs w:val="22"/>
          <w:lang w:val="en"/>
        </w:rPr>
      </w:pPr>
      <w:r>
        <w:rPr>
          <w:rFonts w:ascii="Calibri" w:eastAsia="Calibri" w:hAnsi="Calibri"/>
          <w:sz w:val="22"/>
          <w:szCs w:val="22"/>
          <w:lang w:val="en"/>
        </w:rPr>
        <w:br w:type="page"/>
      </w:r>
    </w:p>
    <w:p w14:paraId="6570ADEC" w14:textId="2BC0EB33"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Northeast Oregon Network, Wallowa Valley Center for Wellness, Wallowa Memorial Hospital, Winding Waters Medical Clinic, Building Healthy Families, </w:t>
      </w:r>
      <w:r w:rsidR="00517AAA">
        <w:rPr>
          <w:rFonts w:ascii="Calibri" w:eastAsia="Calibri" w:hAnsi="Calibri"/>
          <w:sz w:val="22"/>
          <w:szCs w:val="22"/>
          <w:lang w:val="en"/>
        </w:rPr>
        <w:t>and</w:t>
      </w:r>
      <w:r w:rsidRPr="009A6F83">
        <w:rPr>
          <w:rFonts w:ascii="Calibri" w:eastAsia="Calibri" w:hAnsi="Calibri"/>
          <w:sz w:val="22"/>
          <w:szCs w:val="22"/>
          <w:lang w:val="en"/>
        </w:rPr>
        <w:t xml:space="preserve"> the Wallowa County Local Advisory Committee for the Eastern Oregon Coordinated Care Organization. (2019). “Wallowa County Comprehensive Needs Assessment.” </w:t>
      </w:r>
      <w:hyperlink r:id="rId132" w:history="1">
        <w:r w:rsidRPr="009A6F83">
          <w:rPr>
            <w:rStyle w:val="Hyperlink"/>
            <w:rFonts w:ascii="Calibri" w:eastAsia="Calibri" w:hAnsi="Calibri"/>
            <w:sz w:val="22"/>
            <w:szCs w:val="22"/>
            <w:lang w:val="en"/>
          </w:rPr>
          <w:t>https://www.wchcd.org/wp-content/uploads/2019/08/Wallowa-CHNA-Assessment-Final-Report-2019.pdf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2ECD32AB" w14:textId="182E7392"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Oregon Health Equity Alliance </w:t>
      </w:r>
      <w:r w:rsidR="00517AAA">
        <w:rPr>
          <w:rFonts w:ascii="Calibri" w:eastAsia="Calibri" w:hAnsi="Calibri"/>
          <w:sz w:val="22"/>
          <w:szCs w:val="22"/>
          <w:lang w:val="en"/>
        </w:rPr>
        <w:t>and</w:t>
      </w:r>
      <w:r w:rsidRPr="009A6F83">
        <w:rPr>
          <w:rFonts w:ascii="Calibri" w:eastAsia="Calibri" w:hAnsi="Calibri"/>
          <w:sz w:val="22"/>
          <w:szCs w:val="22"/>
          <w:lang w:val="en"/>
        </w:rPr>
        <w:t xml:space="preserve"> Multnomah County. (2016). “Multnomah County Community Health Improvement Plan (CHIP).” </w:t>
      </w:r>
      <w:hyperlink r:id="rId133" w:history="1">
        <w:r w:rsidRPr="009A6F83">
          <w:rPr>
            <w:rStyle w:val="Hyperlink"/>
            <w:rFonts w:ascii="Calibri" w:eastAsia="Calibri" w:hAnsi="Calibri"/>
            <w:sz w:val="22"/>
            <w:szCs w:val="22"/>
            <w:lang w:val="en"/>
          </w:rPr>
          <w:t>https://static1.squarespace.com/static/5a2075ac8a02c7cbf8664919/t/-5b6dccecb8a0458c70240ba9/1533922545864/Multnomah+County+-+OHEA+Community+Health+-Improvement+Plan+%28CHIP%29.pdf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111D8E3C" w14:textId="312C58E8"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Oregon Health Equity Alliance </w:t>
      </w:r>
      <w:r w:rsidR="00517AAA">
        <w:rPr>
          <w:rFonts w:ascii="Calibri" w:eastAsia="Calibri" w:hAnsi="Calibri"/>
          <w:sz w:val="22"/>
          <w:szCs w:val="22"/>
          <w:lang w:val="en"/>
        </w:rPr>
        <w:t>and</w:t>
      </w:r>
      <w:r w:rsidRPr="009A6F83">
        <w:rPr>
          <w:rFonts w:ascii="Calibri" w:eastAsia="Calibri" w:hAnsi="Calibri"/>
          <w:sz w:val="22"/>
          <w:szCs w:val="22"/>
          <w:lang w:val="en"/>
        </w:rPr>
        <w:t xml:space="preserve"> Multnomah County. (2017). “Community Health Improvement Plan (CHIP).” </w:t>
      </w:r>
      <w:hyperlink r:id="rId134" w:history="1">
        <w:r w:rsidRPr="009A6F83">
          <w:rPr>
            <w:rStyle w:val="Hyperlink"/>
            <w:rFonts w:ascii="Calibri" w:eastAsia="Calibri" w:hAnsi="Calibri"/>
            <w:sz w:val="22"/>
            <w:szCs w:val="22"/>
            <w:lang w:val="en"/>
          </w:rPr>
          <w:t>http://multnomah.granicus.com/MetaViewer.php?view_id=3&amp;clip_id=1483&amp;meta_id=100568</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35E64B8B" w14:textId="09DDC001"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Oregon Health Equity Alliance </w:t>
      </w:r>
      <w:r w:rsidR="00517AAA">
        <w:rPr>
          <w:rFonts w:ascii="Calibri" w:eastAsia="Calibri" w:hAnsi="Calibri"/>
          <w:sz w:val="22"/>
          <w:szCs w:val="22"/>
          <w:lang w:val="en"/>
        </w:rPr>
        <w:t>and</w:t>
      </w:r>
      <w:r w:rsidRPr="009A6F83">
        <w:rPr>
          <w:rFonts w:ascii="Calibri" w:eastAsia="Calibri" w:hAnsi="Calibri"/>
          <w:sz w:val="22"/>
          <w:szCs w:val="22"/>
          <w:lang w:val="en"/>
        </w:rPr>
        <w:t xml:space="preserve"> Multnomah County. (2019). “Community Powered Change.” </w:t>
      </w:r>
      <w:hyperlink r:id="rId135" w:history="1">
        <w:r w:rsidRPr="009A6F83">
          <w:rPr>
            <w:rStyle w:val="Hyperlink"/>
            <w:rFonts w:ascii="Calibri" w:eastAsia="Calibri" w:hAnsi="Calibri"/>
            <w:sz w:val="22"/>
            <w:szCs w:val="22"/>
            <w:lang w:val="en"/>
          </w:rPr>
          <w:t>https://static1.squarespace.com/static/59fb987cbff200804ad33714/t/5dc1ba05b706e54739a3dd1a/1572977207565/CHIP+Summary+Report.pdf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5EECF2BA" w14:textId="0B880EB0"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PRC, Wallowa Memorial Hospital and Medical Clinics, Building Health Families, Wallowa Valley Center for Wellness, Winding Waters Medical Clinic, </w:t>
      </w:r>
      <w:r w:rsidR="00517AAA">
        <w:rPr>
          <w:rFonts w:ascii="Calibri" w:eastAsia="Calibri" w:hAnsi="Calibri"/>
          <w:sz w:val="22"/>
          <w:szCs w:val="22"/>
          <w:lang w:val="en"/>
        </w:rPr>
        <w:t>and</w:t>
      </w:r>
      <w:r w:rsidRPr="009A6F83">
        <w:rPr>
          <w:rFonts w:ascii="Calibri" w:eastAsia="Calibri" w:hAnsi="Calibri"/>
          <w:sz w:val="22"/>
          <w:szCs w:val="22"/>
          <w:lang w:val="en"/>
        </w:rPr>
        <w:t xml:space="preserve"> Northeast Oregon Network. (2022). “2022 Community Health Needs Assessment: Wallowa County, Oregon.” </w:t>
      </w:r>
      <w:hyperlink r:id="rId136" w:history="1">
        <w:r w:rsidRPr="009A6F83">
          <w:rPr>
            <w:rStyle w:val="Hyperlink"/>
            <w:rFonts w:ascii="Calibri" w:eastAsia="Calibri" w:hAnsi="Calibri"/>
            <w:sz w:val="22"/>
            <w:szCs w:val="22"/>
            <w:lang w:val="en"/>
          </w:rPr>
          <w:t>https://windingwaters.org/wp-content/uploads/2022/06/2022-PRC-CHNA-Report-Wallowa-County-OR-1-1.pdf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0E0B2B87"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Tuality Healthcare. (2016). “2016 Community Health Needs Assessment: Washington County, Oregon.” </w:t>
      </w:r>
      <w:hyperlink r:id="rId137" w:history="1">
        <w:r w:rsidRPr="009A6F83">
          <w:rPr>
            <w:rStyle w:val="Hyperlink"/>
            <w:rFonts w:ascii="Calibri" w:eastAsia="Calibri" w:hAnsi="Calibri"/>
            <w:sz w:val="22"/>
            <w:szCs w:val="22"/>
            <w:lang w:val="en"/>
          </w:rPr>
          <w:t>https://tuality.org/wp-content/uploads/THC_21486330_Community_Health_Needs_Assessment-Report.pdf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5D919CE1"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Yamhill Community Care. (2019). “2019-2024 Community Health Improvement Plan.” </w:t>
      </w:r>
      <w:hyperlink r:id="rId138" w:history="1">
        <w:r w:rsidRPr="009A6F83">
          <w:rPr>
            <w:rStyle w:val="Hyperlink"/>
            <w:rFonts w:ascii="Calibri" w:eastAsia="Calibri" w:hAnsi="Calibri"/>
            <w:sz w:val="22"/>
            <w:szCs w:val="22"/>
            <w:lang w:val="en"/>
          </w:rPr>
          <w:t>https://yamhillcco.org/wp-content/uploads/YCCO-CHIP-2019-2024.pdf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363C3E7A" w14:textId="77777777" w:rsidR="00ED2F5A" w:rsidRPr="009A6F83" w:rsidRDefault="00ED2F5A" w:rsidP="00ED2F5A">
      <w:pPr>
        <w:rPr>
          <w:rFonts w:ascii="Calibri" w:eastAsia="Calibri" w:hAnsi="Calibri"/>
          <w:sz w:val="22"/>
          <w:szCs w:val="22"/>
          <w:lang w:val="en"/>
        </w:rPr>
      </w:pPr>
      <w:r w:rsidRPr="009A6F83">
        <w:rPr>
          <w:rFonts w:ascii="Calibri" w:eastAsia="Calibri" w:hAnsi="Calibri"/>
          <w:sz w:val="22"/>
          <w:szCs w:val="22"/>
          <w:lang w:val="en"/>
        </w:rPr>
        <w:t xml:space="preserve">Yamhill County Public Health. (2017). “Community Health Assessment of Yamhill County.” </w:t>
      </w:r>
      <w:hyperlink r:id="rId139" w:history="1">
        <w:r w:rsidRPr="009A6F83">
          <w:rPr>
            <w:rStyle w:val="Hyperlink"/>
            <w:rFonts w:ascii="Calibri" w:eastAsia="Calibri" w:hAnsi="Calibri"/>
            <w:sz w:val="22"/>
            <w:szCs w:val="22"/>
            <w:lang w:val="en"/>
          </w:rPr>
          <w:t>https://yamhillcco.org/wp-content/uploads/YCPH-CHA_reduced-size.pdf</w:t>
        </w:r>
      </w:hyperlink>
      <w:r w:rsidRPr="009A6F83">
        <w:rPr>
          <w:rFonts w:ascii="Calibri" w:eastAsia="Calibri" w:hAnsi="Calibri"/>
          <w:sz w:val="22"/>
          <w:szCs w:val="22"/>
          <w:lang w:val="en"/>
        </w:rPr>
        <w:t xml:space="preserve"> </w:t>
      </w:r>
      <w:r w:rsidRPr="009A6F83">
        <w:rPr>
          <w:rFonts w:ascii="Calibri" w:eastAsia="Calibri" w:hAnsi="Calibri"/>
          <w:sz w:val="22"/>
          <w:szCs w:val="22"/>
          <w:lang w:val="en"/>
        </w:rPr>
        <w:cr/>
      </w:r>
    </w:p>
    <w:p w14:paraId="3184BD04" w14:textId="77777777" w:rsidR="00A460F8" w:rsidRDefault="00A460F8" w:rsidP="00A460F8"/>
    <w:p w14:paraId="4C541F97" w14:textId="77777777" w:rsidR="00A460F8" w:rsidRDefault="00A460F8" w:rsidP="00A460F8">
      <w:pPr>
        <w:rPr>
          <w:rFonts w:cstheme="minorHAnsi"/>
          <w:sz w:val="22"/>
          <w:szCs w:val="22"/>
        </w:rPr>
      </w:pPr>
    </w:p>
    <w:p w14:paraId="2C90187F" w14:textId="77777777" w:rsidR="00A460F8" w:rsidRPr="00A460F8" w:rsidRDefault="00A460F8" w:rsidP="00A460F8"/>
    <w:p w14:paraId="482D4A9D" w14:textId="4B68C56D" w:rsidR="001D23F4" w:rsidRDefault="001D23F4">
      <w:r>
        <w:br w:type="page"/>
      </w:r>
    </w:p>
    <w:p w14:paraId="5D333D78" w14:textId="6401CDC1" w:rsidR="00DE38DB" w:rsidRPr="00000D4B" w:rsidRDefault="00DE38DB" w:rsidP="001D23F4">
      <w:pPr>
        <w:pStyle w:val="Heading2"/>
        <w:jc w:val="center"/>
        <w:rPr>
          <w:rFonts w:asciiTheme="minorHAnsi" w:hAnsiTheme="minorHAnsi" w:cstheme="minorHAnsi"/>
          <w:b/>
          <w:bCs/>
          <w:color w:val="6A7F0F"/>
        </w:rPr>
      </w:pPr>
      <w:bookmarkStart w:id="55" w:name="_Appendix_2:_Maps"/>
      <w:bookmarkStart w:id="56" w:name="_Toc126068193"/>
      <w:bookmarkEnd w:id="55"/>
      <w:r w:rsidRPr="00000D4B">
        <w:rPr>
          <w:rFonts w:asciiTheme="minorHAnsi" w:hAnsiTheme="minorHAnsi" w:cstheme="minorHAnsi"/>
          <w:b/>
          <w:bCs/>
          <w:color w:val="6A7F0F"/>
        </w:rPr>
        <w:t>Appendix 2</w:t>
      </w:r>
      <w:r w:rsidR="001D23F4" w:rsidRPr="00000D4B">
        <w:rPr>
          <w:rFonts w:asciiTheme="minorHAnsi" w:hAnsiTheme="minorHAnsi" w:cstheme="minorHAnsi"/>
          <w:b/>
          <w:bCs/>
          <w:color w:val="6A7F0F"/>
        </w:rPr>
        <w:t>: Maps Illustrating Oregon’s Population by Race/Ethnicity</w:t>
      </w:r>
      <w:bookmarkEnd w:id="56"/>
    </w:p>
    <w:p w14:paraId="6767A962" w14:textId="77777777" w:rsidR="00A460F8" w:rsidRPr="00214383" w:rsidRDefault="00A460F8" w:rsidP="00A460F8">
      <w:pPr>
        <w:jc w:val="center"/>
        <w:rPr>
          <w:rFonts w:cstheme="minorHAnsi"/>
          <w:b/>
          <w:bCs/>
          <w:sz w:val="22"/>
          <w:szCs w:val="22"/>
        </w:rPr>
      </w:pPr>
    </w:p>
    <w:p w14:paraId="5CADF0F2" w14:textId="77777777" w:rsidR="00ED2F5A" w:rsidRPr="00214383" w:rsidRDefault="00ED2F5A" w:rsidP="00ED2F5A">
      <w:pPr>
        <w:rPr>
          <w:rFonts w:ascii="Calibri" w:hAnsi="Calibri" w:cs="Calibri"/>
          <w:color w:val="000000"/>
          <w:sz w:val="22"/>
          <w:szCs w:val="22"/>
          <w:shd w:val="clear" w:color="auto" w:fill="FFFFFF"/>
        </w:rPr>
      </w:pPr>
      <w:r w:rsidRPr="00214383">
        <w:rPr>
          <w:rFonts w:ascii="Calibri" w:hAnsi="Calibri" w:cs="Calibri"/>
          <w:color w:val="000000"/>
          <w:sz w:val="22"/>
          <w:szCs w:val="22"/>
          <w:shd w:val="clear" w:color="auto" w:fill="FFFFFF"/>
        </w:rPr>
        <w:t>Mapping disaggregated race and ethnicity data for the state of Oregon from the 2020 5-year American Community Survey (ACS) provides insight into the geographic location of CCBHCs relative to the historically and currently underserved racial and ethnic groups included in the analysis of CCBHC service utilization, user cost, domain performance, and self-reported outcomes</w:t>
      </w:r>
      <w:r>
        <w:rPr>
          <w:rFonts w:ascii="Calibri" w:hAnsi="Calibri" w:cs="Calibri"/>
          <w:color w:val="000000"/>
          <w:sz w:val="22"/>
          <w:szCs w:val="22"/>
          <w:shd w:val="clear" w:color="auto" w:fill="FFFFFF"/>
        </w:rPr>
        <w:t xml:space="preserve"> (U.S. Census Bureau, 2022)</w:t>
      </w:r>
      <w:r w:rsidRPr="00214383">
        <w:rPr>
          <w:rFonts w:ascii="Calibri" w:hAnsi="Calibri" w:cs="Calibri"/>
          <w:color w:val="000000"/>
          <w:sz w:val="22"/>
          <w:szCs w:val="22"/>
          <w:shd w:val="clear" w:color="auto" w:fill="FFFFFF"/>
        </w:rPr>
        <w:t>. The following figures illustrate clinic locations and percent</w:t>
      </w:r>
      <w:r>
        <w:rPr>
          <w:rFonts w:ascii="Calibri" w:hAnsi="Calibri" w:cs="Calibri"/>
          <w:color w:val="000000"/>
          <w:sz w:val="22"/>
          <w:szCs w:val="22"/>
          <w:shd w:val="clear" w:color="auto" w:fill="FFFFFF"/>
        </w:rPr>
        <w:t>ages</w:t>
      </w:r>
      <w:r w:rsidRPr="00214383">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for</w:t>
      </w:r>
      <w:r w:rsidRPr="00214383">
        <w:rPr>
          <w:rFonts w:ascii="Calibri" w:hAnsi="Calibri" w:cs="Calibri"/>
          <w:color w:val="000000"/>
          <w:sz w:val="22"/>
          <w:szCs w:val="22"/>
          <w:shd w:val="clear" w:color="auto" w:fill="FFFFFF"/>
        </w:rPr>
        <w:t xml:space="preserve"> Black/African American, Asian,</w:t>
      </w:r>
      <w:r>
        <w:rPr>
          <w:rFonts w:ascii="Calibri" w:hAnsi="Calibri" w:cs="Calibri"/>
          <w:color w:val="000000"/>
          <w:sz w:val="22"/>
          <w:szCs w:val="22"/>
          <w:shd w:val="clear" w:color="auto" w:fill="FFFFFF"/>
        </w:rPr>
        <w:t xml:space="preserve"> </w:t>
      </w:r>
      <w:r w:rsidRPr="00214383">
        <w:rPr>
          <w:rFonts w:ascii="Calibri" w:hAnsi="Calibri" w:cs="Calibri"/>
          <w:color w:val="000000"/>
          <w:sz w:val="22"/>
          <w:szCs w:val="22"/>
          <w:shd w:val="clear" w:color="auto" w:fill="FFFFFF"/>
        </w:rPr>
        <w:t>Hispanic/Latin</w:t>
      </w:r>
      <w:r>
        <w:rPr>
          <w:rFonts w:ascii="Calibri" w:hAnsi="Calibri" w:cs="Calibri"/>
          <w:color w:val="000000"/>
          <w:sz w:val="22"/>
          <w:szCs w:val="22"/>
          <w:shd w:val="clear" w:color="auto" w:fill="FFFFFF"/>
        </w:rPr>
        <w:t>o/a/</w:t>
      </w:r>
      <w:r w:rsidRPr="00214383">
        <w:rPr>
          <w:rFonts w:ascii="Calibri" w:hAnsi="Calibri" w:cs="Calibri"/>
          <w:color w:val="000000"/>
          <w:sz w:val="22"/>
          <w:szCs w:val="22"/>
          <w:shd w:val="clear" w:color="auto" w:fill="FFFFFF"/>
        </w:rPr>
        <w:t xml:space="preserve">x, </w:t>
      </w:r>
      <w:r>
        <w:rPr>
          <w:rFonts w:ascii="Calibri" w:hAnsi="Calibri" w:cs="Calibri"/>
          <w:color w:val="000000"/>
          <w:sz w:val="22"/>
          <w:szCs w:val="22"/>
          <w:shd w:val="clear" w:color="auto" w:fill="FFFFFF"/>
        </w:rPr>
        <w:t>American Indian/Alaskan Native</w:t>
      </w:r>
      <w:r w:rsidRPr="00214383">
        <w:rPr>
          <w:rFonts w:ascii="Calibri" w:hAnsi="Calibri" w:cs="Calibri"/>
          <w:color w:val="000000"/>
          <w:sz w:val="22"/>
          <w:szCs w:val="22"/>
          <w:shd w:val="clear" w:color="auto" w:fill="FFFFFF"/>
        </w:rPr>
        <w:t>, and other races/ethnicities.</w:t>
      </w:r>
      <w:r>
        <w:rPr>
          <w:rFonts w:ascii="Calibri" w:hAnsi="Calibri" w:cs="Calibri"/>
          <w:color w:val="000000"/>
          <w:sz w:val="22"/>
          <w:szCs w:val="22"/>
          <w:shd w:val="clear" w:color="auto" w:fill="FFFFFF"/>
        </w:rPr>
        <w:t xml:space="preserve"> The map for all races/ethnicities (non-White) presented in the body of the report is replicated here for reference.</w:t>
      </w:r>
    </w:p>
    <w:p w14:paraId="5BEA7C36" w14:textId="3B1822D2" w:rsidR="00A460F8" w:rsidRDefault="00A460F8" w:rsidP="00A460F8">
      <w:pPr>
        <w:rPr>
          <w:rFonts w:cstheme="minorHAnsi"/>
          <w:b/>
          <w:bCs/>
          <w:sz w:val="22"/>
          <w:szCs w:val="22"/>
        </w:rPr>
      </w:pPr>
      <w:r>
        <w:rPr>
          <w:noProof/>
        </w:rPr>
        <w:drawing>
          <wp:anchor distT="0" distB="0" distL="114300" distR="114300" simplePos="0" relativeHeight="251669504" behindDoc="1" locked="0" layoutInCell="1" allowOverlap="1" wp14:anchorId="6F306B45" wp14:editId="395C505A">
            <wp:simplePos x="0" y="0"/>
            <wp:positionH relativeFrom="column">
              <wp:posOffset>-174</wp:posOffset>
            </wp:positionH>
            <wp:positionV relativeFrom="paragraph">
              <wp:posOffset>224495</wp:posOffset>
            </wp:positionV>
            <wp:extent cx="5882005" cy="4091305"/>
            <wp:effectExtent l="12700" t="12700" r="10795" b="10795"/>
            <wp:wrapTight wrapText="bothSides">
              <wp:wrapPolygon edited="0">
                <wp:start x="-47" y="-67"/>
                <wp:lineTo x="-47" y="21590"/>
                <wp:lineTo x="21593" y="21590"/>
                <wp:lineTo x="21593" y="-67"/>
                <wp:lineTo x="-47" y="-67"/>
              </wp:wrapPolygon>
            </wp:wrapTight>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rotWithShape="1">
                    <a:blip r:embed="rId140" cstate="print">
                      <a:extLst>
                        <a:ext uri="{28A0092B-C50C-407E-A947-70E740481C1C}">
                          <a14:useLocalDpi xmlns:a14="http://schemas.microsoft.com/office/drawing/2010/main" val="0"/>
                        </a:ext>
                      </a:extLst>
                    </a:blip>
                    <a:srcRect l="253" r="-1" b="377"/>
                    <a:stretch/>
                  </pic:blipFill>
                  <pic:spPr bwMode="auto">
                    <a:xfrm>
                      <a:off x="0" y="0"/>
                      <a:ext cx="5882005" cy="40913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BFC2F" w14:textId="148E8885" w:rsidR="00A460F8" w:rsidRPr="00D53ECB" w:rsidRDefault="00A460F8" w:rsidP="00A460F8">
      <w:pPr>
        <w:rPr>
          <w:rFonts w:cstheme="minorHAnsi"/>
          <w:b/>
          <w:bCs/>
          <w:sz w:val="22"/>
          <w:szCs w:val="22"/>
        </w:rPr>
      </w:pPr>
      <w:r w:rsidRPr="00D53ECB">
        <w:rPr>
          <w:rFonts w:cstheme="minorHAnsi"/>
          <w:b/>
          <w:bCs/>
          <w:sz w:val="22"/>
          <w:szCs w:val="22"/>
        </w:rPr>
        <w:br w:type="page"/>
      </w:r>
    </w:p>
    <w:p w14:paraId="107FD3FA" w14:textId="57F0E184" w:rsidR="00DE38DB" w:rsidRPr="00000D4B" w:rsidRDefault="00DE38DB" w:rsidP="001D23F4">
      <w:pPr>
        <w:pStyle w:val="Heading2"/>
        <w:jc w:val="center"/>
        <w:rPr>
          <w:rFonts w:asciiTheme="minorHAnsi" w:hAnsiTheme="minorHAnsi" w:cstheme="minorHAnsi"/>
          <w:b/>
          <w:bCs/>
          <w:color w:val="6A7F0F"/>
        </w:rPr>
      </w:pPr>
      <w:bookmarkStart w:id="57" w:name="_Appendix_3:_Detailed"/>
      <w:bookmarkStart w:id="58" w:name="_Toc126068194"/>
      <w:bookmarkEnd w:id="57"/>
      <w:r w:rsidRPr="00000D4B">
        <w:rPr>
          <w:rFonts w:asciiTheme="minorHAnsi" w:hAnsiTheme="minorHAnsi" w:cstheme="minorHAnsi"/>
          <w:b/>
          <w:bCs/>
          <w:color w:val="6A7F0F"/>
        </w:rPr>
        <w:t>Appendix 3</w:t>
      </w:r>
      <w:r w:rsidR="001D23F4" w:rsidRPr="00000D4B">
        <w:rPr>
          <w:rFonts w:asciiTheme="minorHAnsi" w:hAnsiTheme="minorHAnsi" w:cstheme="minorHAnsi"/>
          <w:b/>
          <w:bCs/>
          <w:color w:val="6A7F0F"/>
        </w:rPr>
        <w:t>: Detailed Methodology Overview</w:t>
      </w:r>
      <w:bookmarkEnd w:id="58"/>
      <w:r w:rsidR="001D23F4" w:rsidRPr="00000D4B">
        <w:rPr>
          <w:rFonts w:asciiTheme="minorHAnsi" w:hAnsiTheme="minorHAnsi" w:cstheme="minorHAnsi"/>
          <w:b/>
          <w:bCs/>
          <w:color w:val="6A7F0F"/>
        </w:rPr>
        <w:t xml:space="preserve"> </w:t>
      </w:r>
    </w:p>
    <w:p w14:paraId="0B233292" w14:textId="77777777" w:rsidR="00A460F8" w:rsidRPr="00EC4ADE" w:rsidRDefault="00A460F8" w:rsidP="00A460F8">
      <w:pPr>
        <w:jc w:val="center"/>
        <w:rPr>
          <w:rFonts w:cstheme="minorHAnsi"/>
          <w:b/>
          <w:bCs/>
          <w:sz w:val="22"/>
          <w:szCs w:val="22"/>
        </w:rPr>
      </w:pPr>
    </w:p>
    <w:p w14:paraId="635703C0" w14:textId="77777777" w:rsidR="00000D4B" w:rsidRDefault="0096520E" w:rsidP="00000D4B">
      <w:pPr>
        <w:rPr>
          <w:rFonts w:cstheme="minorHAnsi"/>
          <w:sz w:val="22"/>
          <w:szCs w:val="22"/>
        </w:rPr>
      </w:pPr>
      <w:r w:rsidRPr="00000D4B">
        <w:rPr>
          <w:rFonts w:cstheme="minorHAnsi"/>
          <w:bCs/>
          <w:iCs/>
          <w:sz w:val="22"/>
          <w:szCs w:val="22"/>
        </w:rPr>
        <w:t xml:space="preserve">The Oregon Health Authority (OHA) Office of Health Policy and Analytics contracted with a team from the OHSU-PSU School of Public Health, led by Professors Neal Wallace and Sherril Gelmon, in April of 2022 to conduct an evaluation of the Oregon Certified Community Behavioral Health Clinic (CCBHC) program. </w:t>
      </w:r>
      <w:r w:rsidRPr="00000D4B">
        <w:rPr>
          <w:rFonts w:cstheme="minorHAnsi"/>
          <w:sz w:val="22"/>
          <w:szCs w:val="22"/>
        </w:rPr>
        <w:t xml:space="preserve">The evaluation was designed to address the four points in the 2021 Oregon legislative request retrospectively (for example, did the CCBHC demonstration sites meet outcome expectations) and prospectively (for example, is the CCBHC model sustainable in Oregon) using a mixed methods approach. The scope of work had four aims: </w:t>
      </w:r>
    </w:p>
    <w:p w14:paraId="5FD52754" w14:textId="0C0D80B3" w:rsidR="0096520E" w:rsidRPr="00000D4B" w:rsidRDefault="0096520E">
      <w:pPr>
        <w:pStyle w:val="ListParagraph"/>
        <w:numPr>
          <w:ilvl w:val="0"/>
          <w:numId w:val="34"/>
        </w:numPr>
        <w:rPr>
          <w:rFonts w:cstheme="minorHAnsi"/>
          <w:iCs/>
          <w:sz w:val="22"/>
          <w:szCs w:val="22"/>
        </w:rPr>
      </w:pPr>
      <w:r w:rsidRPr="00000D4B">
        <w:rPr>
          <w:rFonts w:cstheme="minorHAnsi"/>
          <w:b/>
          <w:bCs/>
          <w:iCs/>
          <w:color w:val="6A7F0F"/>
          <w:sz w:val="22"/>
          <w:szCs w:val="22"/>
        </w:rPr>
        <w:t>Aim 1:</w:t>
      </w:r>
      <w:r w:rsidRPr="00000D4B">
        <w:rPr>
          <w:rFonts w:cstheme="minorHAnsi"/>
          <w:iCs/>
          <w:color w:val="6A7F0F"/>
          <w:sz w:val="22"/>
          <w:szCs w:val="22"/>
        </w:rPr>
        <w:t xml:space="preserve"> </w:t>
      </w:r>
      <w:r w:rsidRPr="00000D4B">
        <w:rPr>
          <w:rFonts w:cstheme="minorHAnsi"/>
          <w:iCs/>
          <w:sz w:val="22"/>
          <w:szCs w:val="22"/>
        </w:rPr>
        <w:t>Identify service user and community-based organization (CBO) perspectives on the CCBHC model’s impact on equitable service delivery and community health outcomes.</w:t>
      </w:r>
    </w:p>
    <w:p w14:paraId="0F529A29" w14:textId="77777777" w:rsidR="0096520E" w:rsidRPr="007A1630" w:rsidRDefault="0096520E">
      <w:pPr>
        <w:pStyle w:val="ListParagraph"/>
        <w:numPr>
          <w:ilvl w:val="0"/>
          <w:numId w:val="32"/>
        </w:numPr>
        <w:rPr>
          <w:rFonts w:cstheme="minorHAnsi"/>
          <w:sz w:val="22"/>
          <w:szCs w:val="22"/>
        </w:rPr>
      </w:pPr>
      <w:r w:rsidRPr="00000D4B">
        <w:rPr>
          <w:rFonts w:cstheme="minorHAnsi"/>
          <w:b/>
          <w:bCs/>
          <w:iCs/>
          <w:color w:val="6A7F0F"/>
          <w:sz w:val="22"/>
          <w:szCs w:val="22"/>
        </w:rPr>
        <w:t>Aim 2</w:t>
      </w:r>
      <w:r w:rsidRPr="00A35AAA">
        <w:rPr>
          <w:rFonts w:cstheme="minorHAnsi"/>
          <w:b/>
          <w:bCs/>
          <w:color w:val="6A7F0F"/>
          <w:sz w:val="22"/>
          <w:szCs w:val="22"/>
        </w:rPr>
        <w:t>:</w:t>
      </w:r>
      <w:r w:rsidRPr="00A35AAA">
        <w:rPr>
          <w:rFonts w:cstheme="minorHAnsi"/>
          <w:color w:val="6A7F0F"/>
          <w:sz w:val="22"/>
          <w:szCs w:val="22"/>
        </w:rPr>
        <w:t xml:space="preserve"> </w:t>
      </w:r>
      <w:r w:rsidRPr="007A1630">
        <w:rPr>
          <w:rFonts w:cstheme="minorHAnsi"/>
          <w:sz w:val="22"/>
          <w:szCs w:val="22"/>
        </w:rPr>
        <w:t xml:space="preserve">Identify the CCBHC model’s impact on service utilization, expenditures and other treatment outcomes from available claims and other datasets. </w:t>
      </w:r>
    </w:p>
    <w:p w14:paraId="6EF0C5CC" w14:textId="77777777" w:rsidR="0096520E" w:rsidRPr="007A1630" w:rsidRDefault="0096520E">
      <w:pPr>
        <w:pStyle w:val="ListParagraph"/>
        <w:numPr>
          <w:ilvl w:val="0"/>
          <w:numId w:val="32"/>
        </w:numPr>
        <w:rPr>
          <w:rFonts w:cstheme="minorHAnsi"/>
          <w:i/>
          <w:sz w:val="22"/>
          <w:szCs w:val="22"/>
        </w:rPr>
      </w:pPr>
      <w:r w:rsidRPr="00000D4B">
        <w:rPr>
          <w:rFonts w:cstheme="minorHAnsi"/>
          <w:b/>
          <w:bCs/>
          <w:iCs/>
          <w:color w:val="6A7F0F"/>
          <w:sz w:val="22"/>
          <w:szCs w:val="22"/>
        </w:rPr>
        <w:t>Aim 3</w:t>
      </w:r>
      <w:r w:rsidRPr="00A35AAA">
        <w:rPr>
          <w:rFonts w:cstheme="minorHAnsi"/>
          <w:b/>
          <w:bCs/>
          <w:i/>
          <w:color w:val="6A7F0F"/>
          <w:sz w:val="22"/>
          <w:szCs w:val="22"/>
        </w:rPr>
        <w:t>:</w:t>
      </w:r>
      <w:r w:rsidRPr="00A35AAA">
        <w:rPr>
          <w:rFonts w:cstheme="minorHAnsi"/>
          <w:i/>
          <w:color w:val="6A7F0F"/>
          <w:sz w:val="22"/>
          <w:szCs w:val="22"/>
        </w:rPr>
        <w:t xml:space="preserve"> </w:t>
      </w:r>
      <w:r w:rsidRPr="007A1630">
        <w:rPr>
          <w:rFonts w:cstheme="minorHAnsi"/>
          <w:sz w:val="22"/>
          <w:szCs w:val="22"/>
        </w:rPr>
        <w:t>Identify the factors or conditions that facilitated or impeded the implementation of the CCBHCs.</w:t>
      </w:r>
    </w:p>
    <w:p w14:paraId="25E11813" w14:textId="77777777" w:rsidR="0096520E" w:rsidRPr="007A1630" w:rsidRDefault="0096520E">
      <w:pPr>
        <w:pStyle w:val="ListParagraph"/>
        <w:numPr>
          <w:ilvl w:val="0"/>
          <w:numId w:val="32"/>
        </w:numPr>
        <w:rPr>
          <w:rFonts w:cstheme="minorHAnsi"/>
          <w:sz w:val="22"/>
          <w:szCs w:val="22"/>
        </w:rPr>
      </w:pPr>
      <w:r w:rsidRPr="00000D4B">
        <w:rPr>
          <w:rFonts w:cstheme="minorHAnsi"/>
          <w:b/>
          <w:bCs/>
          <w:iCs/>
          <w:color w:val="6A7F0F"/>
          <w:sz w:val="22"/>
          <w:szCs w:val="22"/>
        </w:rPr>
        <w:t>Aim 4</w:t>
      </w:r>
      <w:r w:rsidRPr="00A35AAA">
        <w:rPr>
          <w:rFonts w:cstheme="minorHAnsi"/>
          <w:b/>
          <w:bCs/>
          <w:color w:val="6A7F0F"/>
          <w:sz w:val="22"/>
          <w:szCs w:val="22"/>
        </w:rPr>
        <w:t>:</w:t>
      </w:r>
      <w:r w:rsidRPr="00A35AAA">
        <w:rPr>
          <w:rFonts w:cstheme="minorHAnsi"/>
          <w:color w:val="6A7F0F"/>
          <w:sz w:val="22"/>
          <w:szCs w:val="22"/>
        </w:rPr>
        <w:t xml:space="preserve"> </w:t>
      </w:r>
      <w:r w:rsidRPr="007A1630">
        <w:rPr>
          <w:rFonts w:cstheme="minorHAnsi"/>
          <w:sz w:val="22"/>
          <w:szCs w:val="22"/>
        </w:rPr>
        <w:t>Identify the factors or conditions that help or hinder sustained and expanded CCBHC implementation.</w:t>
      </w:r>
    </w:p>
    <w:p w14:paraId="47655935" w14:textId="77777777" w:rsidR="0096520E" w:rsidRPr="007A1630" w:rsidRDefault="0096520E" w:rsidP="0096520E">
      <w:pPr>
        <w:rPr>
          <w:rFonts w:cstheme="minorHAnsi"/>
          <w:sz w:val="22"/>
          <w:szCs w:val="22"/>
        </w:rPr>
      </w:pPr>
    </w:p>
    <w:p w14:paraId="71567A81" w14:textId="77777777" w:rsidR="009B693F" w:rsidRDefault="0096520E" w:rsidP="00000D4B">
      <w:pPr>
        <w:rPr>
          <w:rFonts w:cstheme="minorHAnsi"/>
          <w:sz w:val="22"/>
          <w:szCs w:val="22"/>
        </w:rPr>
      </w:pPr>
      <w:r w:rsidRPr="00000D4B">
        <w:rPr>
          <w:rFonts w:cstheme="minorHAnsi"/>
          <w:sz w:val="22"/>
          <w:szCs w:val="22"/>
        </w:rPr>
        <w:t>In addition to Professors Wallace and Gelmon, the other members of the research team include:</w:t>
      </w:r>
    </w:p>
    <w:p w14:paraId="51A8D7A3" w14:textId="6C7804F8" w:rsidR="0096520E" w:rsidRPr="009B693F" w:rsidRDefault="0096520E" w:rsidP="009B693F">
      <w:pPr>
        <w:pStyle w:val="ListParagraph"/>
        <w:numPr>
          <w:ilvl w:val="0"/>
          <w:numId w:val="45"/>
        </w:numPr>
        <w:rPr>
          <w:rFonts w:cstheme="minorHAnsi"/>
          <w:sz w:val="22"/>
          <w:szCs w:val="22"/>
        </w:rPr>
      </w:pPr>
      <w:r w:rsidRPr="009B693F">
        <w:rPr>
          <w:rFonts w:cstheme="minorHAnsi"/>
          <w:sz w:val="22"/>
          <w:szCs w:val="22"/>
        </w:rPr>
        <w:t>Robin Baker, Assistant Professor, OHSU-PSU School of Public Health</w:t>
      </w:r>
    </w:p>
    <w:p w14:paraId="556571DD" w14:textId="5EF68A8D" w:rsidR="0096520E" w:rsidRPr="007A1630" w:rsidRDefault="0096520E">
      <w:pPr>
        <w:pStyle w:val="ListParagraph"/>
        <w:numPr>
          <w:ilvl w:val="0"/>
          <w:numId w:val="33"/>
        </w:numPr>
        <w:rPr>
          <w:rFonts w:cstheme="minorHAnsi"/>
          <w:sz w:val="22"/>
          <w:szCs w:val="22"/>
        </w:rPr>
      </w:pPr>
      <w:r w:rsidRPr="007A1630">
        <w:rPr>
          <w:rFonts w:cstheme="minorHAnsi"/>
          <w:sz w:val="22"/>
          <w:szCs w:val="22"/>
        </w:rPr>
        <w:t xml:space="preserve">Alexandra Kihn-Stang, </w:t>
      </w:r>
      <w:r w:rsidR="009B693F">
        <w:rPr>
          <w:rFonts w:cstheme="minorHAnsi"/>
          <w:sz w:val="22"/>
          <w:szCs w:val="22"/>
        </w:rPr>
        <w:t>Senior Research Assistant</w:t>
      </w:r>
      <w:r w:rsidRPr="007A1630">
        <w:rPr>
          <w:rFonts w:cstheme="minorHAnsi"/>
          <w:sz w:val="22"/>
          <w:szCs w:val="22"/>
        </w:rPr>
        <w:t>, OHSU-PSU School of Public Health</w:t>
      </w:r>
    </w:p>
    <w:p w14:paraId="2FCE0979" w14:textId="0CE08C24" w:rsidR="0096520E" w:rsidRPr="007A1630" w:rsidRDefault="0096520E">
      <w:pPr>
        <w:pStyle w:val="ListParagraph"/>
        <w:numPr>
          <w:ilvl w:val="0"/>
          <w:numId w:val="33"/>
        </w:numPr>
        <w:rPr>
          <w:rFonts w:cstheme="minorHAnsi"/>
          <w:sz w:val="22"/>
          <w:szCs w:val="22"/>
        </w:rPr>
      </w:pPr>
      <w:r w:rsidRPr="007A1630">
        <w:rPr>
          <w:rFonts w:cstheme="minorHAnsi"/>
          <w:sz w:val="22"/>
          <w:szCs w:val="22"/>
        </w:rPr>
        <w:t xml:space="preserve">Annette Crawford, </w:t>
      </w:r>
      <w:r w:rsidR="009B693F">
        <w:rPr>
          <w:rFonts w:cstheme="minorHAnsi"/>
          <w:sz w:val="22"/>
          <w:szCs w:val="22"/>
        </w:rPr>
        <w:t>Research Assistant</w:t>
      </w:r>
      <w:r w:rsidRPr="007A1630">
        <w:rPr>
          <w:rFonts w:cstheme="minorHAnsi"/>
          <w:sz w:val="22"/>
          <w:szCs w:val="22"/>
        </w:rPr>
        <w:t>, OHSU-PSU School of Public Health</w:t>
      </w:r>
    </w:p>
    <w:p w14:paraId="0E4E26CD" w14:textId="7AC8DC68" w:rsidR="0096520E" w:rsidRPr="007A1630" w:rsidRDefault="0096520E">
      <w:pPr>
        <w:pStyle w:val="ListParagraph"/>
        <w:numPr>
          <w:ilvl w:val="0"/>
          <w:numId w:val="33"/>
        </w:numPr>
        <w:rPr>
          <w:rFonts w:cstheme="minorHAnsi"/>
          <w:sz w:val="22"/>
          <w:szCs w:val="22"/>
        </w:rPr>
      </w:pPr>
      <w:r w:rsidRPr="007A1630">
        <w:rPr>
          <w:rFonts w:cstheme="minorHAnsi"/>
          <w:sz w:val="22"/>
          <w:szCs w:val="22"/>
        </w:rPr>
        <w:t xml:space="preserve">Erin Young, </w:t>
      </w:r>
      <w:r w:rsidR="009B693F">
        <w:rPr>
          <w:rFonts w:cstheme="minorHAnsi"/>
          <w:sz w:val="22"/>
          <w:szCs w:val="22"/>
        </w:rPr>
        <w:t>Research Assistant</w:t>
      </w:r>
      <w:r w:rsidRPr="007A1630">
        <w:rPr>
          <w:rFonts w:cstheme="minorHAnsi"/>
          <w:sz w:val="22"/>
          <w:szCs w:val="22"/>
        </w:rPr>
        <w:t>, OHSU-PSU School of Public Health</w:t>
      </w:r>
    </w:p>
    <w:p w14:paraId="673330A8" w14:textId="77777777" w:rsidR="0096520E" w:rsidRPr="007A1630" w:rsidRDefault="0096520E" w:rsidP="0096520E">
      <w:pPr>
        <w:rPr>
          <w:rFonts w:cstheme="minorHAnsi"/>
          <w:b/>
          <w:sz w:val="22"/>
          <w:szCs w:val="22"/>
        </w:rPr>
      </w:pPr>
    </w:p>
    <w:p w14:paraId="31DE80FD" w14:textId="77777777" w:rsidR="0096520E" w:rsidRPr="007A1630" w:rsidRDefault="0096520E" w:rsidP="0096520E">
      <w:pPr>
        <w:rPr>
          <w:rFonts w:cstheme="minorHAnsi"/>
          <w:sz w:val="22"/>
          <w:szCs w:val="22"/>
          <w:lang w:bidi="th-TH"/>
        </w:rPr>
      </w:pPr>
      <w:r w:rsidRPr="007A1630">
        <w:rPr>
          <w:rFonts w:cstheme="minorHAnsi"/>
          <w:sz w:val="22"/>
          <w:szCs w:val="22"/>
          <w:lang w:bidi="th-TH"/>
        </w:rPr>
        <w:t xml:space="preserve">Throughout this work, the research team consulted and met regularly with the OHA liaison team (primarily Brigid Zani, CCBHC Evaluation Analyst/Consultant, and Kimberly Hoover, Behavioral Health Program Coordinator CCBHC) who </w:t>
      </w:r>
      <w:r>
        <w:rPr>
          <w:rFonts w:cstheme="minorHAnsi"/>
          <w:sz w:val="22"/>
          <w:szCs w:val="22"/>
          <w:lang w:bidi="th-TH"/>
        </w:rPr>
        <w:t xml:space="preserve">provided information, identified resources, made introductions, and </w:t>
      </w:r>
      <w:r w:rsidRPr="007A1630">
        <w:rPr>
          <w:rFonts w:cstheme="minorHAnsi"/>
          <w:sz w:val="22"/>
          <w:szCs w:val="22"/>
          <w:lang w:bidi="th-TH"/>
        </w:rPr>
        <w:t>facilitate</w:t>
      </w:r>
      <w:r>
        <w:rPr>
          <w:rFonts w:cstheme="minorHAnsi"/>
          <w:sz w:val="22"/>
          <w:szCs w:val="22"/>
          <w:lang w:bidi="th-TH"/>
        </w:rPr>
        <w:t>d</w:t>
      </w:r>
      <w:r w:rsidRPr="007A1630">
        <w:rPr>
          <w:rFonts w:cstheme="minorHAnsi"/>
          <w:sz w:val="22"/>
          <w:szCs w:val="22"/>
          <w:lang w:bidi="th-TH"/>
        </w:rPr>
        <w:t xml:space="preserve"> the conduct of this work.</w:t>
      </w:r>
    </w:p>
    <w:p w14:paraId="4007293A" w14:textId="77777777" w:rsidR="0096520E" w:rsidRPr="003F474A" w:rsidRDefault="0096520E" w:rsidP="0096520E">
      <w:pPr>
        <w:rPr>
          <w:rFonts w:cstheme="minorHAnsi"/>
          <w:sz w:val="22"/>
          <w:szCs w:val="22"/>
        </w:rPr>
      </w:pPr>
    </w:p>
    <w:p w14:paraId="6DC55C33" w14:textId="77777777" w:rsidR="0096520E" w:rsidRPr="00A13FC1" w:rsidRDefault="0096520E" w:rsidP="0096520E">
      <w:pPr>
        <w:rPr>
          <w:rFonts w:cstheme="minorHAnsi"/>
          <w:sz w:val="22"/>
          <w:szCs w:val="22"/>
        </w:rPr>
      </w:pPr>
      <w:r w:rsidRPr="003F474A">
        <w:rPr>
          <w:rFonts w:cstheme="minorHAnsi"/>
          <w:sz w:val="22"/>
          <w:szCs w:val="22"/>
        </w:rPr>
        <w:t xml:space="preserve">The evaluation was organized using the RE-AIM framework (Reach, Evaluation, Adoption, Implementation, Maintenance) (Glasgow, Vogt and Boles, 1999). </w:t>
      </w:r>
      <w:r w:rsidRPr="003F474A">
        <w:rPr>
          <w:rFonts w:cstheme="minorHAnsi"/>
          <w:b/>
          <w:bCs/>
          <w:sz w:val="22"/>
          <w:szCs w:val="22"/>
        </w:rPr>
        <w:t>Evaluation</w:t>
      </w:r>
      <w:r w:rsidRPr="003F474A">
        <w:rPr>
          <w:rFonts w:cstheme="minorHAnsi"/>
          <w:sz w:val="22"/>
          <w:szCs w:val="22"/>
        </w:rPr>
        <w:t xml:space="preserve"> was addressed in the first and second aims and was both qualitatively and quantitatively focused. </w:t>
      </w:r>
      <w:r w:rsidRPr="003F474A">
        <w:rPr>
          <w:rFonts w:cstheme="minorHAnsi"/>
          <w:b/>
          <w:bCs/>
          <w:sz w:val="22"/>
          <w:szCs w:val="22"/>
        </w:rPr>
        <w:t>Reach</w:t>
      </w:r>
      <w:r w:rsidRPr="003F474A">
        <w:rPr>
          <w:rFonts w:cstheme="minorHAnsi"/>
          <w:sz w:val="22"/>
          <w:szCs w:val="22"/>
        </w:rPr>
        <w:t xml:space="preserve">, </w:t>
      </w:r>
      <w:r w:rsidRPr="003F474A">
        <w:rPr>
          <w:rFonts w:cstheme="minorHAnsi"/>
          <w:b/>
          <w:bCs/>
          <w:sz w:val="22"/>
          <w:szCs w:val="22"/>
        </w:rPr>
        <w:t>Adoption,</w:t>
      </w:r>
      <w:r w:rsidRPr="00A13FC1">
        <w:rPr>
          <w:rFonts w:cstheme="minorHAnsi"/>
          <w:sz w:val="22"/>
          <w:szCs w:val="22"/>
        </w:rPr>
        <w:t xml:space="preserve"> </w:t>
      </w:r>
      <w:r w:rsidRPr="00A13FC1">
        <w:rPr>
          <w:rFonts w:cstheme="minorHAnsi"/>
          <w:b/>
          <w:bCs/>
          <w:sz w:val="22"/>
          <w:szCs w:val="22"/>
        </w:rPr>
        <w:t>Implementation</w:t>
      </w:r>
      <w:r w:rsidRPr="00A13FC1">
        <w:rPr>
          <w:rFonts w:cstheme="minorHAnsi"/>
          <w:sz w:val="22"/>
          <w:szCs w:val="22"/>
        </w:rPr>
        <w:t xml:space="preserve"> and </w:t>
      </w:r>
      <w:r w:rsidRPr="00A13FC1">
        <w:rPr>
          <w:rFonts w:cstheme="minorHAnsi"/>
          <w:b/>
          <w:bCs/>
          <w:sz w:val="22"/>
          <w:szCs w:val="22"/>
        </w:rPr>
        <w:t>Maintenance</w:t>
      </w:r>
      <w:r w:rsidRPr="00A13FC1">
        <w:rPr>
          <w:rFonts w:cstheme="minorHAnsi"/>
          <w:sz w:val="22"/>
          <w:szCs w:val="22"/>
        </w:rPr>
        <w:t xml:space="preserve"> were addressed in the third and fourth aims and were primarily qualitatively focused.</w:t>
      </w:r>
    </w:p>
    <w:p w14:paraId="0437A74A" w14:textId="77777777" w:rsidR="007523A8" w:rsidRPr="00310852" w:rsidRDefault="007523A8" w:rsidP="00A460F8">
      <w:pPr>
        <w:pStyle w:val="Heading3"/>
        <w:spacing w:after="120"/>
        <w:rPr>
          <w:b/>
          <w:bCs/>
          <w:i/>
          <w:iCs/>
          <w:color w:val="6A7F0F"/>
          <w:sz w:val="22"/>
          <w:szCs w:val="22"/>
        </w:rPr>
      </w:pPr>
      <w:bookmarkStart w:id="59" w:name="_Toc118101395"/>
      <w:bookmarkStart w:id="60" w:name="_Hlk117936582"/>
      <w:bookmarkStart w:id="61" w:name="_Hlk117846901"/>
    </w:p>
    <w:p w14:paraId="4BE0F4CE" w14:textId="0DE423A2" w:rsidR="00A460F8" w:rsidRPr="00A17C4D" w:rsidRDefault="00A460F8" w:rsidP="00A17C4D">
      <w:pPr>
        <w:spacing w:after="120"/>
        <w:rPr>
          <w:b/>
          <w:bCs/>
          <w:i/>
          <w:iCs/>
          <w:color w:val="6A7F0F"/>
          <w:highlight w:val="white"/>
        </w:rPr>
      </w:pPr>
      <w:r w:rsidRPr="00A17C4D">
        <w:rPr>
          <w:b/>
          <w:bCs/>
          <w:i/>
          <w:iCs/>
          <w:color w:val="6A7F0F"/>
          <w:highlight w:val="white"/>
        </w:rPr>
        <w:t>CCBHC Evaluation Framework and Data Collection Strategy</w:t>
      </w:r>
      <w:bookmarkEnd w:id="59"/>
    </w:p>
    <w:bookmarkEnd w:id="60"/>
    <w:p w14:paraId="15FF0274" w14:textId="77777777" w:rsidR="0096520E" w:rsidRPr="00A13FC1" w:rsidRDefault="0096520E" w:rsidP="0096520E">
      <w:pPr>
        <w:rPr>
          <w:rFonts w:cstheme="minorHAnsi"/>
          <w:sz w:val="22"/>
          <w:szCs w:val="22"/>
        </w:rPr>
      </w:pPr>
      <w:r w:rsidRPr="00A13FC1">
        <w:rPr>
          <w:rFonts w:cstheme="minorHAnsi"/>
          <w:sz w:val="22"/>
          <w:szCs w:val="22"/>
        </w:rPr>
        <w:t xml:space="preserve">In order to integrate the study aims with the RE-AIM framework, identify specific indicators related to the CCBHC program, and organize data collection and presentation of findings, an overarching evaluation framework was developed (adapted from Gelmon, Foucek </w:t>
      </w:r>
      <w:r>
        <w:rPr>
          <w:rFonts w:cstheme="minorHAnsi"/>
          <w:sz w:val="22"/>
          <w:szCs w:val="22"/>
        </w:rPr>
        <w:t>and</w:t>
      </w:r>
      <w:r w:rsidRPr="00A13FC1">
        <w:rPr>
          <w:rFonts w:cstheme="minorHAnsi"/>
          <w:sz w:val="22"/>
          <w:szCs w:val="22"/>
        </w:rPr>
        <w:t xml:space="preserve"> Waterbury, 2005):</w:t>
      </w:r>
    </w:p>
    <w:p w14:paraId="2C809A7C" w14:textId="77777777" w:rsidR="00A460F8" w:rsidRPr="00A13FC1" w:rsidRDefault="00A460F8" w:rsidP="00A460F8">
      <w:pPr>
        <w:rPr>
          <w:rFonts w:cstheme="minorHAnsi"/>
          <w:sz w:val="22"/>
          <w:szCs w:val="22"/>
        </w:rPr>
      </w:pPr>
    </w:p>
    <w:bookmarkEnd w:id="61"/>
    <w:p w14:paraId="5CB35426" w14:textId="77777777" w:rsidR="00A460F8" w:rsidRPr="007C1D24" w:rsidRDefault="00A460F8" w:rsidP="00A460F8">
      <w:pPr>
        <w:rPr>
          <w:rFonts w:cstheme="minorHAnsi"/>
          <w:b/>
          <w:i/>
          <w:iCs/>
          <w:color w:val="6A7F0F"/>
          <w:sz w:val="22"/>
          <w:szCs w:val="22"/>
          <w:highlight w:val="yellow"/>
        </w:rPr>
      </w:pPr>
      <w:r w:rsidRPr="007C1D24">
        <w:rPr>
          <w:rFonts w:cstheme="minorHAnsi"/>
          <w:b/>
          <w:i/>
          <w:iCs/>
          <w:color w:val="6A7F0F"/>
          <w:sz w:val="22"/>
          <w:szCs w:val="22"/>
        </w:rPr>
        <w:t>I.  Core Concepts:</w:t>
      </w:r>
      <w:r w:rsidRPr="007C1D24">
        <w:rPr>
          <w:rFonts w:cstheme="minorHAnsi"/>
          <w:b/>
          <w:color w:val="6A7F0F"/>
          <w:sz w:val="22"/>
          <w:szCs w:val="22"/>
        </w:rPr>
        <w:t xml:space="preserve"> </w:t>
      </w:r>
      <w:r w:rsidRPr="007C1D24">
        <w:rPr>
          <w:rFonts w:cstheme="minorHAnsi"/>
          <w:b/>
          <w:i/>
          <w:iCs/>
          <w:color w:val="6A7F0F"/>
          <w:sz w:val="22"/>
          <w:szCs w:val="22"/>
        </w:rPr>
        <w:t>What do we want to know about CCBHCs?</w:t>
      </w:r>
    </w:p>
    <w:p w14:paraId="7CDBFD84" w14:textId="77777777" w:rsidR="0096520E" w:rsidRPr="00A13FC1" w:rsidRDefault="0096520E" w:rsidP="0096520E">
      <w:pPr>
        <w:rPr>
          <w:rFonts w:cstheme="minorHAnsi"/>
          <w:sz w:val="22"/>
          <w:szCs w:val="22"/>
        </w:rPr>
      </w:pPr>
      <w:r w:rsidRPr="00A13FC1">
        <w:rPr>
          <w:rFonts w:cstheme="minorHAnsi"/>
          <w:sz w:val="22"/>
          <w:szCs w:val="22"/>
        </w:rPr>
        <w:t xml:space="preserve">The evaluation </w:t>
      </w:r>
      <w:r>
        <w:rPr>
          <w:rFonts w:cstheme="minorHAnsi"/>
          <w:sz w:val="22"/>
          <w:szCs w:val="22"/>
        </w:rPr>
        <w:t>wa</w:t>
      </w:r>
      <w:r w:rsidRPr="00A13FC1">
        <w:rPr>
          <w:rFonts w:cstheme="minorHAnsi"/>
          <w:sz w:val="22"/>
          <w:szCs w:val="22"/>
        </w:rPr>
        <w:t xml:space="preserve">s designed around six core concepts with which to evaluate the impact of CCBHCs in Oregon: Equitable service delivery and health outcomes; Organizational impact; Cost/performance outcomes; Implementation; Sustainability/expansion; and Health systems reform role. Each of these is </w:t>
      </w:r>
      <w:r>
        <w:rPr>
          <w:rFonts w:cstheme="minorHAnsi"/>
          <w:sz w:val="22"/>
          <w:szCs w:val="22"/>
        </w:rPr>
        <w:t xml:space="preserve">a </w:t>
      </w:r>
      <w:r w:rsidRPr="00A13FC1">
        <w:rPr>
          <w:rFonts w:cstheme="minorHAnsi"/>
          <w:sz w:val="22"/>
          <w:szCs w:val="22"/>
        </w:rPr>
        <w:t>high level</w:t>
      </w:r>
      <w:r>
        <w:rPr>
          <w:rFonts w:cstheme="minorHAnsi"/>
          <w:sz w:val="22"/>
          <w:szCs w:val="22"/>
        </w:rPr>
        <w:t xml:space="preserve">, </w:t>
      </w:r>
      <w:r w:rsidRPr="00A13FC1">
        <w:rPr>
          <w:rFonts w:cstheme="minorHAnsi"/>
          <w:sz w:val="22"/>
          <w:szCs w:val="22"/>
        </w:rPr>
        <w:t xml:space="preserve">broad concept </w:t>
      </w:r>
      <w:r>
        <w:rPr>
          <w:rFonts w:cstheme="minorHAnsi"/>
          <w:sz w:val="22"/>
          <w:szCs w:val="22"/>
        </w:rPr>
        <w:t>for which</w:t>
      </w:r>
      <w:r w:rsidRPr="00A13FC1">
        <w:rPr>
          <w:rFonts w:cstheme="minorHAnsi"/>
          <w:sz w:val="22"/>
          <w:szCs w:val="22"/>
        </w:rPr>
        <w:t xml:space="preserve"> multiple indicators </w:t>
      </w:r>
      <w:r>
        <w:rPr>
          <w:rFonts w:cstheme="minorHAnsi"/>
          <w:sz w:val="22"/>
          <w:szCs w:val="22"/>
        </w:rPr>
        <w:t xml:space="preserve">were operationalized </w:t>
      </w:r>
      <w:r w:rsidRPr="00A13FC1">
        <w:rPr>
          <w:rFonts w:cstheme="minorHAnsi"/>
          <w:sz w:val="22"/>
          <w:szCs w:val="22"/>
        </w:rPr>
        <w:t xml:space="preserve">that </w:t>
      </w:r>
      <w:r>
        <w:rPr>
          <w:rFonts w:cstheme="minorHAnsi"/>
          <w:sz w:val="22"/>
          <w:szCs w:val="22"/>
        </w:rPr>
        <w:t>reflect</w:t>
      </w:r>
      <w:r w:rsidRPr="00A13FC1">
        <w:rPr>
          <w:rFonts w:cstheme="minorHAnsi"/>
          <w:sz w:val="22"/>
          <w:szCs w:val="22"/>
        </w:rPr>
        <w:t xml:space="preserve"> the evaluation aims. The concepts form the foundation of the evaluation and subsequent reporting of results. Multiple concepts may relate to more than one of the key questions.</w:t>
      </w:r>
    </w:p>
    <w:p w14:paraId="0ACDE4B2" w14:textId="77777777" w:rsidR="00A460F8" w:rsidRPr="00A13FC1" w:rsidRDefault="00A460F8" w:rsidP="00A460F8">
      <w:pPr>
        <w:rPr>
          <w:rFonts w:cstheme="minorHAnsi"/>
          <w:sz w:val="22"/>
          <w:szCs w:val="22"/>
        </w:rPr>
      </w:pPr>
    </w:p>
    <w:p w14:paraId="17CB3591" w14:textId="77777777" w:rsidR="00A460F8" w:rsidRPr="007C1D24" w:rsidRDefault="00A460F8" w:rsidP="00A460F8">
      <w:pPr>
        <w:rPr>
          <w:rFonts w:cstheme="minorHAnsi"/>
          <w:b/>
          <w:i/>
          <w:color w:val="6A7F0F"/>
          <w:sz w:val="22"/>
          <w:szCs w:val="22"/>
        </w:rPr>
      </w:pPr>
      <w:r w:rsidRPr="007C1D24">
        <w:rPr>
          <w:rFonts w:cstheme="minorHAnsi"/>
          <w:b/>
          <w:i/>
          <w:iCs/>
          <w:color w:val="6A7F0F"/>
          <w:sz w:val="22"/>
          <w:szCs w:val="22"/>
        </w:rPr>
        <w:t>II. Key Indicators:</w:t>
      </w:r>
      <w:r w:rsidRPr="007C1D24">
        <w:rPr>
          <w:rFonts w:cstheme="minorHAnsi"/>
          <w:b/>
          <w:i/>
          <w:color w:val="6A7F0F"/>
          <w:sz w:val="22"/>
          <w:szCs w:val="22"/>
        </w:rPr>
        <w:t xml:space="preserve"> What can we observe or measure to generate evidence about the concepts?</w:t>
      </w:r>
    </w:p>
    <w:p w14:paraId="1279EB80" w14:textId="77777777" w:rsidR="0096520E" w:rsidRPr="00A13FC1" w:rsidRDefault="0096520E" w:rsidP="0096520E">
      <w:pPr>
        <w:rPr>
          <w:rFonts w:cstheme="minorHAnsi"/>
          <w:sz w:val="22"/>
          <w:szCs w:val="22"/>
        </w:rPr>
      </w:pPr>
      <w:r w:rsidRPr="00A13FC1">
        <w:rPr>
          <w:rFonts w:cstheme="minorHAnsi"/>
          <w:sz w:val="22"/>
          <w:szCs w:val="22"/>
        </w:rPr>
        <w:t xml:space="preserve">The indicators all relate to a specific concept. These address the aims of the evaluation; the evidence </w:t>
      </w:r>
      <w:r>
        <w:rPr>
          <w:rFonts w:cstheme="minorHAnsi"/>
          <w:sz w:val="22"/>
          <w:szCs w:val="22"/>
        </w:rPr>
        <w:t>was</w:t>
      </w:r>
      <w:r w:rsidRPr="00A13FC1">
        <w:rPr>
          <w:rFonts w:cstheme="minorHAnsi"/>
          <w:sz w:val="22"/>
          <w:szCs w:val="22"/>
        </w:rPr>
        <w:t xml:space="preserve"> collected via qualitative and/or qua</w:t>
      </w:r>
      <w:r>
        <w:rPr>
          <w:rFonts w:cstheme="minorHAnsi"/>
          <w:sz w:val="22"/>
          <w:szCs w:val="22"/>
        </w:rPr>
        <w:t>nt</w:t>
      </w:r>
      <w:r w:rsidRPr="00A13FC1">
        <w:rPr>
          <w:rFonts w:cstheme="minorHAnsi"/>
          <w:sz w:val="22"/>
          <w:szCs w:val="22"/>
        </w:rPr>
        <w:t xml:space="preserve">itative methods. There </w:t>
      </w:r>
      <w:r>
        <w:rPr>
          <w:rFonts w:cstheme="minorHAnsi"/>
          <w:sz w:val="22"/>
          <w:szCs w:val="22"/>
        </w:rPr>
        <w:t>were</w:t>
      </w:r>
      <w:r w:rsidRPr="00A13FC1">
        <w:rPr>
          <w:rFonts w:cstheme="minorHAnsi"/>
          <w:sz w:val="22"/>
          <w:szCs w:val="22"/>
        </w:rPr>
        <w:t xml:space="preserve"> multiple questions across multiple methods that provide</w:t>
      </w:r>
      <w:r>
        <w:rPr>
          <w:rFonts w:cstheme="minorHAnsi"/>
          <w:sz w:val="22"/>
          <w:szCs w:val="22"/>
        </w:rPr>
        <w:t>d</w:t>
      </w:r>
      <w:r w:rsidRPr="00A13FC1">
        <w:rPr>
          <w:rFonts w:cstheme="minorHAnsi"/>
          <w:sz w:val="22"/>
          <w:szCs w:val="22"/>
        </w:rPr>
        <w:t xml:space="preserve"> evidence on individual indicators.  </w:t>
      </w:r>
    </w:p>
    <w:p w14:paraId="53F4ED10" w14:textId="77777777" w:rsidR="00A460F8" w:rsidRPr="00A13FC1" w:rsidRDefault="00A460F8" w:rsidP="00A460F8">
      <w:pPr>
        <w:rPr>
          <w:rFonts w:cstheme="minorHAnsi"/>
          <w:sz w:val="22"/>
          <w:szCs w:val="22"/>
        </w:rPr>
      </w:pPr>
    </w:p>
    <w:p w14:paraId="76375427" w14:textId="77777777" w:rsidR="00A460F8" w:rsidRPr="007C1D24" w:rsidRDefault="00A460F8" w:rsidP="00A460F8">
      <w:pPr>
        <w:rPr>
          <w:rFonts w:cstheme="minorHAnsi"/>
          <w:b/>
          <w:color w:val="6A7F0F"/>
          <w:sz w:val="22"/>
          <w:szCs w:val="22"/>
        </w:rPr>
      </w:pPr>
      <w:r w:rsidRPr="007C1D24">
        <w:rPr>
          <w:rFonts w:cstheme="minorHAnsi"/>
          <w:b/>
          <w:i/>
          <w:iCs/>
          <w:color w:val="6A7F0F"/>
          <w:sz w:val="22"/>
          <w:szCs w:val="22"/>
        </w:rPr>
        <w:t>III. Methods:</w:t>
      </w:r>
      <w:r w:rsidRPr="007C1D24">
        <w:rPr>
          <w:rFonts w:cstheme="minorHAnsi"/>
          <w:b/>
          <w:color w:val="6A7F0F"/>
          <w:sz w:val="22"/>
          <w:szCs w:val="22"/>
        </w:rPr>
        <w:t xml:space="preserve"> </w:t>
      </w:r>
      <w:r w:rsidRPr="007C1D24">
        <w:rPr>
          <w:rFonts w:cstheme="minorHAnsi"/>
          <w:b/>
          <w:i/>
          <w:color w:val="6A7F0F"/>
          <w:sz w:val="22"/>
          <w:szCs w:val="22"/>
        </w:rPr>
        <w:t>How will we collect the evidence?</w:t>
      </w:r>
      <w:r w:rsidRPr="007C1D24">
        <w:rPr>
          <w:rFonts w:cstheme="minorHAnsi"/>
          <w:b/>
          <w:color w:val="6A7F0F"/>
          <w:sz w:val="22"/>
          <w:szCs w:val="22"/>
        </w:rPr>
        <w:t xml:space="preserve"> and </w:t>
      </w:r>
      <w:r w:rsidRPr="007C1D24">
        <w:rPr>
          <w:rFonts w:cstheme="minorHAnsi"/>
          <w:b/>
          <w:i/>
          <w:color w:val="6A7F0F"/>
          <w:sz w:val="22"/>
          <w:szCs w:val="22"/>
        </w:rPr>
        <w:t>Sources</w:t>
      </w:r>
      <w:r w:rsidRPr="007C1D24">
        <w:rPr>
          <w:rFonts w:cstheme="minorHAnsi"/>
          <w:b/>
          <w:i/>
          <w:iCs/>
          <w:color w:val="6A7F0F"/>
          <w:sz w:val="22"/>
          <w:szCs w:val="22"/>
        </w:rPr>
        <w:t>:</w:t>
      </w:r>
      <w:r w:rsidRPr="007C1D24">
        <w:rPr>
          <w:rFonts w:cstheme="minorHAnsi"/>
          <w:b/>
          <w:i/>
          <w:color w:val="6A7F0F"/>
          <w:sz w:val="22"/>
          <w:szCs w:val="22"/>
        </w:rPr>
        <w:t xml:space="preserve"> From whom or where will we obtain this information?</w:t>
      </w:r>
    </w:p>
    <w:p w14:paraId="0FA3C92F" w14:textId="77777777" w:rsidR="0096520E" w:rsidRDefault="0096520E" w:rsidP="0096520E">
      <w:pPr>
        <w:rPr>
          <w:rFonts w:cstheme="minorHAnsi"/>
          <w:sz w:val="22"/>
          <w:szCs w:val="22"/>
        </w:rPr>
      </w:pPr>
      <w:r w:rsidRPr="00A13FC1">
        <w:rPr>
          <w:rFonts w:cstheme="minorHAnsi"/>
          <w:sz w:val="22"/>
          <w:szCs w:val="22"/>
        </w:rPr>
        <w:t xml:space="preserve">Sources of information </w:t>
      </w:r>
      <w:r w:rsidRPr="00A13FC1">
        <w:rPr>
          <w:rFonts w:cstheme="minorHAnsi"/>
          <w:color w:val="000000" w:themeColor="text1"/>
          <w:sz w:val="22"/>
          <w:szCs w:val="22"/>
        </w:rPr>
        <w:t>include</w:t>
      </w:r>
      <w:r>
        <w:rPr>
          <w:rFonts w:cstheme="minorHAnsi"/>
          <w:color w:val="000000" w:themeColor="text1"/>
          <w:sz w:val="22"/>
          <w:szCs w:val="22"/>
        </w:rPr>
        <w:t>d</w:t>
      </w:r>
      <w:r w:rsidRPr="00A13FC1">
        <w:rPr>
          <w:rFonts w:cstheme="minorHAnsi"/>
          <w:color w:val="000000" w:themeColor="text1"/>
          <w:sz w:val="22"/>
          <w:szCs w:val="22"/>
        </w:rPr>
        <w:t xml:space="preserve"> </w:t>
      </w:r>
      <w:r w:rsidRPr="00A13FC1">
        <w:rPr>
          <w:rFonts w:cstheme="minorHAnsi"/>
          <w:sz w:val="22"/>
          <w:szCs w:val="22"/>
        </w:rPr>
        <w:t>focus groups</w:t>
      </w:r>
      <w:r>
        <w:rPr>
          <w:rFonts w:cstheme="minorHAnsi"/>
          <w:sz w:val="22"/>
          <w:szCs w:val="22"/>
        </w:rPr>
        <w:t xml:space="preserve"> </w:t>
      </w:r>
      <w:r w:rsidRPr="00A13FC1">
        <w:rPr>
          <w:rFonts w:cstheme="minorHAnsi"/>
          <w:sz w:val="22"/>
          <w:szCs w:val="22"/>
        </w:rPr>
        <w:t xml:space="preserve">with </w:t>
      </w:r>
      <w:r w:rsidRPr="00A13FC1">
        <w:rPr>
          <w:rFonts w:cstheme="minorHAnsi"/>
          <w:iCs/>
          <w:sz w:val="22"/>
          <w:szCs w:val="22"/>
        </w:rPr>
        <w:t>service user</w:t>
      </w:r>
      <w:r w:rsidRPr="00A13FC1">
        <w:rPr>
          <w:rFonts w:cstheme="minorHAnsi"/>
          <w:sz w:val="22"/>
          <w:szCs w:val="22"/>
        </w:rPr>
        <w:t>s</w:t>
      </w:r>
      <w:r>
        <w:rPr>
          <w:rFonts w:cstheme="minorHAnsi"/>
          <w:sz w:val="22"/>
          <w:szCs w:val="22"/>
        </w:rPr>
        <w:t>, supplemented by a survey of service users unable to attend a focus group</w:t>
      </w:r>
      <w:r w:rsidRPr="00A13FC1">
        <w:rPr>
          <w:rFonts w:cstheme="minorHAnsi"/>
          <w:sz w:val="22"/>
          <w:szCs w:val="22"/>
        </w:rPr>
        <w:t xml:space="preserve">; </w:t>
      </w:r>
      <w:r>
        <w:rPr>
          <w:rFonts w:cstheme="minorHAnsi"/>
          <w:sz w:val="22"/>
          <w:szCs w:val="22"/>
        </w:rPr>
        <w:t xml:space="preserve">interviews with CCBHC clinic administrators and clinical leaders; </w:t>
      </w:r>
      <w:r w:rsidRPr="00A13FC1">
        <w:rPr>
          <w:rFonts w:cstheme="minorHAnsi"/>
          <w:sz w:val="22"/>
          <w:szCs w:val="22"/>
        </w:rPr>
        <w:t>focus</w:t>
      </w:r>
      <w:r>
        <w:rPr>
          <w:rFonts w:cstheme="minorHAnsi"/>
          <w:sz w:val="22"/>
          <w:szCs w:val="22"/>
        </w:rPr>
        <w:t>ed</w:t>
      </w:r>
      <w:r w:rsidRPr="00A13FC1">
        <w:rPr>
          <w:rFonts w:cstheme="minorHAnsi"/>
          <w:sz w:val="22"/>
          <w:szCs w:val="22"/>
        </w:rPr>
        <w:t xml:space="preserve"> </w:t>
      </w:r>
      <w:r>
        <w:rPr>
          <w:rFonts w:cstheme="minorHAnsi"/>
          <w:sz w:val="22"/>
          <w:szCs w:val="22"/>
        </w:rPr>
        <w:t xml:space="preserve">group conversations or </w:t>
      </w:r>
      <w:r w:rsidRPr="00A13FC1">
        <w:rPr>
          <w:rFonts w:cstheme="minorHAnsi"/>
          <w:sz w:val="22"/>
          <w:szCs w:val="22"/>
        </w:rPr>
        <w:t>interviews with community-based organizations</w:t>
      </w:r>
      <w:r>
        <w:rPr>
          <w:rFonts w:cstheme="minorHAnsi"/>
          <w:sz w:val="22"/>
          <w:szCs w:val="22"/>
        </w:rPr>
        <w:t>, supplemented by a survey for organizations not interviewed</w:t>
      </w:r>
      <w:r w:rsidRPr="00A13FC1">
        <w:rPr>
          <w:rFonts w:cstheme="minorHAnsi"/>
          <w:sz w:val="22"/>
          <w:szCs w:val="22"/>
        </w:rPr>
        <w:t xml:space="preserve">; </w:t>
      </w:r>
      <w:r>
        <w:rPr>
          <w:rFonts w:cstheme="minorHAnsi"/>
          <w:sz w:val="22"/>
          <w:szCs w:val="22"/>
        </w:rPr>
        <w:t xml:space="preserve">interviews with key interested parties; </w:t>
      </w:r>
      <w:r w:rsidRPr="00A13FC1">
        <w:rPr>
          <w:rFonts w:cstheme="minorHAnsi"/>
          <w:sz w:val="22"/>
          <w:szCs w:val="22"/>
        </w:rPr>
        <w:t xml:space="preserve">community health assessment plans; community health improvement plans; CCBHC-specific evaluations or reports; </w:t>
      </w:r>
      <w:r>
        <w:rPr>
          <w:rFonts w:cstheme="minorHAnsi"/>
          <w:sz w:val="22"/>
          <w:szCs w:val="22"/>
        </w:rPr>
        <w:t xml:space="preserve">and </w:t>
      </w:r>
      <w:r w:rsidRPr="00A13FC1">
        <w:rPr>
          <w:rFonts w:cstheme="minorHAnsi"/>
          <w:sz w:val="22"/>
          <w:szCs w:val="22"/>
          <w:lang w:bidi="th-TH"/>
        </w:rPr>
        <w:t xml:space="preserve">OHP claims </w:t>
      </w:r>
      <w:r w:rsidRPr="00A13FC1">
        <w:rPr>
          <w:rFonts w:cstheme="minorHAnsi"/>
          <w:sz w:val="22"/>
          <w:szCs w:val="22"/>
        </w:rPr>
        <w:t>and MHSIP survey data with REALD demographics</w:t>
      </w:r>
      <w:r>
        <w:rPr>
          <w:rFonts w:cstheme="minorHAnsi"/>
          <w:sz w:val="22"/>
          <w:szCs w:val="22"/>
        </w:rPr>
        <w:t>.</w:t>
      </w:r>
    </w:p>
    <w:p w14:paraId="12D4A1B5" w14:textId="77777777" w:rsidR="00A460F8" w:rsidRPr="00A13FC1" w:rsidRDefault="00A460F8" w:rsidP="00A460F8">
      <w:pPr>
        <w:rPr>
          <w:rFonts w:cstheme="minorHAnsi"/>
          <w:sz w:val="22"/>
          <w:szCs w:val="22"/>
        </w:rPr>
      </w:pPr>
    </w:p>
    <w:p w14:paraId="72B033D2" w14:textId="77777777" w:rsidR="00000D4B" w:rsidRDefault="00A460F8" w:rsidP="0096520E">
      <w:pPr>
        <w:rPr>
          <w:rFonts w:cstheme="minorHAnsi"/>
          <w:b/>
          <w:bCs/>
          <w:i/>
          <w:iCs/>
          <w:color w:val="6A7F0F"/>
          <w:sz w:val="22"/>
          <w:szCs w:val="22"/>
        </w:rPr>
      </w:pPr>
      <w:r w:rsidRPr="007C1D24">
        <w:rPr>
          <w:rFonts w:cstheme="minorHAnsi"/>
          <w:b/>
          <w:bCs/>
          <w:i/>
          <w:iCs/>
          <w:color w:val="6A7F0F"/>
          <w:sz w:val="22"/>
          <w:szCs w:val="22"/>
        </w:rPr>
        <w:t>Equity Framework</w:t>
      </w:r>
    </w:p>
    <w:p w14:paraId="476939AE" w14:textId="7C4A5E7A" w:rsidR="00A460F8" w:rsidRPr="007523A8" w:rsidRDefault="007C1D24" w:rsidP="007523A8">
      <w:pPr>
        <w:rPr>
          <w:rStyle w:val="color11"/>
          <w:rFonts w:cstheme="minorHAnsi"/>
          <w:sz w:val="22"/>
          <w:szCs w:val="22"/>
        </w:rPr>
      </w:pPr>
      <w:r>
        <w:rPr>
          <w:rFonts w:cstheme="minorHAnsi"/>
          <w:sz w:val="22"/>
          <w:szCs w:val="22"/>
        </w:rPr>
        <w:t>T</w:t>
      </w:r>
      <w:r w:rsidR="00A460F8" w:rsidRPr="0071678D">
        <w:rPr>
          <w:rFonts w:cstheme="minorHAnsi"/>
          <w:sz w:val="22"/>
          <w:szCs w:val="22"/>
        </w:rPr>
        <w:t xml:space="preserve">he </w:t>
      </w:r>
      <w:r w:rsidR="0096520E" w:rsidRPr="0071678D">
        <w:rPr>
          <w:rFonts w:cstheme="minorHAnsi"/>
          <w:sz w:val="22"/>
          <w:szCs w:val="22"/>
        </w:rPr>
        <w:t xml:space="preserve">evaluation team created an equity framework for this evaluation to frame the analysis of the impact of CCBHCs on addressing behavioral health treatment for Oregon residents </w:t>
      </w:r>
      <w:r w:rsidR="0096520E">
        <w:rPr>
          <w:rFonts w:cstheme="minorHAnsi"/>
          <w:sz w:val="22"/>
          <w:szCs w:val="22"/>
        </w:rPr>
        <w:t xml:space="preserve">(Equitable Evaluation Initiative, n.d.; Oregon Health Authority, 2021b; W.K. Kellogg Foundation, 2021; Yearby, 2020). </w:t>
      </w:r>
      <w:r w:rsidR="0096520E" w:rsidRPr="0071678D">
        <w:rPr>
          <w:rFonts w:cstheme="minorHAnsi"/>
          <w:sz w:val="22"/>
          <w:szCs w:val="22"/>
        </w:rPr>
        <w:t>This approach</w:t>
      </w:r>
      <w:r w:rsidR="0096520E">
        <w:rPr>
          <w:rFonts w:cstheme="minorHAnsi"/>
          <w:sz w:val="22"/>
          <w:szCs w:val="22"/>
        </w:rPr>
        <w:t>,</w:t>
      </w:r>
      <w:r w:rsidR="0096520E" w:rsidRPr="0071678D">
        <w:rPr>
          <w:rFonts w:cstheme="minorHAnsi"/>
          <w:sz w:val="22"/>
          <w:szCs w:val="22"/>
        </w:rPr>
        <w:t xml:space="preserve"> derived from OHA’s emphasis in the evaluation scope of work on centering equity in this evaluation</w:t>
      </w:r>
      <w:r w:rsidR="0096520E">
        <w:rPr>
          <w:rFonts w:cstheme="minorHAnsi"/>
          <w:sz w:val="22"/>
          <w:szCs w:val="22"/>
        </w:rPr>
        <w:t xml:space="preserve">, </w:t>
      </w:r>
      <w:r w:rsidR="0096520E" w:rsidRPr="0071678D">
        <w:rPr>
          <w:rFonts w:cstheme="minorHAnsi"/>
          <w:sz w:val="22"/>
          <w:szCs w:val="22"/>
        </w:rPr>
        <w:t xml:space="preserve">reflects </w:t>
      </w:r>
      <w:r w:rsidR="0096520E" w:rsidRPr="0071678D">
        <w:rPr>
          <w:rFonts w:cstheme="minorHAnsi"/>
          <w:color w:val="000000"/>
          <w:sz w:val="22"/>
          <w:szCs w:val="22"/>
        </w:rPr>
        <w:t xml:space="preserve">OHA’s commitment to health equity at </w:t>
      </w:r>
      <w:r w:rsidR="0096520E">
        <w:rPr>
          <w:rFonts w:cstheme="minorHAnsi"/>
          <w:color w:val="000000"/>
          <w:sz w:val="22"/>
          <w:szCs w:val="22"/>
        </w:rPr>
        <w:t>a system</w:t>
      </w:r>
      <w:r w:rsidR="0096520E" w:rsidRPr="0071678D">
        <w:rPr>
          <w:rFonts w:cstheme="minorHAnsi"/>
          <w:color w:val="000000"/>
          <w:sz w:val="22"/>
          <w:szCs w:val="22"/>
        </w:rPr>
        <w:t xml:space="preserve"> level</w:t>
      </w:r>
      <w:r w:rsidR="0096520E">
        <w:rPr>
          <w:rFonts w:cstheme="minorHAnsi"/>
          <w:color w:val="000000"/>
          <w:sz w:val="22"/>
          <w:szCs w:val="22"/>
        </w:rPr>
        <w:t>,</w:t>
      </w:r>
      <w:r w:rsidR="0096520E" w:rsidRPr="0071678D">
        <w:rPr>
          <w:rFonts w:cstheme="minorHAnsi"/>
          <w:color w:val="000000"/>
          <w:sz w:val="22"/>
          <w:szCs w:val="22"/>
        </w:rPr>
        <w:t xml:space="preserve"> </w:t>
      </w:r>
      <w:r w:rsidR="0096520E">
        <w:rPr>
          <w:rFonts w:cstheme="minorHAnsi"/>
          <w:color w:val="000000"/>
          <w:sz w:val="22"/>
          <w:szCs w:val="22"/>
        </w:rPr>
        <w:t>as well as a central</w:t>
      </w:r>
      <w:r w:rsidR="0096520E" w:rsidRPr="0071678D">
        <w:rPr>
          <w:rFonts w:cstheme="minorHAnsi"/>
          <w:color w:val="000000"/>
          <w:sz w:val="22"/>
          <w:szCs w:val="22"/>
        </w:rPr>
        <w:t xml:space="preserve"> </w:t>
      </w:r>
      <w:r w:rsidR="0096520E">
        <w:rPr>
          <w:rFonts w:cstheme="minorHAnsi"/>
          <w:color w:val="000000"/>
          <w:sz w:val="22"/>
          <w:szCs w:val="22"/>
        </w:rPr>
        <w:t>theme of</w:t>
      </w:r>
      <w:r w:rsidR="0096520E" w:rsidRPr="0071678D">
        <w:rPr>
          <w:rFonts w:cstheme="minorHAnsi"/>
          <w:color w:val="000000"/>
          <w:sz w:val="22"/>
          <w:szCs w:val="22"/>
        </w:rPr>
        <w:t xml:space="preserve"> the CCBHC program</w:t>
      </w:r>
      <w:r w:rsidR="0096520E" w:rsidRPr="0071678D">
        <w:rPr>
          <w:rFonts w:cstheme="minorHAnsi"/>
          <w:sz w:val="22"/>
          <w:szCs w:val="22"/>
        </w:rPr>
        <w:t>. The o</w:t>
      </w:r>
      <w:r w:rsidR="0096520E" w:rsidRPr="0071678D">
        <w:rPr>
          <w:rStyle w:val="color11"/>
          <w:rFonts w:cstheme="minorHAnsi"/>
          <w:sz w:val="22"/>
          <w:szCs w:val="22"/>
        </w:rPr>
        <w:t>verarching question for this evaluation is:</w:t>
      </w:r>
      <w:r w:rsidR="007523A8">
        <w:rPr>
          <w:rStyle w:val="color11"/>
          <w:rFonts w:cstheme="minorHAnsi"/>
          <w:sz w:val="22"/>
          <w:szCs w:val="22"/>
        </w:rPr>
        <w:t xml:space="preserve"> </w:t>
      </w:r>
      <w:r w:rsidR="00A460F8" w:rsidRPr="007523A8">
        <w:rPr>
          <w:rStyle w:val="color11"/>
          <w:rFonts w:cstheme="minorHAnsi"/>
          <w:color w:val="000000" w:themeColor="text1"/>
          <w:sz w:val="22"/>
          <w:szCs w:val="22"/>
        </w:rPr>
        <w:t xml:space="preserve">What is the effect of the CCBHC model on different populations and underlying systemic drivers of inequity? </w:t>
      </w:r>
    </w:p>
    <w:p w14:paraId="2AD69DA2" w14:textId="77777777" w:rsidR="00A460F8" w:rsidRDefault="00A460F8" w:rsidP="00A460F8">
      <w:pPr>
        <w:rPr>
          <w:rFonts w:cstheme="minorHAnsi"/>
          <w:sz w:val="22"/>
          <w:szCs w:val="22"/>
        </w:rPr>
      </w:pPr>
    </w:p>
    <w:p w14:paraId="066A1D08" w14:textId="2B9E2C21" w:rsidR="00A460F8" w:rsidRDefault="00A460F8" w:rsidP="00A460F8">
      <w:pPr>
        <w:rPr>
          <w:rFonts w:cstheme="minorHAnsi"/>
          <w:sz w:val="22"/>
          <w:szCs w:val="22"/>
        </w:rPr>
      </w:pPr>
      <w:r>
        <w:rPr>
          <w:rFonts w:cstheme="minorHAnsi"/>
          <w:sz w:val="22"/>
          <w:szCs w:val="22"/>
        </w:rPr>
        <w:t>The s</w:t>
      </w:r>
      <w:r w:rsidRPr="002F3032">
        <w:rPr>
          <w:rFonts w:cstheme="minorHAnsi"/>
          <w:sz w:val="22"/>
          <w:szCs w:val="22"/>
        </w:rPr>
        <w:t>pecific</w:t>
      </w:r>
      <w:r>
        <w:rPr>
          <w:rFonts w:cstheme="minorHAnsi"/>
          <w:sz w:val="22"/>
          <w:szCs w:val="22"/>
        </w:rPr>
        <w:t xml:space="preserve"> questions that informed the design of data collection and subsequent analysis are</w:t>
      </w:r>
      <w:r w:rsidRPr="002F3032">
        <w:rPr>
          <w:rFonts w:cstheme="minorHAnsi"/>
          <w:sz w:val="22"/>
          <w:szCs w:val="22"/>
        </w:rPr>
        <w:t>:</w:t>
      </w:r>
    </w:p>
    <w:p w14:paraId="2FE872D4" w14:textId="77777777" w:rsidR="00A460F8" w:rsidRPr="00747551" w:rsidRDefault="00A460F8">
      <w:pPr>
        <w:pStyle w:val="ListParagraph"/>
        <w:numPr>
          <w:ilvl w:val="0"/>
          <w:numId w:val="12"/>
        </w:numPr>
        <w:ind w:left="720"/>
        <w:rPr>
          <w:sz w:val="22"/>
          <w:szCs w:val="22"/>
        </w:rPr>
      </w:pPr>
      <w:r>
        <w:rPr>
          <w:sz w:val="22"/>
          <w:szCs w:val="22"/>
        </w:rPr>
        <w:t xml:space="preserve">How do the CCBHCs define and identify </w:t>
      </w:r>
      <w:r w:rsidRPr="00747551">
        <w:rPr>
          <w:sz w:val="22"/>
          <w:szCs w:val="22"/>
        </w:rPr>
        <w:t xml:space="preserve">communities that are experiencing health inequities in their service areas? </w:t>
      </w:r>
      <w:r>
        <w:rPr>
          <w:sz w:val="22"/>
          <w:szCs w:val="22"/>
        </w:rPr>
        <w:t>How does this align with OHA’s definition of equity?</w:t>
      </w:r>
    </w:p>
    <w:p w14:paraId="038A0E54" w14:textId="77777777" w:rsidR="00A460F8" w:rsidRDefault="00A460F8">
      <w:pPr>
        <w:pStyle w:val="ListParagraph"/>
        <w:numPr>
          <w:ilvl w:val="0"/>
          <w:numId w:val="12"/>
        </w:numPr>
        <w:ind w:left="720"/>
        <w:rPr>
          <w:sz w:val="22"/>
          <w:szCs w:val="22"/>
        </w:rPr>
      </w:pPr>
      <w:r>
        <w:rPr>
          <w:sz w:val="22"/>
          <w:szCs w:val="22"/>
        </w:rPr>
        <w:t xml:space="preserve">How have community voices been invited into the development and operation of CCBHCs? How are they invited to provide feedback to the CCBHCs? </w:t>
      </w:r>
    </w:p>
    <w:p w14:paraId="625461CA" w14:textId="77777777" w:rsidR="00A460F8" w:rsidRPr="00D816FF" w:rsidRDefault="00A460F8">
      <w:pPr>
        <w:pStyle w:val="ListParagraph"/>
        <w:numPr>
          <w:ilvl w:val="0"/>
          <w:numId w:val="12"/>
        </w:numPr>
        <w:ind w:left="720"/>
        <w:rPr>
          <w:sz w:val="22"/>
          <w:szCs w:val="22"/>
        </w:rPr>
      </w:pPr>
      <w:r>
        <w:rPr>
          <w:sz w:val="22"/>
          <w:szCs w:val="22"/>
        </w:rPr>
        <w:t xml:space="preserve">What are the outcomes for service users of accessing the CCBHCs? What were the community responses to the CCBHC program? Do the outcomes and responses vary by community? </w:t>
      </w:r>
    </w:p>
    <w:p w14:paraId="5A3861D7" w14:textId="77777777" w:rsidR="00A460F8" w:rsidRDefault="00A460F8">
      <w:pPr>
        <w:pStyle w:val="ListParagraph"/>
        <w:numPr>
          <w:ilvl w:val="0"/>
          <w:numId w:val="12"/>
        </w:numPr>
        <w:ind w:left="720"/>
        <w:rPr>
          <w:sz w:val="22"/>
          <w:szCs w:val="22"/>
        </w:rPr>
      </w:pPr>
      <w:r>
        <w:rPr>
          <w:sz w:val="22"/>
          <w:szCs w:val="22"/>
        </w:rPr>
        <w:t xml:space="preserve">What strategies could be modified or enhanced to ensure the needs of potential CCBHC service users are met? </w:t>
      </w:r>
    </w:p>
    <w:p w14:paraId="400E5EAE" w14:textId="77777777" w:rsidR="00A460F8" w:rsidRDefault="00A460F8">
      <w:pPr>
        <w:pStyle w:val="ListParagraph"/>
        <w:numPr>
          <w:ilvl w:val="0"/>
          <w:numId w:val="12"/>
        </w:numPr>
        <w:ind w:left="720"/>
        <w:rPr>
          <w:sz w:val="22"/>
          <w:szCs w:val="22"/>
        </w:rPr>
      </w:pPr>
      <w:r>
        <w:rPr>
          <w:sz w:val="22"/>
          <w:szCs w:val="22"/>
        </w:rPr>
        <w:t>What resources could be invested</w:t>
      </w:r>
      <w:r w:rsidRPr="00745B1A">
        <w:rPr>
          <w:sz w:val="22"/>
          <w:szCs w:val="22"/>
        </w:rPr>
        <w:t xml:space="preserve"> to enhance community collaborations and partnerships among CCBHCs and CBOs to ensure the needs of potential CCBHC service users are met? </w:t>
      </w:r>
    </w:p>
    <w:p w14:paraId="0253106E" w14:textId="77777777" w:rsidR="00A460F8" w:rsidRDefault="00A460F8" w:rsidP="00A460F8">
      <w:pPr>
        <w:rPr>
          <w:rFonts w:cstheme="minorHAnsi"/>
          <w:i/>
          <w:iCs/>
          <w:sz w:val="22"/>
          <w:szCs w:val="22"/>
        </w:rPr>
      </w:pPr>
    </w:p>
    <w:p w14:paraId="6D338037" w14:textId="77777777" w:rsidR="0096520E" w:rsidRPr="00A13FC1" w:rsidRDefault="0096520E" w:rsidP="0096520E">
      <w:pPr>
        <w:rPr>
          <w:rFonts w:cstheme="minorHAnsi"/>
          <w:sz w:val="22"/>
          <w:szCs w:val="22"/>
        </w:rPr>
      </w:pPr>
      <w:r w:rsidRPr="00A13FC1">
        <w:rPr>
          <w:rFonts w:cstheme="minorHAnsi"/>
          <w:sz w:val="22"/>
          <w:szCs w:val="22"/>
        </w:rPr>
        <w:t>CCBHCs are intended to transform the behavioral health system through the delivery of comprehensive and coordinated behavioral healthcare that is both person- and family-centered. Research demonstrates disparities in access to mental health and substance use treatment. BIPOC, particularly Black</w:t>
      </w:r>
      <w:r>
        <w:rPr>
          <w:rFonts w:cstheme="minorHAnsi"/>
          <w:sz w:val="22"/>
          <w:szCs w:val="22"/>
        </w:rPr>
        <w:t>/African American</w:t>
      </w:r>
      <w:r w:rsidRPr="00A13FC1">
        <w:rPr>
          <w:rFonts w:cstheme="minorHAnsi"/>
          <w:sz w:val="22"/>
          <w:szCs w:val="22"/>
        </w:rPr>
        <w:t xml:space="preserve">, American Indian/Alaskan Native, and </w:t>
      </w:r>
      <w:r>
        <w:rPr>
          <w:rFonts w:cstheme="minorHAnsi"/>
          <w:sz w:val="22"/>
          <w:szCs w:val="22"/>
        </w:rPr>
        <w:t>Hispanic/</w:t>
      </w:r>
      <w:r w:rsidRPr="00A13FC1">
        <w:rPr>
          <w:rFonts w:cstheme="minorHAnsi"/>
          <w:sz w:val="22"/>
          <w:szCs w:val="22"/>
        </w:rPr>
        <w:t>Latino</w:t>
      </w:r>
      <w:r>
        <w:rPr>
          <w:rFonts w:cstheme="minorHAnsi"/>
          <w:sz w:val="22"/>
          <w:szCs w:val="22"/>
        </w:rPr>
        <w:t>/a/x</w:t>
      </w:r>
      <w:r w:rsidRPr="00A13FC1">
        <w:rPr>
          <w:rFonts w:cstheme="minorHAnsi"/>
          <w:sz w:val="22"/>
          <w:szCs w:val="22"/>
        </w:rPr>
        <w:t xml:space="preserve"> individuals, have substantially lower access to mental health and substance use treatment services and are less likely to experience culturally appropriate treatment compared to non-</w:t>
      </w:r>
      <w:r>
        <w:rPr>
          <w:rFonts w:cstheme="minorHAnsi"/>
          <w:sz w:val="22"/>
          <w:szCs w:val="22"/>
        </w:rPr>
        <w:t>Hispanic/</w:t>
      </w:r>
      <w:r w:rsidRPr="00A13FC1">
        <w:rPr>
          <w:rFonts w:cstheme="minorHAnsi"/>
          <w:sz w:val="22"/>
          <w:szCs w:val="22"/>
        </w:rPr>
        <w:t>Latino</w:t>
      </w:r>
      <w:r>
        <w:rPr>
          <w:rFonts w:cstheme="minorHAnsi"/>
          <w:sz w:val="22"/>
          <w:szCs w:val="22"/>
        </w:rPr>
        <w:t>/a/x</w:t>
      </w:r>
      <w:r w:rsidRPr="00A13FC1">
        <w:rPr>
          <w:rFonts w:cstheme="minorHAnsi"/>
          <w:sz w:val="22"/>
          <w:szCs w:val="22"/>
        </w:rPr>
        <w:t xml:space="preserve"> whites (SAMHSA, 2020</w:t>
      </w:r>
      <w:r>
        <w:rPr>
          <w:rFonts w:cstheme="minorHAnsi"/>
          <w:sz w:val="22"/>
          <w:szCs w:val="22"/>
        </w:rPr>
        <w:t>)</w:t>
      </w:r>
      <w:r w:rsidRPr="00A13FC1">
        <w:rPr>
          <w:rFonts w:cstheme="minorHAnsi"/>
          <w:sz w:val="22"/>
          <w:szCs w:val="22"/>
        </w:rPr>
        <w:t xml:space="preserve">. Thus, it was critical that the evaluation not only consider access but also the degree to which available services are culturally and linguistically appropriate.   </w:t>
      </w:r>
    </w:p>
    <w:p w14:paraId="6BCABBDC" w14:textId="77777777" w:rsidR="0096520E" w:rsidRPr="00A13FC1" w:rsidRDefault="0096520E" w:rsidP="0096520E">
      <w:pPr>
        <w:rPr>
          <w:rFonts w:cstheme="minorHAnsi"/>
          <w:sz w:val="22"/>
          <w:szCs w:val="22"/>
        </w:rPr>
      </w:pPr>
    </w:p>
    <w:p w14:paraId="5B95C6C1" w14:textId="77777777" w:rsidR="0096520E" w:rsidRPr="00A13FC1" w:rsidRDefault="0096520E" w:rsidP="0096520E">
      <w:pPr>
        <w:rPr>
          <w:rFonts w:cstheme="minorHAnsi"/>
          <w:sz w:val="22"/>
          <w:szCs w:val="22"/>
        </w:rPr>
      </w:pPr>
      <w:r w:rsidRPr="00A13FC1">
        <w:rPr>
          <w:rFonts w:cstheme="minorHAnsi"/>
          <w:sz w:val="22"/>
          <w:szCs w:val="22"/>
        </w:rPr>
        <w:t xml:space="preserve">The evaluation framework includes key equity indicators for each concept to ensure that data are collected that can answer questions about how resources were/are allocated across communities and the degree to which considerations for equity were/are included in planning, implementation, and sustainability. While equity should be embedded within an evaluation, the </w:t>
      </w:r>
      <w:r>
        <w:rPr>
          <w:rFonts w:cstheme="minorHAnsi"/>
          <w:sz w:val="22"/>
          <w:szCs w:val="22"/>
        </w:rPr>
        <w:t>evaluation</w:t>
      </w:r>
      <w:r w:rsidRPr="00A13FC1">
        <w:rPr>
          <w:rFonts w:cstheme="minorHAnsi"/>
          <w:sz w:val="22"/>
          <w:szCs w:val="22"/>
        </w:rPr>
        <w:t xml:space="preserve"> team also recognized the importance of specifically identifying equity to emphasize its importance. As a result, the framework </w:t>
      </w:r>
      <w:r>
        <w:rPr>
          <w:rFonts w:cstheme="minorHAnsi"/>
          <w:sz w:val="22"/>
          <w:szCs w:val="22"/>
        </w:rPr>
        <w:t>centers</w:t>
      </w:r>
      <w:r w:rsidRPr="00A13FC1">
        <w:rPr>
          <w:rFonts w:cstheme="minorHAnsi"/>
          <w:sz w:val="22"/>
          <w:szCs w:val="22"/>
        </w:rPr>
        <w:t xml:space="preserve"> an equity focus on understanding the impact on service delivery and community health outcomes from the perspectives of </w:t>
      </w:r>
      <w:r w:rsidRPr="00A13FC1">
        <w:rPr>
          <w:rFonts w:cstheme="minorHAnsi"/>
          <w:iCs/>
          <w:sz w:val="22"/>
          <w:szCs w:val="22"/>
        </w:rPr>
        <w:t>service user</w:t>
      </w:r>
      <w:r w:rsidRPr="00A13FC1">
        <w:rPr>
          <w:rFonts w:cstheme="minorHAnsi"/>
          <w:sz w:val="22"/>
          <w:szCs w:val="22"/>
        </w:rPr>
        <w:t xml:space="preserve">s and interested parties from community-based organizations.  </w:t>
      </w:r>
    </w:p>
    <w:p w14:paraId="1BF6C03E" w14:textId="77777777" w:rsidR="0096520E" w:rsidRPr="00A13FC1" w:rsidRDefault="0096520E" w:rsidP="0096520E">
      <w:pPr>
        <w:rPr>
          <w:rFonts w:cstheme="minorHAnsi"/>
          <w:sz w:val="22"/>
          <w:szCs w:val="22"/>
        </w:rPr>
      </w:pPr>
    </w:p>
    <w:p w14:paraId="6439D41A" w14:textId="08BF76AF" w:rsidR="0096520E" w:rsidRPr="00A13FC1" w:rsidRDefault="0096520E" w:rsidP="0096520E">
      <w:pPr>
        <w:rPr>
          <w:rFonts w:cstheme="minorHAnsi"/>
          <w:sz w:val="22"/>
          <w:szCs w:val="22"/>
        </w:rPr>
      </w:pPr>
      <w:r w:rsidRPr="00A13FC1">
        <w:rPr>
          <w:rFonts w:cstheme="minorHAnsi"/>
          <w:sz w:val="22"/>
          <w:szCs w:val="22"/>
        </w:rPr>
        <w:t xml:space="preserve">There are six evaluation concepts, each of which is linked to the aims and the RE-AIM model as illustrated in </w:t>
      </w:r>
      <w:r w:rsidRPr="00A35AAA">
        <w:rPr>
          <w:rFonts w:cstheme="minorHAnsi"/>
          <w:color w:val="6A7F0F"/>
          <w:sz w:val="22"/>
          <w:szCs w:val="22"/>
        </w:rPr>
        <w:t>Table A3</w:t>
      </w:r>
      <w:r w:rsidR="00C5217E">
        <w:rPr>
          <w:rFonts w:cstheme="minorHAnsi"/>
          <w:color w:val="6A7F0F"/>
          <w:sz w:val="22"/>
          <w:szCs w:val="22"/>
        </w:rPr>
        <w:t>.</w:t>
      </w:r>
      <w:r w:rsidRPr="00A35AAA">
        <w:rPr>
          <w:rFonts w:cstheme="minorHAnsi"/>
          <w:color w:val="6A7F0F"/>
          <w:sz w:val="22"/>
          <w:szCs w:val="22"/>
        </w:rPr>
        <w:t xml:space="preserve">1 </w:t>
      </w:r>
      <w:r w:rsidRPr="00A13FC1">
        <w:rPr>
          <w:rFonts w:cstheme="minorHAnsi"/>
          <w:sz w:val="22"/>
          <w:szCs w:val="22"/>
        </w:rPr>
        <w:t>below.</w:t>
      </w:r>
    </w:p>
    <w:p w14:paraId="47D95D5C" w14:textId="77777777" w:rsidR="00A460F8" w:rsidRPr="00A13FC1" w:rsidRDefault="00A460F8" w:rsidP="00A460F8">
      <w:pPr>
        <w:rPr>
          <w:rFonts w:cstheme="minorHAnsi"/>
          <w:sz w:val="22"/>
          <w:szCs w:val="22"/>
        </w:rPr>
      </w:pPr>
    </w:p>
    <w:p w14:paraId="78DF6271" w14:textId="418B79F4" w:rsidR="00A460F8" w:rsidRPr="00000D4B" w:rsidRDefault="00A460F8" w:rsidP="00A460F8">
      <w:pPr>
        <w:jc w:val="center"/>
        <w:rPr>
          <w:rFonts w:cstheme="minorHAnsi"/>
          <w:b/>
          <w:bCs/>
          <w:color w:val="6A7F0F"/>
          <w:sz w:val="22"/>
          <w:szCs w:val="22"/>
        </w:rPr>
      </w:pPr>
      <w:bookmarkStart w:id="62" w:name="Appendix3_Table_A31"/>
      <w:r w:rsidRPr="00000D4B">
        <w:rPr>
          <w:rFonts w:cstheme="minorHAnsi"/>
          <w:b/>
          <w:bCs/>
          <w:color w:val="6A7F0F"/>
          <w:sz w:val="22"/>
          <w:szCs w:val="22"/>
        </w:rPr>
        <w:t>Table A3</w:t>
      </w:r>
      <w:r w:rsidR="00C5217E" w:rsidRPr="00000D4B">
        <w:rPr>
          <w:rFonts w:cstheme="minorHAnsi"/>
          <w:b/>
          <w:bCs/>
          <w:color w:val="6A7F0F"/>
          <w:sz w:val="22"/>
          <w:szCs w:val="22"/>
        </w:rPr>
        <w:t>.</w:t>
      </w:r>
      <w:r w:rsidRPr="00000D4B">
        <w:rPr>
          <w:rFonts w:cstheme="minorHAnsi"/>
          <w:b/>
          <w:bCs/>
          <w:color w:val="6A7F0F"/>
          <w:sz w:val="22"/>
          <w:szCs w:val="22"/>
        </w:rPr>
        <w:t>1: Conceptual Framework and Evaluation Aims</w:t>
      </w:r>
    </w:p>
    <w:bookmarkEnd w:id="62"/>
    <w:p w14:paraId="2CD088F4" w14:textId="77777777" w:rsidR="00A460F8" w:rsidRPr="00A13FC1" w:rsidRDefault="00A460F8" w:rsidP="00A460F8">
      <w:pPr>
        <w:jc w:val="center"/>
        <w:rPr>
          <w:rFonts w:cstheme="minorHAnsi"/>
          <w:sz w:val="22"/>
          <w:szCs w:val="22"/>
        </w:rPr>
      </w:pPr>
    </w:p>
    <w:tbl>
      <w:tblPr>
        <w:tblStyle w:val="TableGrid"/>
        <w:tblW w:w="8519" w:type="dxa"/>
        <w:jc w:val="center"/>
        <w:tblLook w:val="04A0" w:firstRow="1" w:lastRow="0" w:firstColumn="1" w:lastColumn="0" w:noHBand="0" w:noVBand="1"/>
      </w:tblPr>
      <w:tblGrid>
        <w:gridCol w:w="4604"/>
        <w:gridCol w:w="808"/>
        <w:gridCol w:w="3107"/>
      </w:tblGrid>
      <w:tr w:rsidR="00F7725C" w14:paraId="62B63787" w14:textId="77777777" w:rsidTr="00E72162">
        <w:trPr>
          <w:jc w:val="center"/>
        </w:trPr>
        <w:tc>
          <w:tcPr>
            <w:tcW w:w="4604" w:type="dxa"/>
            <w:shd w:val="clear" w:color="auto" w:fill="E7E6E6" w:themeFill="background2"/>
          </w:tcPr>
          <w:p w14:paraId="6F2D8F62" w14:textId="77777777" w:rsidR="00F7725C" w:rsidRPr="005D5939" w:rsidRDefault="00F7725C" w:rsidP="00E72162">
            <w:pPr>
              <w:jc w:val="center"/>
              <w:rPr>
                <w:rFonts w:cstheme="minorHAnsi"/>
                <w:b/>
                <w:bCs/>
                <w:sz w:val="22"/>
                <w:szCs w:val="22"/>
              </w:rPr>
            </w:pPr>
            <w:r w:rsidRPr="00A13FC1">
              <w:rPr>
                <w:rFonts w:cstheme="minorHAnsi"/>
                <w:b/>
                <w:bCs/>
                <w:sz w:val="22"/>
                <w:szCs w:val="22"/>
              </w:rPr>
              <w:t>Evaluation Concept</w:t>
            </w:r>
          </w:p>
        </w:tc>
        <w:tc>
          <w:tcPr>
            <w:tcW w:w="808" w:type="dxa"/>
            <w:shd w:val="clear" w:color="auto" w:fill="E7E6E6" w:themeFill="background2"/>
          </w:tcPr>
          <w:p w14:paraId="41E2A0A2" w14:textId="77777777" w:rsidR="00F7725C" w:rsidRPr="005D5939" w:rsidRDefault="00F7725C" w:rsidP="00E72162">
            <w:pPr>
              <w:jc w:val="center"/>
              <w:rPr>
                <w:rFonts w:cstheme="minorHAnsi"/>
                <w:b/>
                <w:bCs/>
                <w:sz w:val="22"/>
                <w:szCs w:val="22"/>
              </w:rPr>
            </w:pPr>
            <w:r w:rsidRPr="00A13FC1">
              <w:rPr>
                <w:rFonts w:cstheme="minorHAnsi"/>
                <w:b/>
                <w:bCs/>
                <w:sz w:val="22"/>
                <w:szCs w:val="22"/>
              </w:rPr>
              <w:t>Aim(s)</w:t>
            </w:r>
          </w:p>
        </w:tc>
        <w:tc>
          <w:tcPr>
            <w:tcW w:w="3107" w:type="dxa"/>
            <w:shd w:val="clear" w:color="auto" w:fill="E7E6E6" w:themeFill="background2"/>
          </w:tcPr>
          <w:p w14:paraId="2E392E69" w14:textId="77777777" w:rsidR="00F7725C" w:rsidRPr="005D5939" w:rsidRDefault="00F7725C" w:rsidP="00E72162">
            <w:pPr>
              <w:jc w:val="center"/>
              <w:rPr>
                <w:rFonts w:cstheme="minorHAnsi"/>
                <w:b/>
                <w:bCs/>
                <w:sz w:val="22"/>
                <w:szCs w:val="22"/>
              </w:rPr>
            </w:pPr>
            <w:r w:rsidRPr="00A13FC1">
              <w:rPr>
                <w:rFonts w:cstheme="minorHAnsi"/>
                <w:b/>
                <w:bCs/>
                <w:sz w:val="22"/>
                <w:szCs w:val="22"/>
              </w:rPr>
              <w:t>RE-AIM Component</w:t>
            </w:r>
          </w:p>
        </w:tc>
      </w:tr>
      <w:tr w:rsidR="00F7725C" w:rsidRPr="00A13FC1" w14:paraId="1BB50FC6" w14:textId="77777777" w:rsidTr="00E72162">
        <w:trPr>
          <w:jc w:val="center"/>
        </w:trPr>
        <w:tc>
          <w:tcPr>
            <w:tcW w:w="4604" w:type="dxa"/>
          </w:tcPr>
          <w:p w14:paraId="037D1787" w14:textId="77777777" w:rsidR="00F7725C" w:rsidRPr="00A13FC1" w:rsidRDefault="00F7725C" w:rsidP="00E72162">
            <w:pPr>
              <w:rPr>
                <w:rFonts w:cstheme="minorHAnsi"/>
                <w:b/>
                <w:bCs/>
                <w:sz w:val="22"/>
                <w:szCs w:val="22"/>
              </w:rPr>
            </w:pPr>
          </w:p>
        </w:tc>
        <w:tc>
          <w:tcPr>
            <w:tcW w:w="808" w:type="dxa"/>
          </w:tcPr>
          <w:p w14:paraId="70FC5594" w14:textId="77777777" w:rsidR="00F7725C" w:rsidRPr="00A13FC1" w:rsidRDefault="00F7725C" w:rsidP="00E72162">
            <w:pPr>
              <w:rPr>
                <w:rFonts w:cstheme="minorHAnsi"/>
                <w:b/>
                <w:bCs/>
                <w:sz w:val="22"/>
                <w:szCs w:val="22"/>
              </w:rPr>
            </w:pPr>
          </w:p>
        </w:tc>
        <w:tc>
          <w:tcPr>
            <w:tcW w:w="3107" w:type="dxa"/>
          </w:tcPr>
          <w:p w14:paraId="1B6C102B" w14:textId="77777777" w:rsidR="00F7725C" w:rsidRPr="00A13FC1" w:rsidRDefault="00F7725C" w:rsidP="00E72162">
            <w:pPr>
              <w:rPr>
                <w:rFonts w:cstheme="minorHAnsi"/>
                <w:b/>
                <w:bCs/>
                <w:sz w:val="22"/>
                <w:szCs w:val="22"/>
              </w:rPr>
            </w:pPr>
          </w:p>
        </w:tc>
      </w:tr>
      <w:tr w:rsidR="00F7725C" w:rsidRPr="00A13FC1" w14:paraId="4CF8F678" w14:textId="77777777" w:rsidTr="00E72162">
        <w:trPr>
          <w:jc w:val="center"/>
        </w:trPr>
        <w:tc>
          <w:tcPr>
            <w:tcW w:w="4604" w:type="dxa"/>
          </w:tcPr>
          <w:p w14:paraId="0C2AE3B8" w14:textId="77777777" w:rsidR="00F7725C" w:rsidRPr="00A13FC1" w:rsidRDefault="00F7725C" w:rsidP="00E72162">
            <w:pPr>
              <w:rPr>
                <w:rFonts w:cstheme="minorHAnsi"/>
                <w:iCs/>
                <w:sz w:val="22"/>
                <w:szCs w:val="22"/>
              </w:rPr>
            </w:pPr>
            <w:r w:rsidRPr="00A13FC1">
              <w:rPr>
                <w:rFonts w:cstheme="minorHAnsi"/>
                <w:iCs/>
                <w:sz w:val="22"/>
                <w:szCs w:val="22"/>
              </w:rPr>
              <w:t>Impact on equitable service delivery and community health outcomes</w:t>
            </w:r>
          </w:p>
        </w:tc>
        <w:tc>
          <w:tcPr>
            <w:tcW w:w="808" w:type="dxa"/>
          </w:tcPr>
          <w:p w14:paraId="646EB394" w14:textId="77777777" w:rsidR="00F7725C" w:rsidRPr="00A13FC1" w:rsidRDefault="00F7725C" w:rsidP="00E72162">
            <w:pPr>
              <w:jc w:val="center"/>
              <w:rPr>
                <w:rFonts w:cstheme="minorHAnsi"/>
                <w:sz w:val="22"/>
                <w:szCs w:val="22"/>
              </w:rPr>
            </w:pPr>
            <w:r w:rsidRPr="00A13FC1">
              <w:rPr>
                <w:rFonts w:cstheme="minorHAnsi"/>
                <w:sz w:val="22"/>
                <w:szCs w:val="22"/>
              </w:rPr>
              <w:t>1,2</w:t>
            </w:r>
          </w:p>
        </w:tc>
        <w:tc>
          <w:tcPr>
            <w:tcW w:w="3107" w:type="dxa"/>
          </w:tcPr>
          <w:p w14:paraId="05EC1547" w14:textId="77777777" w:rsidR="00F7725C" w:rsidRPr="00A13FC1" w:rsidRDefault="00F7725C" w:rsidP="00E72162">
            <w:pPr>
              <w:rPr>
                <w:rFonts w:cstheme="minorHAnsi"/>
                <w:sz w:val="22"/>
                <w:szCs w:val="22"/>
              </w:rPr>
            </w:pPr>
            <w:r w:rsidRPr="00A13FC1">
              <w:rPr>
                <w:rFonts w:cstheme="minorHAnsi"/>
                <w:sz w:val="22"/>
                <w:szCs w:val="22"/>
              </w:rPr>
              <w:t>Reach, Evaluation</w:t>
            </w:r>
          </w:p>
        </w:tc>
      </w:tr>
      <w:tr w:rsidR="00F7725C" w:rsidRPr="00A13FC1" w14:paraId="2786912D" w14:textId="77777777" w:rsidTr="00E72162">
        <w:trPr>
          <w:jc w:val="center"/>
        </w:trPr>
        <w:tc>
          <w:tcPr>
            <w:tcW w:w="4604" w:type="dxa"/>
          </w:tcPr>
          <w:p w14:paraId="061443D9" w14:textId="77777777" w:rsidR="00F7725C" w:rsidRPr="00A13FC1" w:rsidRDefault="00F7725C" w:rsidP="00E72162">
            <w:pPr>
              <w:rPr>
                <w:rFonts w:cstheme="minorHAnsi"/>
                <w:sz w:val="22"/>
                <w:szCs w:val="22"/>
              </w:rPr>
            </w:pPr>
            <w:r w:rsidRPr="00A13FC1">
              <w:rPr>
                <w:rFonts w:cstheme="minorHAnsi"/>
                <w:sz w:val="22"/>
                <w:szCs w:val="22"/>
              </w:rPr>
              <w:t>Impact of CCBHC model on clinic operations</w:t>
            </w:r>
          </w:p>
        </w:tc>
        <w:tc>
          <w:tcPr>
            <w:tcW w:w="808" w:type="dxa"/>
          </w:tcPr>
          <w:p w14:paraId="527B7EAC" w14:textId="77777777" w:rsidR="00F7725C" w:rsidRPr="00A13FC1" w:rsidRDefault="00F7725C" w:rsidP="00E72162">
            <w:pPr>
              <w:jc w:val="center"/>
              <w:rPr>
                <w:rFonts w:cstheme="minorHAnsi"/>
                <w:sz w:val="22"/>
                <w:szCs w:val="22"/>
              </w:rPr>
            </w:pPr>
            <w:r w:rsidRPr="00A13FC1">
              <w:rPr>
                <w:rFonts w:cstheme="minorHAnsi"/>
                <w:sz w:val="22"/>
                <w:szCs w:val="22"/>
              </w:rPr>
              <w:t>1</w:t>
            </w:r>
          </w:p>
        </w:tc>
        <w:tc>
          <w:tcPr>
            <w:tcW w:w="3107" w:type="dxa"/>
          </w:tcPr>
          <w:p w14:paraId="66B77814" w14:textId="77777777" w:rsidR="00F7725C" w:rsidRPr="00A13FC1" w:rsidRDefault="00F7725C" w:rsidP="00E72162">
            <w:pPr>
              <w:rPr>
                <w:rFonts w:cstheme="minorHAnsi"/>
                <w:sz w:val="22"/>
                <w:szCs w:val="22"/>
              </w:rPr>
            </w:pPr>
            <w:r w:rsidRPr="00A13FC1">
              <w:rPr>
                <w:rFonts w:cstheme="minorHAnsi"/>
                <w:sz w:val="22"/>
                <w:szCs w:val="22"/>
              </w:rPr>
              <w:t>Evaluation</w:t>
            </w:r>
          </w:p>
        </w:tc>
      </w:tr>
      <w:tr w:rsidR="00F7725C" w:rsidRPr="00A13FC1" w14:paraId="4A63748B" w14:textId="77777777" w:rsidTr="00E72162">
        <w:trPr>
          <w:jc w:val="center"/>
        </w:trPr>
        <w:tc>
          <w:tcPr>
            <w:tcW w:w="4604" w:type="dxa"/>
          </w:tcPr>
          <w:p w14:paraId="707C3320" w14:textId="77777777" w:rsidR="00F7725C" w:rsidRPr="00A13FC1" w:rsidRDefault="00F7725C" w:rsidP="00E72162">
            <w:pPr>
              <w:rPr>
                <w:rFonts w:cstheme="minorHAnsi"/>
                <w:sz w:val="22"/>
                <w:szCs w:val="22"/>
              </w:rPr>
            </w:pPr>
            <w:r w:rsidRPr="00A13FC1">
              <w:rPr>
                <w:rFonts w:cstheme="minorHAnsi"/>
                <w:sz w:val="22"/>
                <w:szCs w:val="22"/>
              </w:rPr>
              <w:t xml:space="preserve">Costs/performance outcomes </w:t>
            </w:r>
          </w:p>
        </w:tc>
        <w:tc>
          <w:tcPr>
            <w:tcW w:w="808" w:type="dxa"/>
          </w:tcPr>
          <w:p w14:paraId="67C25346" w14:textId="77777777" w:rsidR="00F7725C" w:rsidRPr="00A13FC1" w:rsidRDefault="00F7725C" w:rsidP="00E72162">
            <w:pPr>
              <w:jc w:val="center"/>
              <w:rPr>
                <w:rFonts w:cstheme="minorHAnsi"/>
                <w:sz w:val="22"/>
                <w:szCs w:val="22"/>
              </w:rPr>
            </w:pPr>
            <w:r w:rsidRPr="00A13FC1">
              <w:rPr>
                <w:rFonts w:cstheme="minorHAnsi"/>
                <w:sz w:val="22"/>
                <w:szCs w:val="22"/>
              </w:rPr>
              <w:t>2</w:t>
            </w:r>
          </w:p>
        </w:tc>
        <w:tc>
          <w:tcPr>
            <w:tcW w:w="3107" w:type="dxa"/>
          </w:tcPr>
          <w:p w14:paraId="25019FFD" w14:textId="77777777" w:rsidR="00F7725C" w:rsidRPr="00A13FC1" w:rsidRDefault="00F7725C" w:rsidP="00E72162">
            <w:pPr>
              <w:rPr>
                <w:rFonts w:cstheme="minorHAnsi"/>
                <w:sz w:val="22"/>
                <w:szCs w:val="22"/>
              </w:rPr>
            </w:pPr>
            <w:r w:rsidRPr="00A13FC1">
              <w:rPr>
                <w:rFonts w:cstheme="minorHAnsi"/>
                <w:sz w:val="22"/>
                <w:szCs w:val="22"/>
              </w:rPr>
              <w:t>Evaluation</w:t>
            </w:r>
          </w:p>
        </w:tc>
      </w:tr>
      <w:tr w:rsidR="00F7725C" w:rsidRPr="00A13FC1" w14:paraId="542022C8" w14:textId="77777777" w:rsidTr="00E72162">
        <w:trPr>
          <w:jc w:val="center"/>
        </w:trPr>
        <w:tc>
          <w:tcPr>
            <w:tcW w:w="4604" w:type="dxa"/>
          </w:tcPr>
          <w:p w14:paraId="647AC4D9" w14:textId="77777777" w:rsidR="00F7725C" w:rsidRPr="00A13FC1" w:rsidRDefault="00F7725C" w:rsidP="00E72162">
            <w:pPr>
              <w:rPr>
                <w:rFonts w:cstheme="minorHAnsi"/>
                <w:sz w:val="22"/>
                <w:szCs w:val="22"/>
                <w:lang w:bidi="th-TH"/>
              </w:rPr>
            </w:pPr>
            <w:r w:rsidRPr="00A13FC1">
              <w:rPr>
                <w:rFonts w:cstheme="minorHAnsi"/>
                <w:sz w:val="22"/>
                <w:szCs w:val="22"/>
                <w:lang w:bidi="th-TH"/>
              </w:rPr>
              <w:t>CCBHC implementation</w:t>
            </w:r>
          </w:p>
        </w:tc>
        <w:tc>
          <w:tcPr>
            <w:tcW w:w="808" w:type="dxa"/>
          </w:tcPr>
          <w:p w14:paraId="54DE9631" w14:textId="77777777" w:rsidR="00F7725C" w:rsidRPr="00A13FC1" w:rsidRDefault="00F7725C" w:rsidP="00E72162">
            <w:pPr>
              <w:jc w:val="center"/>
              <w:rPr>
                <w:rFonts w:cstheme="minorHAnsi"/>
                <w:sz w:val="22"/>
                <w:szCs w:val="22"/>
              </w:rPr>
            </w:pPr>
            <w:r w:rsidRPr="00A13FC1">
              <w:rPr>
                <w:rFonts w:cstheme="minorHAnsi"/>
                <w:sz w:val="22"/>
                <w:szCs w:val="22"/>
              </w:rPr>
              <w:t>3</w:t>
            </w:r>
          </w:p>
        </w:tc>
        <w:tc>
          <w:tcPr>
            <w:tcW w:w="3107" w:type="dxa"/>
          </w:tcPr>
          <w:p w14:paraId="7A34BC13" w14:textId="77777777" w:rsidR="00F7725C" w:rsidRPr="00A13FC1" w:rsidRDefault="00F7725C" w:rsidP="00E72162">
            <w:pPr>
              <w:rPr>
                <w:rFonts w:cstheme="minorHAnsi"/>
                <w:sz w:val="22"/>
                <w:szCs w:val="22"/>
              </w:rPr>
            </w:pPr>
            <w:r w:rsidRPr="00A13FC1">
              <w:rPr>
                <w:rFonts w:cstheme="minorHAnsi"/>
                <w:sz w:val="22"/>
                <w:szCs w:val="22"/>
                <w:lang w:bidi="th-TH"/>
              </w:rPr>
              <w:t xml:space="preserve">Reach, Adoption, </w:t>
            </w:r>
            <w:r w:rsidRPr="00A13FC1">
              <w:rPr>
                <w:rFonts w:cstheme="minorHAnsi"/>
                <w:sz w:val="22"/>
                <w:szCs w:val="22"/>
              </w:rPr>
              <w:t>Implementation</w:t>
            </w:r>
          </w:p>
        </w:tc>
      </w:tr>
      <w:tr w:rsidR="00F7725C" w:rsidRPr="00A13FC1" w14:paraId="28EC221F" w14:textId="77777777" w:rsidTr="00E72162">
        <w:trPr>
          <w:jc w:val="center"/>
        </w:trPr>
        <w:tc>
          <w:tcPr>
            <w:tcW w:w="4604" w:type="dxa"/>
          </w:tcPr>
          <w:p w14:paraId="6FE3327D" w14:textId="77777777" w:rsidR="00F7725C" w:rsidRPr="00A13FC1" w:rsidRDefault="00F7725C" w:rsidP="00E72162">
            <w:pPr>
              <w:rPr>
                <w:rFonts w:cstheme="minorHAnsi"/>
                <w:sz w:val="22"/>
                <w:szCs w:val="22"/>
                <w:lang w:bidi="th-TH"/>
              </w:rPr>
            </w:pPr>
            <w:r w:rsidRPr="00A13FC1">
              <w:rPr>
                <w:rFonts w:cstheme="minorHAnsi"/>
                <w:sz w:val="22"/>
                <w:szCs w:val="22"/>
                <w:lang w:bidi="th-TH"/>
              </w:rPr>
              <w:t>CCBHC sustainability/expansion</w:t>
            </w:r>
          </w:p>
        </w:tc>
        <w:tc>
          <w:tcPr>
            <w:tcW w:w="808" w:type="dxa"/>
          </w:tcPr>
          <w:p w14:paraId="7A14CB76" w14:textId="77777777" w:rsidR="00F7725C" w:rsidRPr="00A13FC1" w:rsidRDefault="00F7725C" w:rsidP="00E72162">
            <w:pPr>
              <w:jc w:val="center"/>
              <w:rPr>
                <w:rFonts w:cstheme="minorHAnsi"/>
                <w:sz w:val="22"/>
                <w:szCs w:val="22"/>
              </w:rPr>
            </w:pPr>
            <w:r w:rsidRPr="00A13FC1">
              <w:rPr>
                <w:rFonts w:cstheme="minorHAnsi"/>
                <w:sz w:val="22"/>
                <w:szCs w:val="22"/>
              </w:rPr>
              <w:t>4</w:t>
            </w:r>
          </w:p>
        </w:tc>
        <w:tc>
          <w:tcPr>
            <w:tcW w:w="3107" w:type="dxa"/>
          </w:tcPr>
          <w:p w14:paraId="0ACE56FF" w14:textId="77777777" w:rsidR="00F7725C" w:rsidRPr="00A13FC1" w:rsidRDefault="00F7725C" w:rsidP="00E72162">
            <w:pPr>
              <w:rPr>
                <w:rFonts w:cstheme="minorHAnsi"/>
                <w:sz w:val="22"/>
                <w:szCs w:val="22"/>
              </w:rPr>
            </w:pPr>
            <w:r w:rsidRPr="00A13FC1">
              <w:rPr>
                <w:rFonts w:cstheme="minorHAnsi"/>
                <w:sz w:val="22"/>
                <w:szCs w:val="22"/>
              </w:rPr>
              <w:t>Maintenance</w:t>
            </w:r>
          </w:p>
        </w:tc>
      </w:tr>
      <w:tr w:rsidR="00F7725C" w:rsidRPr="00A13FC1" w14:paraId="45216BDB" w14:textId="77777777" w:rsidTr="00E72162">
        <w:trPr>
          <w:jc w:val="center"/>
        </w:trPr>
        <w:tc>
          <w:tcPr>
            <w:tcW w:w="4604" w:type="dxa"/>
          </w:tcPr>
          <w:p w14:paraId="05E5BC8F" w14:textId="77777777" w:rsidR="00F7725C" w:rsidRPr="00A13FC1" w:rsidRDefault="00F7725C" w:rsidP="00E72162">
            <w:pPr>
              <w:rPr>
                <w:rFonts w:cstheme="minorHAnsi"/>
                <w:sz w:val="22"/>
                <w:szCs w:val="22"/>
              </w:rPr>
            </w:pPr>
            <w:r w:rsidRPr="00A13FC1">
              <w:rPr>
                <w:rFonts w:cstheme="minorHAnsi"/>
                <w:sz w:val="22"/>
                <w:szCs w:val="22"/>
              </w:rPr>
              <w:t>CCBHC role in Oregon health systems reform</w:t>
            </w:r>
          </w:p>
        </w:tc>
        <w:tc>
          <w:tcPr>
            <w:tcW w:w="808" w:type="dxa"/>
          </w:tcPr>
          <w:p w14:paraId="597F5D64" w14:textId="77777777" w:rsidR="00F7725C" w:rsidRPr="00A13FC1" w:rsidRDefault="00F7725C" w:rsidP="00E72162">
            <w:pPr>
              <w:jc w:val="center"/>
              <w:rPr>
                <w:rFonts w:cstheme="minorHAnsi"/>
                <w:sz w:val="22"/>
                <w:szCs w:val="22"/>
              </w:rPr>
            </w:pPr>
            <w:r w:rsidRPr="00A13FC1">
              <w:rPr>
                <w:rFonts w:cstheme="minorHAnsi"/>
                <w:sz w:val="22"/>
                <w:szCs w:val="22"/>
              </w:rPr>
              <w:t>4</w:t>
            </w:r>
          </w:p>
        </w:tc>
        <w:tc>
          <w:tcPr>
            <w:tcW w:w="3107" w:type="dxa"/>
          </w:tcPr>
          <w:p w14:paraId="062E9BF3" w14:textId="77777777" w:rsidR="00F7725C" w:rsidRPr="00A13FC1" w:rsidRDefault="00F7725C" w:rsidP="00E72162">
            <w:pPr>
              <w:rPr>
                <w:rFonts w:cstheme="minorHAnsi"/>
                <w:sz w:val="22"/>
                <w:szCs w:val="22"/>
              </w:rPr>
            </w:pPr>
            <w:r w:rsidRPr="00A13FC1">
              <w:rPr>
                <w:rFonts w:cstheme="minorHAnsi"/>
                <w:sz w:val="22"/>
                <w:szCs w:val="22"/>
              </w:rPr>
              <w:t>Maintenance</w:t>
            </w:r>
          </w:p>
        </w:tc>
      </w:tr>
    </w:tbl>
    <w:p w14:paraId="7B08E8A2" w14:textId="77777777" w:rsidR="00A460F8" w:rsidRPr="00A13FC1" w:rsidRDefault="00A460F8" w:rsidP="00A460F8">
      <w:pPr>
        <w:rPr>
          <w:rFonts w:cstheme="minorHAnsi"/>
          <w:sz w:val="22"/>
          <w:szCs w:val="22"/>
        </w:rPr>
      </w:pPr>
    </w:p>
    <w:p w14:paraId="7D53A883" w14:textId="7876F6AB" w:rsidR="0096520E" w:rsidRPr="00A13FC1" w:rsidRDefault="0096520E" w:rsidP="0096520E">
      <w:pPr>
        <w:rPr>
          <w:rFonts w:cstheme="minorHAnsi"/>
          <w:sz w:val="22"/>
          <w:szCs w:val="22"/>
        </w:rPr>
      </w:pPr>
      <w:r w:rsidRPr="00A13FC1">
        <w:rPr>
          <w:rFonts w:cstheme="minorHAnsi"/>
          <w:sz w:val="22"/>
          <w:szCs w:val="22"/>
        </w:rPr>
        <w:t xml:space="preserve">The evaluation framework developed for this project, including concepts, key indicators (key equity indicators are in </w:t>
      </w:r>
      <w:r w:rsidRPr="00A13FC1">
        <w:rPr>
          <w:rFonts w:cstheme="minorHAnsi"/>
          <w:i/>
          <w:iCs/>
          <w:sz w:val="22"/>
          <w:szCs w:val="22"/>
        </w:rPr>
        <w:t>italics</w:t>
      </w:r>
      <w:r w:rsidRPr="00A13FC1">
        <w:rPr>
          <w:rFonts w:cstheme="minorHAnsi"/>
          <w:sz w:val="22"/>
          <w:szCs w:val="22"/>
        </w:rPr>
        <w:t xml:space="preserve">), and data collection methods and sources, is presented in </w:t>
      </w:r>
      <w:r w:rsidRPr="00A35AAA">
        <w:rPr>
          <w:rFonts w:cstheme="minorHAnsi"/>
          <w:color w:val="6A7F0F"/>
          <w:sz w:val="22"/>
          <w:szCs w:val="22"/>
        </w:rPr>
        <w:t>Figure A3</w:t>
      </w:r>
      <w:r w:rsidR="00C5217E">
        <w:rPr>
          <w:rFonts w:cstheme="minorHAnsi"/>
          <w:color w:val="6A7F0F"/>
          <w:sz w:val="22"/>
          <w:szCs w:val="22"/>
        </w:rPr>
        <w:t>.</w:t>
      </w:r>
      <w:r w:rsidRPr="00A35AAA">
        <w:rPr>
          <w:rFonts w:cstheme="minorHAnsi"/>
          <w:color w:val="6A7F0F"/>
          <w:sz w:val="22"/>
          <w:szCs w:val="22"/>
        </w:rPr>
        <w:t>1</w:t>
      </w:r>
      <w:r w:rsidRPr="00A13FC1">
        <w:rPr>
          <w:rFonts w:cstheme="minorHAnsi"/>
          <w:sz w:val="22"/>
          <w:szCs w:val="22"/>
        </w:rPr>
        <w:t xml:space="preserve">. This was </w:t>
      </w:r>
      <w:r w:rsidR="00000D4B">
        <w:rPr>
          <w:rFonts w:cstheme="minorHAnsi"/>
          <w:sz w:val="22"/>
          <w:szCs w:val="22"/>
        </w:rPr>
        <w:t>updated</w:t>
      </w:r>
      <w:r w:rsidRPr="00A13FC1">
        <w:rPr>
          <w:rFonts w:cstheme="minorHAnsi"/>
          <w:sz w:val="22"/>
          <w:szCs w:val="22"/>
        </w:rPr>
        <w:t xml:space="preserve"> from the framework submitted to OHA in June 2022, with refinement of the key indicators and adjustment of some of the methods and sources. All relevant data collection protocols are appended.</w:t>
      </w:r>
    </w:p>
    <w:p w14:paraId="435EB55F" w14:textId="77777777" w:rsidR="00A460F8" w:rsidRPr="00EC4ADE" w:rsidRDefault="00A460F8" w:rsidP="00A460F8">
      <w:pPr>
        <w:rPr>
          <w:rFonts w:cstheme="minorHAnsi"/>
          <w:sz w:val="22"/>
          <w:szCs w:val="22"/>
        </w:rPr>
      </w:pPr>
    </w:p>
    <w:p w14:paraId="709A54F6" w14:textId="77777777" w:rsidR="00A32A0E" w:rsidRDefault="00A32A0E" w:rsidP="00A460F8">
      <w:pPr>
        <w:sectPr w:rsidR="00A32A0E" w:rsidSect="00A460F8">
          <w:pgSz w:w="12240" w:h="15840"/>
          <w:pgMar w:top="1494" w:right="1440" w:bottom="1440" w:left="1440" w:header="720" w:footer="720" w:gutter="0"/>
          <w:cols w:space="720"/>
          <w:docGrid w:linePitch="360"/>
        </w:sectPr>
      </w:pPr>
    </w:p>
    <w:p w14:paraId="686A3368" w14:textId="466F4C4E" w:rsidR="00A32A0E" w:rsidRPr="00000D4B" w:rsidRDefault="00A32A0E" w:rsidP="00A32A0E">
      <w:pPr>
        <w:jc w:val="center"/>
        <w:rPr>
          <w:rFonts w:cstheme="minorHAnsi"/>
          <w:b/>
          <w:bCs/>
          <w:color w:val="6A7F0F"/>
          <w:sz w:val="22"/>
          <w:szCs w:val="22"/>
        </w:rPr>
      </w:pPr>
      <w:bookmarkStart w:id="63" w:name="Appendix3_Figure_A31"/>
      <w:r w:rsidRPr="00000D4B">
        <w:rPr>
          <w:rFonts w:cstheme="minorHAnsi"/>
          <w:b/>
          <w:bCs/>
          <w:color w:val="6A7F0F"/>
          <w:sz w:val="22"/>
          <w:szCs w:val="22"/>
        </w:rPr>
        <w:t>Figure A3</w:t>
      </w:r>
      <w:r w:rsidR="00C5217E" w:rsidRPr="00000D4B">
        <w:rPr>
          <w:rFonts w:cstheme="minorHAnsi"/>
          <w:b/>
          <w:bCs/>
          <w:color w:val="6A7F0F"/>
          <w:sz w:val="22"/>
          <w:szCs w:val="22"/>
        </w:rPr>
        <w:t>.</w:t>
      </w:r>
      <w:r w:rsidRPr="00000D4B">
        <w:rPr>
          <w:rFonts w:cstheme="minorHAnsi"/>
          <w:b/>
          <w:bCs/>
          <w:color w:val="6A7F0F"/>
          <w:sz w:val="22"/>
          <w:szCs w:val="22"/>
        </w:rPr>
        <w:t xml:space="preserve">1: Revised CCBHC Evaluation Framework </w:t>
      </w:r>
    </w:p>
    <w:bookmarkEnd w:id="63"/>
    <w:p w14:paraId="4D431B56" w14:textId="77777777" w:rsidR="00A32A0E" w:rsidRPr="00A13FC1" w:rsidRDefault="00A32A0E" w:rsidP="00A32A0E">
      <w:pPr>
        <w:rPr>
          <w:rFonts w:cstheme="minorHAnsi"/>
          <w:sz w:val="20"/>
          <w:szCs w:val="20"/>
        </w:rPr>
      </w:pPr>
    </w:p>
    <w:tbl>
      <w:tblPr>
        <w:tblStyle w:val="TableGrid"/>
        <w:tblW w:w="13135" w:type="dxa"/>
        <w:jc w:val="center"/>
        <w:tblLook w:val="04A0" w:firstRow="1" w:lastRow="0" w:firstColumn="1" w:lastColumn="0" w:noHBand="0" w:noVBand="1"/>
      </w:tblPr>
      <w:tblGrid>
        <w:gridCol w:w="1705"/>
        <w:gridCol w:w="6840"/>
        <w:gridCol w:w="4590"/>
      </w:tblGrid>
      <w:tr w:rsidR="0096520E" w14:paraId="00F48F12" w14:textId="77777777" w:rsidTr="00E72162">
        <w:trPr>
          <w:jc w:val="center"/>
        </w:trPr>
        <w:tc>
          <w:tcPr>
            <w:tcW w:w="1705" w:type="dxa"/>
            <w:shd w:val="clear" w:color="auto" w:fill="E7E6E6" w:themeFill="background2"/>
          </w:tcPr>
          <w:p w14:paraId="2A6C4797" w14:textId="77777777" w:rsidR="0096520E" w:rsidRPr="005D5939" w:rsidRDefault="0096520E" w:rsidP="00E72162">
            <w:pPr>
              <w:jc w:val="center"/>
              <w:rPr>
                <w:rFonts w:cstheme="minorHAnsi"/>
                <w:b/>
                <w:bCs/>
                <w:sz w:val="22"/>
                <w:szCs w:val="22"/>
              </w:rPr>
            </w:pPr>
            <w:r w:rsidRPr="00A13FC1">
              <w:rPr>
                <w:rFonts w:cstheme="minorHAnsi"/>
                <w:b/>
                <w:sz w:val="20"/>
                <w:szCs w:val="20"/>
              </w:rPr>
              <w:t>Concepts</w:t>
            </w:r>
          </w:p>
        </w:tc>
        <w:tc>
          <w:tcPr>
            <w:tcW w:w="6840" w:type="dxa"/>
            <w:shd w:val="clear" w:color="auto" w:fill="E7E6E6" w:themeFill="background2"/>
          </w:tcPr>
          <w:p w14:paraId="1703409A" w14:textId="77777777" w:rsidR="0096520E" w:rsidRPr="005D5939" w:rsidRDefault="0096520E" w:rsidP="00E72162">
            <w:pPr>
              <w:jc w:val="center"/>
              <w:rPr>
                <w:rFonts w:cstheme="minorHAnsi"/>
                <w:b/>
                <w:bCs/>
                <w:sz w:val="22"/>
                <w:szCs w:val="22"/>
              </w:rPr>
            </w:pPr>
            <w:r w:rsidRPr="00A13FC1">
              <w:rPr>
                <w:rFonts w:cstheme="minorHAnsi"/>
                <w:b/>
                <w:sz w:val="20"/>
                <w:szCs w:val="20"/>
              </w:rPr>
              <w:t>Key Indicators</w:t>
            </w:r>
          </w:p>
        </w:tc>
        <w:tc>
          <w:tcPr>
            <w:tcW w:w="4590" w:type="dxa"/>
            <w:shd w:val="clear" w:color="auto" w:fill="E7E6E6" w:themeFill="background2"/>
          </w:tcPr>
          <w:p w14:paraId="72D21821" w14:textId="77777777" w:rsidR="0096520E" w:rsidRPr="005D5939" w:rsidRDefault="0096520E" w:rsidP="00E72162">
            <w:pPr>
              <w:jc w:val="center"/>
              <w:rPr>
                <w:rFonts w:cstheme="minorHAnsi"/>
                <w:b/>
                <w:bCs/>
                <w:sz w:val="22"/>
                <w:szCs w:val="22"/>
              </w:rPr>
            </w:pPr>
            <w:r w:rsidRPr="00A13FC1">
              <w:rPr>
                <w:rFonts w:cstheme="minorHAnsi"/>
                <w:b/>
                <w:sz w:val="20"/>
                <w:szCs w:val="20"/>
              </w:rPr>
              <w:t>Methods &amp; Sources</w:t>
            </w:r>
          </w:p>
        </w:tc>
      </w:tr>
      <w:tr w:rsidR="0096520E" w:rsidRPr="00A13FC1" w14:paraId="2915A05D" w14:textId="77777777" w:rsidTr="00E72162">
        <w:tblPrEx>
          <w:jc w:val="left"/>
        </w:tblPrEx>
        <w:tc>
          <w:tcPr>
            <w:tcW w:w="1705" w:type="dxa"/>
          </w:tcPr>
          <w:p w14:paraId="41215A5D" w14:textId="77777777" w:rsidR="0096520E" w:rsidRPr="00A13FC1" w:rsidRDefault="0096520E" w:rsidP="00E72162">
            <w:pPr>
              <w:rPr>
                <w:rFonts w:cstheme="minorHAnsi"/>
                <w:sz w:val="20"/>
                <w:szCs w:val="20"/>
              </w:rPr>
            </w:pPr>
            <w:r w:rsidRPr="00A13FC1">
              <w:rPr>
                <w:rFonts w:cstheme="minorHAnsi"/>
                <w:sz w:val="20"/>
                <w:szCs w:val="20"/>
              </w:rPr>
              <w:t>Impact on equitable service delivery and community health outcomes</w:t>
            </w:r>
          </w:p>
          <w:p w14:paraId="37947DCD" w14:textId="77777777" w:rsidR="0096520E" w:rsidRPr="00A13FC1" w:rsidRDefault="0096520E" w:rsidP="00E72162">
            <w:pPr>
              <w:rPr>
                <w:rFonts w:cstheme="minorHAnsi"/>
                <w:sz w:val="20"/>
                <w:szCs w:val="20"/>
              </w:rPr>
            </w:pPr>
          </w:p>
          <w:p w14:paraId="56AAE282" w14:textId="77777777" w:rsidR="0096520E" w:rsidRPr="00A13FC1" w:rsidRDefault="0096520E" w:rsidP="00E72162">
            <w:pPr>
              <w:rPr>
                <w:rFonts w:cstheme="minorHAnsi"/>
                <w:sz w:val="20"/>
                <w:szCs w:val="20"/>
              </w:rPr>
            </w:pPr>
            <w:r w:rsidRPr="00A13FC1">
              <w:rPr>
                <w:rFonts w:cstheme="minorHAnsi"/>
                <w:sz w:val="20"/>
                <w:szCs w:val="20"/>
              </w:rPr>
              <w:t>(Aims 1, 2)</w:t>
            </w:r>
          </w:p>
          <w:p w14:paraId="74C0888A" w14:textId="77777777" w:rsidR="0096520E" w:rsidRPr="00A13FC1" w:rsidRDefault="0096520E" w:rsidP="00E72162">
            <w:pPr>
              <w:rPr>
                <w:rFonts w:cstheme="minorHAnsi"/>
                <w:sz w:val="20"/>
                <w:szCs w:val="20"/>
              </w:rPr>
            </w:pPr>
            <w:r w:rsidRPr="00A13FC1">
              <w:rPr>
                <w:rFonts w:cstheme="minorHAnsi"/>
                <w:sz w:val="20"/>
                <w:szCs w:val="20"/>
              </w:rPr>
              <w:t>RE-AIM: Reach, Evaluation</w:t>
            </w:r>
          </w:p>
        </w:tc>
        <w:tc>
          <w:tcPr>
            <w:tcW w:w="6840" w:type="dxa"/>
          </w:tcPr>
          <w:p w14:paraId="194304E1" w14:textId="77777777" w:rsidR="0096520E" w:rsidRPr="00EC4ADE" w:rsidRDefault="0096520E">
            <w:pPr>
              <w:pStyle w:val="ListParagraph"/>
              <w:numPr>
                <w:ilvl w:val="0"/>
                <w:numId w:val="15"/>
              </w:numPr>
              <w:ind w:left="247" w:hanging="247"/>
              <w:rPr>
                <w:rFonts w:cstheme="minorHAnsi"/>
                <w:i/>
                <w:sz w:val="20"/>
                <w:szCs w:val="20"/>
              </w:rPr>
            </w:pPr>
            <w:r w:rsidRPr="00EC4ADE">
              <w:rPr>
                <w:rFonts w:cstheme="minorHAnsi"/>
                <w:i/>
                <w:sz w:val="20"/>
                <w:szCs w:val="20"/>
              </w:rPr>
              <w:t>Impact on equitable service delivery</w:t>
            </w:r>
          </w:p>
          <w:p w14:paraId="3B1EF133" w14:textId="77777777" w:rsidR="0096520E" w:rsidRPr="00EC4ADE" w:rsidRDefault="0096520E">
            <w:pPr>
              <w:pStyle w:val="ListParagraph"/>
              <w:numPr>
                <w:ilvl w:val="0"/>
                <w:numId w:val="15"/>
              </w:numPr>
              <w:ind w:left="247" w:hanging="247"/>
              <w:rPr>
                <w:rFonts w:cstheme="minorHAnsi"/>
                <w:sz w:val="20"/>
                <w:szCs w:val="20"/>
              </w:rPr>
            </w:pPr>
            <w:r w:rsidRPr="00EC4ADE">
              <w:rPr>
                <w:rFonts w:cstheme="minorHAnsi"/>
                <w:sz w:val="20"/>
                <w:szCs w:val="20"/>
              </w:rPr>
              <w:t>Ease of access to CCBHC services</w:t>
            </w:r>
          </w:p>
          <w:p w14:paraId="2D17F39E" w14:textId="77777777" w:rsidR="0096520E" w:rsidRPr="00A13FC1" w:rsidRDefault="0096520E">
            <w:pPr>
              <w:numPr>
                <w:ilvl w:val="0"/>
                <w:numId w:val="15"/>
              </w:numPr>
              <w:ind w:left="247" w:hanging="247"/>
              <w:rPr>
                <w:rFonts w:cstheme="minorHAnsi"/>
                <w:sz w:val="20"/>
                <w:szCs w:val="20"/>
              </w:rPr>
            </w:pPr>
            <w:r w:rsidRPr="00A13FC1">
              <w:rPr>
                <w:rFonts w:cstheme="minorHAnsi"/>
                <w:sz w:val="20"/>
                <w:szCs w:val="20"/>
              </w:rPr>
              <w:t xml:space="preserve">Provision of person- and family-centered care </w:t>
            </w:r>
          </w:p>
          <w:p w14:paraId="0AE9AFD2" w14:textId="77777777" w:rsidR="0096520E" w:rsidRPr="00A13FC1" w:rsidRDefault="0096520E">
            <w:pPr>
              <w:numPr>
                <w:ilvl w:val="0"/>
                <w:numId w:val="15"/>
              </w:numPr>
              <w:ind w:left="247" w:hanging="247"/>
              <w:rPr>
                <w:rFonts w:cstheme="minorHAnsi"/>
                <w:i/>
                <w:sz w:val="20"/>
                <w:szCs w:val="20"/>
              </w:rPr>
            </w:pPr>
            <w:r w:rsidRPr="00A13FC1">
              <w:rPr>
                <w:rFonts w:cstheme="minorHAnsi"/>
                <w:i/>
                <w:sz w:val="20"/>
                <w:szCs w:val="20"/>
              </w:rPr>
              <w:t>Methods by which CCBHCs engage Black, Indigenous, and People of Color (BIPOC), LGBTQ+ individuals, and Tribal communities and other communities subjected to historical and current injustices</w:t>
            </w:r>
          </w:p>
          <w:p w14:paraId="420AC057" w14:textId="77777777" w:rsidR="0096520E" w:rsidRPr="00A13FC1" w:rsidRDefault="0096520E">
            <w:pPr>
              <w:numPr>
                <w:ilvl w:val="0"/>
                <w:numId w:val="15"/>
              </w:numPr>
              <w:ind w:left="247" w:hanging="247"/>
              <w:rPr>
                <w:rFonts w:cstheme="minorHAnsi"/>
                <w:sz w:val="20"/>
                <w:szCs w:val="20"/>
                <w:lang w:bidi="th-TH"/>
              </w:rPr>
            </w:pPr>
            <w:r w:rsidRPr="00A13FC1">
              <w:rPr>
                <w:rFonts w:cstheme="minorHAnsi"/>
                <w:sz w:val="20"/>
                <w:szCs w:val="20"/>
              </w:rPr>
              <w:t>Community impacts of the CCBHC programs</w:t>
            </w:r>
          </w:p>
          <w:p w14:paraId="31819429" w14:textId="77777777" w:rsidR="0096520E" w:rsidRPr="00EC4ADE" w:rsidRDefault="0096520E">
            <w:pPr>
              <w:pStyle w:val="ListParagraph"/>
              <w:numPr>
                <w:ilvl w:val="0"/>
                <w:numId w:val="15"/>
              </w:numPr>
              <w:ind w:left="247" w:hanging="247"/>
              <w:rPr>
                <w:rFonts w:cstheme="minorHAnsi"/>
                <w:sz w:val="20"/>
                <w:szCs w:val="20"/>
              </w:rPr>
            </w:pPr>
            <w:r w:rsidRPr="00EC4ADE">
              <w:rPr>
                <w:rFonts w:cstheme="minorHAnsi"/>
                <w:sz w:val="20"/>
                <w:szCs w:val="20"/>
              </w:rPr>
              <w:t>Impact on community health outcomes</w:t>
            </w:r>
          </w:p>
          <w:p w14:paraId="531DB878" w14:textId="77777777" w:rsidR="0096520E" w:rsidRPr="00EC4ADE" w:rsidRDefault="0096520E">
            <w:pPr>
              <w:pStyle w:val="ListParagraph"/>
              <w:numPr>
                <w:ilvl w:val="0"/>
                <w:numId w:val="15"/>
              </w:numPr>
              <w:ind w:left="247" w:hanging="247"/>
              <w:rPr>
                <w:rFonts w:cstheme="minorHAnsi"/>
                <w:sz w:val="20"/>
                <w:szCs w:val="20"/>
              </w:rPr>
            </w:pPr>
            <w:r w:rsidRPr="00EC4ADE">
              <w:rPr>
                <w:rFonts w:cstheme="minorHAnsi"/>
                <w:sz w:val="20"/>
                <w:szCs w:val="20"/>
              </w:rPr>
              <w:t>Outcomes for OHP members</w:t>
            </w:r>
          </w:p>
        </w:tc>
        <w:tc>
          <w:tcPr>
            <w:tcW w:w="4590" w:type="dxa"/>
          </w:tcPr>
          <w:p w14:paraId="363AA9B0"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Focus groups</w:t>
            </w:r>
            <w:r w:rsidRPr="00A13FC1">
              <w:rPr>
                <w:rFonts w:cstheme="minorHAnsi"/>
                <w:sz w:val="20"/>
                <w:szCs w:val="20"/>
                <w:lang w:bidi="th-TH"/>
              </w:rPr>
              <w:t>/survey</w:t>
            </w:r>
            <w:r w:rsidRPr="00A13FC1">
              <w:rPr>
                <w:rFonts w:cstheme="minorHAnsi"/>
                <w:sz w:val="20"/>
                <w:szCs w:val="20"/>
              </w:rPr>
              <w:t xml:space="preserve"> with CCBHC service users</w:t>
            </w:r>
          </w:p>
          <w:p w14:paraId="038C9377"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Focus groups</w:t>
            </w:r>
            <w:r w:rsidRPr="00A13FC1">
              <w:rPr>
                <w:rFonts w:cstheme="minorHAnsi"/>
                <w:iCs/>
                <w:sz w:val="20"/>
                <w:szCs w:val="20"/>
              </w:rPr>
              <w:t>/survey</w:t>
            </w:r>
            <w:r w:rsidRPr="00A13FC1">
              <w:rPr>
                <w:rFonts w:cstheme="minorHAnsi"/>
                <w:sz w:val="20"/>
                <w:szCs w:val="20"/>
              </w:rPr>
              <w:t xml:space="preserve"> with </w:t>
            </w:r>
            <w:r w:rsidRPr="00A13FC1">
              <w:rPr>
                <w:rFonts w:cstheme="minorHAnsi"/>
                <w:iCs/>
                <w:sz w:val="20"/>
                <w:szCs w:val="20"/>
              </w:rPr>
              <w:t>community-based organizations (</w:t>
            </w:r>
            <w:r w:rsidRPr="00A13FC1">
              <w:rPr>
                <w:rFonts w:cstheme="minorHAnsi"/>
                <w:sz w:val="20"/>
                <w:szCs w:val="20"/>
              </w:rPr>
              <w:t>CBOs)</w:t>
            </w:r>
          </w:p>
          <w:p w14:paraId="4301FD7E"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Review of community health assessments</w:t>
            </w:r>
          </w:p>
          <w:p w14:paraId="3E66ACA1"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Review of community health improvement plans</w:t>
            </w:r>
          </w:p>
          <w:p w14:paraId="03F97EE0"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Review of any CCBHC-specific reports or evaluations</w:t>
            </w:r>
          </w:p>
          <w:p w14:paraId="1584F772"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Analysis of OHP claims and MHSIP survey data defined by REALD demographic data</w:t>
            </w:r>
          </w:p>
        </w:tc>
      </w:tr>
      <w:tr w:rsidR="0096520E" w:rsidRPr="00A13FC1" w14:paraId="48D198A1" w14:textId="77777777" w:rsidTr="00E72162">
        <w:tblPrEx>
          <w:jc w:val="left"/>
        </w:tblPrEx>
        <w:tc>
          <w:tcPr>
            <w:tcW w:w="1705" w:type="dxa"/>
          </w:tcPr>
          <w:p w14:paraId="3DB5E25B" w14:textId="77777777" w:rsidR="0096520E" w:rsidRPr="00A13FC1" w:rsidRDefault="0096520E" w:rsidP="00E72162">
            <w:pPr>
              <w:rPr>
                <w:rFonts w:cstheme="minorHAnsi"/>
                <w:sz w:val="20"/>
                <w:szCs w:val="20"/>
              </w:rPr>
            </w:pPr>
            <w:r w:rsidRPr="00A13FC1">
              <w:rPr>
                <w:rFonts w:cstheme="minorHAnsi"/>
                <w:sz w:val="20"/>
                <w:szCs w:val="20"/>
              </w:rPr>
              <w:t xml:space="preserve">Impact of CCBHC model on clinic operations </w:t>
            </w:r>
          </w:p>
          <w:p w14:paraId="05B99D58" w14:textId="77777777" w:rsidR="0096520E" w:rsidRPr="00A13FC1" w:rsidRDefault="0096520E" w:rsidP="00E72162">
            <w:pPr>
              <w:rPr>
                <w:rFonts w:cstheme="minorHAnsi"/>
                <w:sz w:val="20"/>
                <w:szCs w:val="20"/>
              </w:rPr>
            </w:pPr>
          </w:p>
          <w:p w14:paraId="3CD5FC1B" w14:textId="77777777" w:rsidR="0096520E" w:rsidRPr="00A13FC1" w:rsidRDefault="0096520E" w:rsidP="00E72162">
            <w:pPr>
              <w:rPr>
                <w:rFonts w:cstheme="minorHAnsi"/>
                <w:sz w:val="20"/>
                <w:szCs w:val="20"/>
              </w:rPr>
            </w:pPr>
            <w:r w:rsidRPr="00A13FC1">
              <w:rPr>
                <w:rFonts w:cstheme="minorHAnsi"/>
                <w:sz w:val="20"/>
                <w:szCs w:val="20"/>
              </w:rPr>
              <w:t>(Aim 1)</w:t>
            </w:r>
          </w:p>
          <w:p w14:paraId="7835680E" w14:textId="77777777" w:rsidR="0096520E" w:rsidRPr="00A13FC1" w:rsidRDefault="0096520E" w:rsidP="00E72162">
            <w:pPr>
              <w:rPr>
                <w:rFonts w:cstheme="minorHAnsi"/>
                <w:sz w:val="20"/>
                <w:szCs w:val="20"/>
              </w:rPr>
            </w:pPr>
            <w:r w:rsidRPr="00A13FC1">
              <w:rPr>
                <w:rFonts w:cstheme="minorHAnsi"/>
                <w:sz w:val="20"/>
                <w:szCs w:val="20"/>
              </w:rPr>
              <w:t>RE-AIM: Evaluation</w:t>
            </w:r>
          </w:p>
        </w:tc>
        <w:tc>
          <w:tcPr>
            <w:tcW w:w="6840" w:type="dxa"/>
          </w:tcPr>
          <w:p w14:paraId="33E5CF88"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rPr>
              <w:t xml:space="preserve">Impact on organizational scope </w:t>
            </w:r>
            <w:r w:rsidRPr="00A13FC1">
              <w:rPr>
                <w:rFonts w:cstheme="minorHAnsi"/>
                <w:sz w:val="20"/>
                <w:szCs w:val="20"/>
                <w:lang w:bidi="th-TH"/>
              </w:rPr>
              <w:t xml:space="preserve">and profile of services </w:t>
            </w:r>
          </w:p>
          <w:p w14:paraId="1257645C"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rPr>
              <w:t>Impact on staff work</w:t>
            </w:r>
            <w:r w:rsidRPr="00A13FC1">
              <w:rPr>
                <w:rFonts w:cstheme="minorHAnsi"/>
                <w:sz w:val="20"/>
                <w:szCs w:val="20"/>
                <w:lang w:bidi="th-TH"/>
              </w:rPr>
              <w:t xml:space="preserve"> and profile of staff roles</w:t>
            </w:r>
          </w:p>
          <w:p w14:paraId="3DB1C9A1"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rPr>
              <w:t>Benefits to any specific groups of the CCBHC model</w:t>
            </w:r>
          </w:p>
          <w:p w14:paraId="689105C5"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rPr>
              <w:t>Extent to which CCBHCs expanded services to new service users</w:t>
            </w:r>
          </w:p>
          <w:p w14:paraId="1E974011"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rPr>
              <w:t xml:space="preserve">Organizational changes from CMHP to CCBHC </w:t>
            </w:r>
            <w:r w:rsidRPr="00A13FC1">
              <w:rPr>
                <w:rFonts w:cstheme="minorHAnsi"/>
                <w:sz w:val="20"/>
                <w:szCs w:val="20"/>
                <w:lang w:bidi="th-TH"/>
              </w:rPr>
              <w:t>and expansion of services</w:t>
            </w:r>
          </w:p>
          <w:p w14:paraId="2B819C6D" w14:textId="77777777" w:rsidR="0096520E" w:rsidRPr="00A13FC1" w:rsidRDefault="0096520E">
            <w:pPr>
              <w:numPr>
                <w:ilvl w:val="0"/>
                <w:numId w:val="13"/>
              </w:numPr>
              <w:tabs>
                <w:tab w:val="num" w:pos="360"/>
              </w:tabs>
              <w:ind w:left="250" w:hanging="270"/>
              <w:rPr>
                <w:rFonts w:cstheme="minorHAnsi"/>
                <w:i/>
                <w:sz w:val="20"/>
                <w:szCs w:val="20"/>
              </w:rPr>
            </w:pPr>
            <w:r>
              <w:rPr>
                <w:rFonts w:cstheme="minorHAnsi"/>
                <w:i/>
                <w:sz w:val="20"/>
                <w:szCs w:val="20"/>
              </w:rPr>
              <w:t>Staff k</w:t>
            </w:r>
            <w:r w:rsidRPr="00A13FC1">
              <w:rPr>
                <w:rFonts w:cstheme="minorHAnsi"/>
                <w:i/>
                <w:sz w:val="20"/>
                <w:szCs w:val="20"/>
              </w:rPr>
              <w:t xml:space="preserve">nowledge development </w:t>
            </w:r>
            <w:r w:rsidRPr="00A13FC1">
              <w:rPr>
                <w:rFonts w:cstheme="minorHAnsi"/>
                <w:i/>
                <w:iCs/>
                <w:sz w:val="20"/>
                <w:szCs w:val="20"/>
              </w:rPr>
              <w:t>on</w:t>
            </w:r>
            <w:r w:rsidRPr="00A13FC1">
              <w:rPr>
                <w:rFonts w:cstheme="minorHAnsi"/>
                <w:i/>
                <w:sz w:val="20"/>
                <w:szCs w:val="20"/>
              </w:rPr>
              <w:t xml:space="preserve"> cultural competency and trauma-informed care </w:t>
            </w:r>
          </w:p>
          <w:p w14:paraId="265AC9AE"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lang w:bidi="th-TH"/>
              </w:rPr>
              <w:t>Impact on</w:t>
            </w:r>
            <w:r w:rsidRPr="00A13FC1">
              <w:rPr>
                <w:rFonts w:cstheme="minorHAnsi"/>
                <w:sz w:val="20"/>
                <w:szCs w:val="20"/>
              </w:rPr>
              <w:t xml:space="preserve"> service users</w:t>
            </w:r>
          </w:p>
          <w:p w14:paraId="03F7E803"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lang w:bidi="th-TH"/>
              </w:rPr>
              <w:t xml:space="preserve">Impact on community and </w:t>
            </w:r>
            <w:r w:rsidRPr="00A13FC1">
              <w:rPr>
                <w:rFonts w:cstheme="minorHAnsi"/>
                <w:sz w:val="20"/>
                <w:szCs w:val="20"/>
              </w:rPr>
              <w:t>networks of relationships, partnerships, and referral patterns</w:t>
            </w:r>
          </w:p>
          <w:p w14:paraId="588C7FB9" w14:textId="77777777" w:rsidR="0096520E" w:rsidRPr="00A13FC1" w:rsidRDefault="0096520E">
            <w:pPr>
              <w:numPr>
                <w:ilvl w:val="0"/>
                <w:numId w:val="13"/>
              </w:numPr>
              <w:tabs>
                <w:tab w:val="num" w:pos="360"/>
              </w:tabs>
              <w:ind w:left="250" w:hanging="270"/>
              <w:rPr>
                <w:rFonts w:cstheme="minorHAnsi"/>
                <w:sz w:val="20"/>
                <w:szCs w:val="20"/>
              </w:rPr>
            </w:pPr>
            <w:r w:rsidRPr="00A13FC1">
              <w:rPr>
                <w:rFonts w:cstheme="minorHAnsi"/>
                <w:sz w:val="20"/>
                <w:szCs w:val="20"/>
                <w:lang w:bidi="th-TH"/>
              </w:rPr>
              <w:t>Impact of</w:t>
            </w:r>
            <w:r w:rsidRPr="00A13FC1">
              <w:rPr>
                <w:rFonts w:cstheme="minorHAnsi"/>
                <w:sz w:val="20"/>
                <w:szCs w:val="20"/>
              </w:rPr>
              <w:t xml:space="preserve"> Prospective Payment System (PPS)</w:t>
            </w:r>
          </w:p>
        </w:tc>
        <w:tc>
          <w:tcPr>
            <w:tcW w:w="4590" w:type="dxa"/>
          </w:tcPr>
          <w:p w14:paraId="210CC4BC"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Pre-interview data form (simple survey with basic information)</w:t>
            </w:r>
          </w:p>
          <w:p w14:paraId="01E422B0"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clinic administrators</w:t>
            </w:r>
          </w:p>
          <w:p w14:paraId="28136ADE"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medical directors</w:t>
            </w:r>
          </w:p>
          <w:p w14:paraId="0BF79195"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Focus groups</w:t>
            </w:r>
            <w:r w:rsidRPr="00A13FC1">
              <w:rPr>
                <w:rFonts w:cstheme="minorHAnsi"/>
                <w:sz w:val="20"/>
                <w:szCs w:val="20"/>
                <w:lang w:bidi="th-TH"/>
              </w:rPr>
              <w:t>/survey</w:t>
            </w:r>
            <w:r w:rsidRPr="00A13FC1">
              <w:rPr>
                <w:rFonts w:cstheme="minorHAnsi"/>
                <w:sz w:val="20"/>
                <w:szCs w:val="20"/>
              </w:rPr>
              <w:t xml:space="preserve"> with service users</w:t>
            </w:r>
          </w:p>
          <w:p w14:paraId="3398BDD2"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Focus groups</w:t>
            </w:r>
            <w:r w:rsidRPr="00A13FC1">
              <w:rPr>
                <w:rFonts w:cstheme="minorHAnsi"/>
                <w:sz w:val="20"/>
                <w:szCs w:val="20"/>
                <w:lang w:bidi="th-TH"/>
              </w:rPr>
              <w:t>/survey</w:t>
            </w:r>
            <w:r w:rsidRPr="00A13FC1">
              <w:rPr>
                <w:rFonts w:cstheme="minorHAnsi"/>
                <w:sz w:val="20"/>
                <w:szCs w:val="20"/>
              </w:rPr>
              <w:t xml:space="preserve"> with </w:t>
            </w:r>
            <w:r w:rsidRPr="00A13FC1">
              <w:rPr>
                <w:rFonts w:cstheme="minorHAnsi"/>
                <w:iCs/>
                <w:sz w:val="20"/>
                <w:szCs w:val="20"/>
              </w:rPr>
              <w:t>CBOs</w:t>
            </w:r>
          </w:p>
          <w:p w14:paraId="05B70014"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key interested parties</w:t>
            </w:r>
          </w:p>
          <w:p w14:paraId="588AAA20"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Review of any CCBHC-specific reports or evaluations (national or Oregon-specific)</w:t>
            </w:r>
          </w:p>
          <w:p w14:paraId="5AAD6391" w14:textId="77777777" w:rsidR="0096520E" w:rsidRPr="00A13FC1" w:rsidRDefault="0096520E" w:rsidP="00E72162">
            <w:pPr>
              <w:rPr>
                <w:rFonts w:cstheme="minorHAnsi"/>
                <w:sz w:val="20"/>
                <w:szCs w:val="20"/>
              </w:rPr>
            </w:pPr>
          </w:p>
        </w:tc>
      </w:tr>
      <w:tr w:rsidR="0096520E" w:rsidRPr="00A13FC1" w14:paraId="43609FE4" w14:textId="77777777" w:rsidTr="00E72162">
        <w:tblPrEx>
          <w:jc w:val="left"/>
        </w:tblPrEx>
        <w:tc>
          <w:tcPr>
            <w:tcW w:w="1705" w:type="dxa"/>
          </w:tcPr>
          <w:p w14:paraId="2BD921FF" w14:textId="77777777" w:rsidR="0096520E" w:rsidRPr="00A13FC1" w:rsidRDefault="0096520E" w:rsidP="00E72162">
            <w:pPr>
              <w:rPr>
                <w:rFonts w:cstheme="minorHAnsi"/>
                <w:sz w:val="20"/>
                <w:szCs w:val="20"/>
              </w:rPr>
            </w:pPr>
            <w:r w:rsidRPr="00A13FC1">
              <w:rPr>
                <w:rFonts w:cstheme="minorHAnsi"/>
                <w:sz w:val="20"/>
                <w:szCs w:val="20"/>
              </w:rPr>
              <w:t xml:space="preserve">Costs/ performance outcomes </w:t>
            </w:r>
          </w:p>
          <w:p w14:paraId="43F9EE61" w14:textId="77777777" w:rsidR="0096520E" w:rsidRPr="00A13FC1" w:rsidRDefault="0096520E" w:rsidP="00E72162">
            <w:pPr>
              <w:rPr>
                <w:rFonts w:cstheme="minorHAnsi"/>
                <w:sz w:val="20"/>
                <w:szCs w:val="20"/>
              </w:rPr>
            </w:pPr>
            <w:r w:rsidRPr="00A13FC1">
              <w:rPr>
                <w:rFonts w:cstheme="minorHAnsi"/>
                <w:sz w:val="20"/>
                <w:szCs w:val="20"/>
              </w:rPr>
              <w:t>(Aim 2)</w:t>
            </w:r>
          </w:p>
          <w:p w14:paraId="663AE8A9" w14:textId="77777777" w:rsidR="0096520E" w:rsidRPr="00A13FC1" w:rsidRDefault="0096520E" w:rsidP="00E72162">
            <w:pPr>
              <w:rPr>
                <w:rFonts w:cstheme="minorHAnsi"/>
                <w:sz w:val="20"/>
                <w:szCs w:val="20"/>
              </w:rPr>
            </w:pPr>
            <w:r w:rsidRPr="00A13FC1">
              <w:rPr>
                <w:rFonts w:cstheme="minorHAnsi"/>
                <w:sz w:val="20"/>
                <w:szCs w:val="20"/>
              </w:rPr>
              <w:t>RE-AIM: Evaluation</w:t>
            </w:r>
          </w:p>
        </w:tc>
        <w:tc>
          <w:tcPr>
            <w:tcW w:w="6840" w:type="dxa"/>
          </w:tcPr>
          <w:p w14:paraId="7CFC8B09" w14:textId="77777777" w:rsidR="0096520E" w:rsidRPr="00EC4ADE" w:rsidRDefault="0096520E">
            <w:pPr>
              <w:pStyle w:val="ListParagraph"/>
              <w:numPr>
                <w:ilvl w:val="0"/>
                <w:numId w:val="14"/>
              </w:numPr>
              <w:ind w:left="250" w:hanging="250"/>
              <w:rPr>
                <w:rFonts w:cstheme="minorHAnsi"/>
                <w:sz w:val="20"/>
                <w:szCs w:val="20"/>
              </w:rPr>
            </w:pPr>
            <w:r w:rsidRPr="00EC4ADE">
              <w:rPr>
                <w:rFonts w:cstheme="minorHAnsi"/>
                <w:sz w:val="20"/>
                <w:szCs w:val="20"/>
              </w:rPr>
              <w:t xml:space="preserve">Differences in physical and behavioral health outpatient </w:t>
            </w:r>
            <w:bookmarkStart w:id="64" w:name="_Hlk117935329"/>
            <w:r w:rsidRPr="00EC4ADE">
              <w:rPr>
                <w:rFonts w:cstheme="minorHAnsi"/>
                <w:sz w:val="20"/>
                <w:szCs w:val="20"/>
              </w:rPr>
              <w:t>treatment patterns and expenditures among CCBHC involved OHP members</w:t>
            </w:r>
            <w:bookmarkEnd w:id="64"/>
          </w:p>
          <w:p w14:paraId="7F6ECAD5" w14:textId="77777777" w:rsidR="0096520E" w:rsidRPr="007A1630" w:rsidRDefault="0096520E">
            <w:pPr>
              <w:pStyle w:val="ListParagraph"/>
              <w:numPr>
                <w:ilvl w:val="0"/>
                <w:numId w:val="14"/>
              </w:numPr>
              <w:ind w:left="250" w:hanging="250"/>
              <w:rPr>
                <w:rFonts w:cstheme="minorHAnsi"/>
                <w:sz w:val="20"/>
                <w:szCs w:val="20"/>
              </w:rPr>
            </w:pPr>
            <w:r w:rsidRPr="00EC4ADE">
              <w:rPr>
                <w:rFonts w:cstheme="minorHAnsi"/>
                <w:sz w:val="20"/>
                <w:szCs w:val="20"/>
              </w:rPr>
              <w:t>Differences in physical and behavioral health treatment patterns and expenditures for services that may be related to outpatient treatment provision among CCBHC-involved OHP members</w:t>
            </w:r>
          </w:p>
          <w:p w14:paraId="5868433D" w14:textId="77777777" w:rsidR="0096520E" w:rsidRPr="00EC4ADE" w:rsidRDefault="0096520E">
            <w:pPr>
              <w:pStyle w:val="ListParagraph"/>
              <w:numPr>
                <w:ilvl w:val="0"/>
                <w:numId w:val="14"/>
              </w:numPr>
              <w:ind w:left="250" w:hanging="250"/>
              <w:rPr>
                <w:rFonts w:cstheme="minorHAnsi"/>
                <w:sz w:val="20"/>
                <w:szCs w:val="20"/>
              </w:rPr>
            </w:pPr>
            <w:r w:rsidRPr="00EC4ADE">
              <w:rPr>
                <w:rFonts w:cstheme="minorHAnsi"/>
                <w:i/>
                <w:sz w:val="20"/>
                <w:szCs w:val="20"/>
              </w:rPr>
              <w:t xml:space="preserve">Changes in number of service users in total and from </w:t>
            </w:r>
            <w:r w:rsidRPr="00EC4ADE">
              <w:rPr>
                <w:rFonts w:cstheme="minorHAnsi"/>
                <w:i/>
                <w:iCs/>
                <w:sz w:val="20"/>
                <w:szCs w:val="20"/>
              </w:rPr>
              <w:t>historically and currently underserved</w:t>
            </w:r>
            <w:r w:rsidRPr="00EC4ADE">
              <w:rPr>
                <w:rFonts w:cstheme="minorHAnsi"/>
                <w:i/>
                <w:sz w:val="20"/>
                <w:szCs w:val="20"/>
              </w:rPr>
              <w:t xml:space="preserve"> communities served pre- and post-implementation </w:t>
            </w:r>
          </w:p>
          <w:p w14:paraId="32E870B9" w14:textId="77777777" w:rsidR="0096520E" w:rsidRPr="00EC4ADE" w:rsidRDefault="0096520E">
            <w:pPr>
              <w:pStyle w:val="ListParagraph"/>
              <w:numPr>
                <w:ilvl w:val="0"/>
                <w:numId w:val="14"/>
              </w:numPr>
              <w:ind w:left="250" w:hanging="250"/>
              <w:rPr>
                <w:rFonts w:cstheme="minorHAnsi"/>
                <w:sz w:val="20"/>
                <w:szCs w:val="20"/>
              </w:rPr>
            </w:pPr>
            <w:r w:rsidRPr="00EC4ADE">
              <w:rPr>
                <w:rFonts w:cstheme="minorHAnsi"/>
                <w:i/>
                <w:sz w:val="20"/>
                <w:szCs w:val="20"/>
              </w:rPr>
              <w:t>Outcomes for CCBHC service users, by race/ethnicity, gender, age group, and other identified demographics as available</w:t>
            </w:r>
          </w:p>
          <w:p w14:paraId="1A3942D3" w14:textId="77777777" w:rsidR="0096520E" w:rsidRDefault="0096520E">
            <w:pPr>
              <w:pStyle w:val="ListParagraph"/>
              <w:numPr>
                <w:ilvl w:val="0"/>
                <w:numId w:val="14"/>
              </w:numPr>
              <w:ind w:left="250" w:hanging="250"/>
              <w:rPr>
                <w:rFonts w:cstheme="minorHAnsi"/>
                <w:sz w:val="20"/>
                <w:szCs w:val="20"/>
              </w:rPr>
            </w:pPr>
            <w:r w:rsidRPr="00EC4ADE">
              <w:rPr>
                <w:rFonts w:cstheme="minorHAnsi"/>
                <w:sz w:val="20"/>
                <w:szCs w:val="20"/>
              </w:rPr>
              <w:t xml:space="preserve">Outcomes by individual CCBHC </w:t>
            </w:r>
            <w:r>
              <w:rPr>
                <w:rFonts w:cstheme="minorHAnsi"/>
                <w:sz w:val="20"/>
                <w:szCs w:val="20"/>
              </w:rPr>
              <w:t>site</w:t>
            </w:r>
            <w:r w:rsidRPr="00EC4ADE">
              <w:rPr>
                <w:rFonts w:cstheme="minorHAnsi"/>
                <w:sz w:val="20"/>
                <w:szCs w:val="20"/>
              </w:rPr>
              <w:t xml:space="preserve"> with consideration for differences in implementation and external environment </w:t>
            </w:r>
          </w:p>
          <w:p w14:paraId="21C5556C" w14:textId="77777777" w:rsidR="0096520E" w:rsidRDefault="0096520E">
            <w:pPr>
              <w:pStyle w:val="ListParagraph"/>
              <w:numPr>
                <w:ilvl w:val="0"/>
                <w:numId w:val="14"/>
              </w:numPr>
              <w:ind w:left="250" w:hanging="250"/>
              <w:rPr>
                <w:rFonts w:cstheme="minorHAnsi"/>
                <w:sz w:val="20"/>
                <w:szCs w:val="20"/>
              </w:rPr>
            </w:pPr>
            <w:r w:rsidRPr="00EC4ADE">
              <w:rPr>
                <w:rFonts w:cstheme="minorHAnsi"/>
                <w:sz w:val="20"/>
                <w:szCs w:val="20"/>
              </w:rPr>
              <w:t>Differences in MHSIP survey domains for CCBHC-involved OHP members</w:t>
            </w:r>
          </w:p>
          <w:p w14:paraId="2A6ACFA0" w14:textId="77777777" w:rsidR="0096520E" w:rsidRPr="007A1630" w:rsidRDefault="0096520E">
            <w:pPr>
              <w:pStyle w:val="ListParagraph"/>
              <w:numPr>
                <w:ilvl w:val="0"/>
                <w:numId w:val="14"/>
              </w:numPr>
              <w:ind w:left="250" w:hanging="250"/>
              <w:rPr>
                <w:rFonts w:cstheme="minorHAnsi"/>
                <w:sz w:val="20"/>
                <w:szCs w:val="20"/>
              </w:rPr>
            </w:pPr>
            <w:r w:rsidRPr="00EC4ADE">
              <w:rPr>
                <w:rFonts w:cstheme="minorHAnsi"/>
                <w:sz w:val="20"/>
                <w:szCs w:val="20"/>
              </w:rPr>
              <w:t>Differences in pre- and post-implementation outcomes for OHP CCBHC service users compared to outcome changes for non-CCBHC OHP service users over the same timeframe</w:t>
            </w:r>
          </w:p>
        </w:tc>
        <w:tc>
          <w:tcPr>
            <w:tcW w:w="4590" w:type="dxa"/>
          </w:tcPr>
          <w:p w14:paraId="5EABFA3A"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Analysis of OHP claims data</w:t>
            </w:r>
          </w:p>
          <w:p w14:paraId="06AB5964"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 xml:space="preserve">Analysis of MHSIP survey data </w:t>
            </w:r>
          </w:p>
          <w:p w14:paraId="76910E64"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Analysis of REALD demographic subpopulations</w:t>
            </w:r>
          </w:p>
          <w:p w14:paraId="35E213F4"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Review of any CCBHC-specific reports or evaluations (national or Oregon-specific)</w:t>
            </w:r>
          </w:p>
          <w:p w14:paraId="3D245AC5" w14:textId="77777777" w:rsidR="0096520E" w:rsidRPr="00A13FC1" w:rsidRDefault="0096520E" w:rsidP="00E72162">
            <w:pPr>
              <w:ind w:left="250"/>
              <w:rPr>
                <w:rFonts w:cstheme="minorHAnsi"/>
                <w:sz w:val="20"/>
                <w:szCs w:val="20"/>
              </w:rPr>
            </w:pPr>
          </w:p>
          <w:p w14:paraId="36BB1D52" w14:textId="77777777" w:rsidR="0096520E" w:rsidRPr="00A13FC1" w:rsidRDefault="0096520E" w:rsidP="00E72162">
            <w:pPr>
              <w:rPr>
                <w:rFonts w:cstheme="minorHAnsi"/>
                <w:sz w:val="20"/>
                <w:szCs w:val="20"/>
              </w:rPr>
            </w:pPr>
          </w:p>
        </w:tc>
      </w:tr>
      <w:tr w:rsidR="0096520E" w:rsidRPr="00A13FC1" w14:paraId="63FC7F9C" w14:textId="77777777" w:rsidTr="00E72162">
        <w:tblPrEx>
          <w:jc w:val="left"/>
        </w:tblPrEx>
        <w:tc>
          <w:tcPr>
            <w:tcW w:w="1705" w:type="dxa"/>
          </w:tcPr>
          <w:p w14:paraId="6CE2C425" w14:textId="77777777" w:rsidR="0096520E" w:rsidRPr="00A13FC1" w:rsidRDefault="0096520E" w:rsidP="00E72162">
            <w:pPr>
              <w:rPr>
                <w:rFonts w:cstheme="minorHAnsi"/>
                <w:sz w:val="20"/>
                <w:szCs w:val="20"/>
              </w:rPr>
            </w:pPr>
            <w:r w:rsidRPr="00A13FC1">
              <w:rPr>
                <w:rFonts w:cstheme="minorHAnsi"/>
                <w:sz w:val="20"/>
                <w:szCs w:val="20"/>
              </w:rPr>
              <w:t>CCBHC implementation</w:t>
            </w:r>
          </w:p>
          <w:p w14:paraId="528BA2DF" w14:textId="77777777" w:rsidR="0096520E" w:rsidRPr="00A13FC1" w:rsidRDefault="0096520E" w:rsidP="00E72162">
            <w:pPr>
              <w:rPr>
                <w:rFonts w:cstheme="minorHAnsi"/>
                <w:sz w:val="20"/>
                <w:szCs w:val="20"/>
              </w:rPr>
            </w:pPr>
            <w:r w:rsidRPr="00A13FC1">
              <w:rPr>
                <w:rFonts w:cstheme="minorHAnsi"/>
                <w:sz w:val="20"/>
                <w:szCs w:val="20"/>
              </w:rPr>
              <w:t>(Aim 3)</w:t>
            </w:r>
          </w:p>
          <w:p w14:paraId="51F42059" w14:textId="77777777" w:rsidR="0096520E" w:rsidRPr="00A13FC1" w:rsidRDefault="0096520E" w:rsidP="00E72162">
            <w:pPr>
              <w:rPr>
                <w:rFonts w:cstheme="minorHAnsi"/>
                <w:sz w:val="20"/>
                <w:szCs w:val="20"/>
              </w:rPr>
            </w:pPr>
            <w:r w:rsidRPr="00A13FC1">
              <w:rPr>
                <w:rFonts w:cstheme="minorHAnsi"/>
                <w:sz w:val="20"/>
                <w:szCs w:val="20"/>
              </w:rPr>
              <w:t>RE-AIM: Reach, Adoption, Implementation</w:t>
            </w:r>
          </w:p>
        </w:tc>
        <w:tc>
          <w:tcPr>
            <w:tcW w:w="6840" w:type="dxa"/>
          </w:tcPr>
          <w:p w14:paraId="1D89E048" w14:textId="77777777" w:rsidR="0096520E" w:rsidRPr="00A13FC1" w:rsidRDefault="0096520E">
            <w:pPr>
              <w:numPr>
                <w:ilvl w:val="0"/>
                <w:numId w:val="13"/>
              </w:numPr>
              <w:tabs>
                <w:tab w:val="num" w:pos="247"/>
                <w:tab w:val="num" w:pos="360"/>
              </w:tabs>
              <w:ind w:left="247" w:hanging="247"/>
              <w:rPr>
                <w:rFonts w:cstheme="minorHAnsi"/>
                <w:sz w:val="20"/>
                <w:szCs w:val="20"/>
              </w:rPr>
            </w:pPr>
            <w:r w:rsidRPr="00A13FC1">
              <w:rPr>
                <w:rFonts w:cstheme="minorHAnsi"/>
                <w:sz w:val="20"/>
                <w:szCs w:val="20"/>
              </w:rPr>
              <w:t xml:space="preserve">Factors or conditions that facilitated </w:t>
            </w:r>
            <w:r>
              <w:rPr>
                <w:rFonts w:cstheme="minorHAnsi"/>
                <w:sz w:val="20"/>
                <w:szCs w:val="20"/>
              </w:rPr>
              <w:t xml:space="preserve">or impeded </w:t>
            </w:r>
            <w:r w:rsidRPr="00A13FC1">
              <w:rPr>
                <w:rFonts w:cstheme="minorHAnsi"/>
                <w:sz w:val="20"/>
                <w:szCs w:val="20"/>
              </w:rPr>
              <w:t xml:space="preserve">the implementation of the CCBHC model </w:t>
            </w:r>
          </w:p>
          <w:p w14:paraId="4D6DFDDA" w14:textId="77777777" w:rsidR="0096520E" w:rsidRPr="00A13FC1" w:rsidRDefault="0096520E">
            <w:pPr>
              <w:numPr>
                <w:ilvl w:val="0"/>
                <w:numId w:val="13"/>
              </w:numPr>
              <w:ind w:left="250" w:hanging="270"/>
              <w:rPr>
                <w:rFonts w:cstheme="minorHAnsi"/>
                <w:sz w:val="20"/>
                <w:szCs w:val="20"/>
                <w:lang w:bidi="th-TH"/>
              </w:rPr>
            </w:pPr>
            <w:r w:rsidRPr="00A13FC1">
              <w:rPr>
                <w:rFonts w:cstheme="minorHAnsi"/>
                <w:sz w:val="20"/>
                <w:szCs w:val="20"/>
              </w:rPr>
              <w:t>General and specific organizational attributes that led to the choice to implement practices or facilitated/hindered implementation</w:t>
            </w:r>
          </w:p>
          <w:p w14:paraId="0FB069EB" w14:textId="77777777" w:rsidR="0096520E" w:rsidRPr="00A13FC1" w:rsidRDefault="0096520E">
            <w:pPr>
              <w:numPr>
                <w:ilvl w:val="0"/>
                <w:numId w:val="13"/>
              </w:numPr>
              <w:ind w:left="250" w:hanging="270"/>
              <w:rPr>
                <w:rFonts w:cstheme="minorHAnsi"/>
                <w:sz w:val="20"/>
                <w:szCs w:val="20"/>
                <w:lang w:bidi="th-TH"/>
              </w:rPr>
            </w:pPr>
            <w:r w:rsidRPr="00A13FC1">
              <w:rPr>
                <w:rFonts w:cstheme="minorHAnsi"/>
                <w:sz w:val="20"/>
                <w:szCs w:val="20"/>
              </w:rPr>
              <w:t xml:space="preserve">Extent to which clinic leaders understood, adopted, and/or adapted expected elements of the model </w:t>
            </w:r>
          </w:p>
          <w:p w14:paraId="7DDC080D"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 xml:space="preserve">Benefits of participation in CCBHC demonstration project </w:t>
            </w:r>
          </w:p>
          <w:p w14:paraId="7D2DD6F3" w14:textId="77777777" w:rsidR="0096520E" w:rsidRPr="00A13FC1" w:rsidRDefault="0096520E">
            <w:pPr>
              <w:numPr>
                <w:ilvl w:val="0"/>
                <w:numId w:val="13"/>
              </w:numPr>
              <w:tabs>
                <w:tab w:val="num" w:pos="360"/>
              </w:tabs>
              <w:ind w:left="250" w:hanging="250"/>
              <w:rPr>
                <w:rFonts w:cstheme="minorHAnsi"/>
                <w:i/>
                <w:sz w:val="20"/>
                <w:szCs w:val="20"/>
              </w:rPr>
            </w:pPr>
            <w:r>
              <w:rPr>
                <w:rFonts w:cstheme="minorHAnsi"/>
                <w:i/>
                <w:sz w:val="20"/>
                <w:szCs w:val="20"/>
              </w:rPr>
              <w:t>Facilitators of, and barriers to, delivering</w:t>
            </w:r>
            <w:r w:rsidRPr="00A13FC1">
              <w:rPr>
                <w:rFonts w:cstheme="minorHAnsi"/>
                <w:i/>
                <w:sz w:val="20"/>
                <w:szCs w:val="20"/>
              </w:rPr>
              <w:t xml:space="preserve"> culturally and linguistically </w:t>
            </w:r>
            <w:r>
              <w:rPr>
                <w:rFonts w:cstheme="minorHAnsi"/>
                <w:i/>
                <w:sz w:val="20"/>
                <w:szCs w:val="20"/>
              </w:rPr>
              <w:t>responsive</w:t>
            </w:r>
            <w:r w:rsidRPr="00A13FC1">
              <w:rPr>
                <w:rFonts w:cstheme="minorHAnsi"/>
                <w:i/>
                <w:sz w:val="20"/>
                <w:szCs w:val="20"/>
              </w:rPr>
              <w:t xml:space="preserve"> services </w:t>
            </w:r>
          </w:p>
          <w:p w14:paraId="629C2EC6"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OHA provision of information, technical assistance</w:t>
            </w:r>
          </w:p>
          <w:p w14:paraId="1CBB3D92"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SAMHSA/CMS fiscal support</w:t>
            </w:r>
          </w:p>
          <w:p w14:paraId="5635C322"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Involvement in Oregon behavioral health networks, national networks</w:t>
            </w:r>
          </w:p>
          <w:p w14:paraId="678BD8EC"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Collaboration with CCO(s) in local area</w:t>
            </w:r>
          </w:p>
        </w:tc>
        <w:tc>
          <w:tcPr>
            <w:tcW w:w="4590" w:type="dxa"/>
          </w:tcPr>
          <w:p w14:paraId="7B0DD350"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clinic administrators</w:t>
            </w:r>
          </w:p>
          <w:p w14:paraId="5C708E62"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medical directors</w:t>
            </w:r>
          </w:p>
          <w:p w14:paraId="65133C36"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key interested parties</w:t>
            </w:r>
          </w:p>
          <w:p w14:paraId="2DF9D210" w14:textId="77777777" w:rsidR="0096520E" w:rsidRPr="00A13FC1" w:rsidRDefault="0096520E" w:rsidP="00E72162">
            <w:pPr>
              <w:rPr>
                <w:rFonts w:cstheme="minorHAnsi"/>
                <w:sz w:val="20"/>
                <w:szCs w:val="20"/>
              </w:rPr>
            </w:pPr>
          </w:p>
        </w:tc>
      </w:tr>
      <w:tr w:rsidR="0096520E" w:rsidRPr="00A13FC1" w14:paraId="64CDC851" w14:textId="77777777" w:rsidTr="00E72162">
        <w:tblPrEx>
          <w:jc w:val="left"/>
        </w:tblPrEx>
        <w:trPr>
          <w:trHeight w:val="1583"/>
        </w:trPr>
        <w:tc>
          <w:tcPr>
            <w:tcW w:w="1705" w:type="dxa"/>
          </w:tcPr>
          <w:p w14:paraId="68B86EAB" w14:textId="77777777" w:rsidR="0096520E" w:rsidRPr="00A13FC1" w:rsidRDefault="0096520E" w:rsidP="00E72162">
            <w:pPr>
              <w:rPr>
                <w:rFonts w:cstheme="minorHAnsi"/>
                <w:sz w:val="20"/>
                <w:szCs w:val="20"/>
              </w:rPr>
            </w:pPr>
            <w:r w:rsidRPr="00A13FC1">
              <w:rPr>
                <w:rFonts w:cstheme="minorHAnsi"/>
                <w:sz w:val="20"/>
                <w:szCs w:val="20"/>
              </w:rPr>
              <w:t>CCBHC sustainability/</w:t>
            </w:r>
          </w:p>
          <w:p w14:paraId="067A7EA6" w14:textId="77777777" w:rsidR="0096520E" w:rsidRPr="00A13FC1" w:rsidRDefault="0096520E" w:rsidP="00E72162">
            <w:pPr>
              <w:rPr>
                <w:rFonts w:cstheme="minorHAnsi"/>
                <w:sz w:val="20"/>
                <w:szCs w:val="20"/>
              </w:rPr>
            </w:pPr>
            <w:r w:rsidRPr="00A13FC1">
              <w:rPr>
                <w:rFonts w:cstheme="minorHAnsi"/>
                <w:sz w:val="20"/>
                <w:szCs w:val="20"/>
              </w:rPr>
              <w:t>expansion</w:t>
            </w:r>
          </w:p>
          <w:p w14:paraId="245968B1" w14:textId="77777777" w:rsidR="0096520E" w:rsidRPr="00A13FC1" w:rsidRDefault="0096520E" w:rsidP="00E72162">
            <w:pPr>
              <w:rPr>
                <w:rFonts w:cstheme="minorHAnsi"/>
                <w:sz w:val="20"/>
                <w:szCs w:val="20"/>
              </w:rPr>
            </w:pPr>
            <w:r w:rsidRPr="00A13FC1">
              <w:rPr>
                <w:rFonts w:cstheme="minorHAnsi"/>
                <w:sz w:val="20"/>
                <w:szCs w:val="20"/>
              </w:rPr>
              <w:t>(Aim 4)</w:t>
            </w:r>
          </w:p>
          <w:p w14:paraId="15122598" w14:textId="77777777" w:rsidR="0096520E" w:rsidRPr="00A13FC1" w:rsidRDefault="0096520E" w:rsidP="00E72162">
            <w:pPr>
              <w:rPr>
                <w:rFonts w:cstheme="minorHAnsi"/>
                <w:sz w:val="20"/>
                <w:szCs w:val="20"/>
              </w:rPr>
            </w:pPr>
            <w:r w:rsidRPr="00A13FC1">
              <w:rPr>
                <w:rFonts w:cstheme="minorHAnsi"/>
                <w:sz w:val="20"/>
                <w:szCs w:val="20"/>
              </w:rPr>
              <w:t>RE-AIM: Maintenance</w:t>
            </w:r>
          </w:p>
        </w:tc>
        <w:tc>
          <w:tcPr>
            <w:tcW w:w="6840" w:type="dxa"/>
          </w:tcPr>
          <w:p w14:paraId="74390325"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Factors or conditions that may help/hinder sustain and expand CCBHC implementation</w:t>
            </w:r>
          </w:p>
          <w:p w14:paraId="4A3A94DB"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Maintenance/enhancement of local partnerships</w:t>
            </w:r>
          </w:p>
          <w:p w14:paraId="446D7D7C" w14:textId="77777777" w:rsidR="0096520E" w:rsidRPr="00A13FC1" w:rsidRDefault="0096520E">
            <w:pPr>
              <w:numPr>
                <w:ilvl w:val="0"/>
                <w:numId w:val="13"/>
              </w:numPr>
              <w:tabs>
                <w:tab w:val="num" w:pos="360"/>
              </w:tabs>
              <w:ind w:left="250" w:hanging="250"/>
              <w:rPr>
                <w:rFonts w:cstheme="minorHAnsi"/>
                <w:i/>
                <w:sz w:val="20"/>
                <w:szCs w:val="20"/>
              </w:rPr>
            </w:pPr>
            <w:r w:rsidRPr="00A13FC1">
              <w:rPr>
                <w:rFonts w:cstheme="minorHAnsi"/>
                <w:i/>
                <w:sz w:val="20"/>
                <w:szCs w:val="20"/>
              </w:rPr>
              <w:t>Presence of equity plans for engaging historically and/or currently underserved populations</w:t>
            </w:r>
          </w:p>
          <w:p w14:paraId="3773D56A"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i/>
                <w:sz w:val="20"/>
                <w:szCs w:val="20"/>
              </w:rPr>
              <w:t>Future plans for providing culturally and linguistically appropriate services</w:t>
            </w:r>
          </w:p>
        </w:tc>
        <w:tc>
          <w:tcPr>
            <w:tcW w:w="4590" w:type="dxa"/>
          </w:tcPr>
          <w:p w14:paraId="71CF1567"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clinic administrators</w:t>
            </w:r>
          </w:p>
          <w:p w14:paraId="3074FEB7"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medical directors</w:t>
            </w:r>
          </w:p>
          <w:p w14:paraId="135C7458"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Interviews with key interested parties</w:t>
            </w:r>
          </w:p>
          <w:p w14:paraId="5CE820D8" w14:textId="77777777" w:rsidR="0096520E" w:rsidRPr="00A13FC1" w:rsidRDefault="0096520E">
            <w:pPr>
              <w:numPr>
                <w:ilvl w:val="0"/>
                <w:numId w:val="13"/>
              </w:numPr>
              <w:tabs>
                <w:tab w:val="num" w:pos="360"/>
              </w:tabs>
              <w:ind w:left="250" w:hanging="250"/>
              <w:rPr>
                <w:rFonts w:cstheme="minorHAnsi"/>
                <w:sz w:val="20"/>
                <w:szCs w:val="20"/>
              </w:rPr>
            </w:pPr>
            <w:r w:rsidRPr="00A13FC1">
              <w:rPr>
                <w:rFonts w:cstheme="minorHAnsi"/>
                <w:sz w:val="20"/>
                <w:szCs w:val="20"/>
              </w:rPr>
              <w:t>Focus groups</w:t>
            </w:r>
            <w:r w:rsidRPr="00A13FC1">
              <w:rPr>
                <w:rFonts w:cstheme="minorHAnsi"/>
                <w:iCs/>
                <w:sz w:val="20"/>
                <w:szCs w:val="20"/>
              </w:rPr>
              <w:t>/survey with CBOs</w:t>
            </w:r>
          </w:p>
          <w:p w14:paraId="5040E63E" w14:textId="77777777" w:rsidR="0096520E" w:rsidRPr="00A13FC1" w:rsidRDefault="0096520E" w:rsidP="00E72162">
            <w:pPr>
              <w:rPr>
                <w:rFonts w:cstheme="minorHAnsi"/>
                <w:sz w:val="20"/>
                <w:szCs w:val="20"/>
              </w:rPr>
            </w:pPr>
          </w:p>
        </w:tc>
      </w:tr>
      <w:tr w:rsidR="0096520E" w:rsidRPr="00A13FC1" w14:paraId="530AE00F" w14:textId="77777777" w:rsidTr="00E72162">
        <w:tblPrEx>
          <w:jc w:val="left"/>
        </w:tblPrEx>
        <w:tc>
          <w:tcPr>
            <w:tcW w:w="1705" w:type="dxa"/>
          </w:tcPr>
          <w:p w14:paraId="458AA591" w14:textId="77777777" w:rsidR="0096520E" w:rsidRPr="00A13FC1" w:rsidRDefault="0096520E" w:rsidP="00E72162">
            <w:pPr>
              <w:rPr>
                <w:rFonts w:cstheme="minorHAnsi"/>
                <w:sz w:val="20"/>
                <w:szCs w:val="20"/>
              </w:rPr>
            </w:pPr>
            <w:r w:rsidRPr="00A13FC1">
              <w:rPr>
                <w:rFonts w:cstheme="minorHAnsi"/>
                <w:sz w:val="20"/>
                <w:szCs w:val="20"/>
              </w:rPr>
              <w:t>CCBHC role in Oregon health systems reform</w:t>
            </w:r>
          </w:p>
          <w:p w14:paraId="72FE72DB" w14:textId="77777777" w:rsidR="0096520E" w:rsidRPr="00A13FC1" w:rsidRDefault="0096520E" w:rsidP="00E72162">
            <w:pPr>
              <w:rPr>
                <w:rFonts w:cstheme="minorHAnsi"/>
                <w:sz w:val="20"/>
                <w:szCs w:val="20"/>
              </w:rPr>
            </w:pPr>
            <w:r w:rsidRPr="00A13FC1">
              <w:rPr>
                <w:rFonts w:cstheme="minorHAnsi"/>
                <w:sz w:val="20"/>
                <w:szCs w:val="20"/>
              </w:rPr>
              <w:t>(Aim 4)</w:t>
            </w:r>
          </w:p>
          <w:p w14:paraId="26892AD4" w14:textId="77777777" w:rsidR="0096520E" w:rsidRPr="00A13FC1" w:rsidRDefault="0096520E" w:rsidP="00E72162">
            <w:pPr>
              <w:rPr>
                <w:rFonts w:cstheme="minorHAnsi"/>
                <w:sz w:val="20"/>
                <w:szCs w:val="20"/>
              </w:rPr>
            </w:pPr>
            <w:r w:rsidRPr="00A13FC1">
              <w:rPr>
                <w:rFonts w:cstheme="minorHAnsi"/>
                <w:sz w:val="20"/>
                <w:szCs w:val="20"/>
              </w:rPr>
              <w:t>RE-AIM: Maintenance</w:t>
            </w:r>
          </w:p>
        </w:tc>
        <w:tc>
          <w:tcPr>
            <w:tcW w:w="6840" w:type="dxa"/>
          </w:tcPr>
          <w:p w14:paraId="773CD6D0" w14:textId="77777777" w:rsidR="0096520E" w:rsidRPr="00A13FC1" w:rsidRDefault="0096520E">
            <w:pPr>
              <w:numPr>
                <w:ilvl w:val="0"/>
                <w:numId w:val="16"/>
              </w:numPr>
              <w:ind w:left="250" w:hanging="250"/>
              <w:rPr>
                <w:rFonts w:cstheme="minorHAnsi"/>
                <w:sz w:val="20"/>
                <w:szCs w:val="20"/>
              </w:rPr>
            </w:pPr>
            <w:r w:rsidRPr="00A13FC1">
              <w:rPr>
                <w:rFonts w:cstheme="minorHAnsi"/>
                <w:sz w:val="20"/>
                <w:szCs w:val="20"/>
              </w:rPr>
              <w:t>Role for CCBHC model in Oregon health systems reform</w:t>
            </w:r>
          </w:p>
          <w:p w14:paraId="7409D48F" w14:textId="77777777" w:rsidR="0096520E" w:rsidRPr="00EC4ADE" w:rsidRDefault="0096520E">
            <w:pPr>
              <w:pStyle w:val="ListParagraph"/>
              <w:numPr>
                <w:ilvl w:val="0"/>
                <w:numId w:val="16"/>
              </w:numPr>
              <w:ind w:left="250" w:hanging="250"/>
              <w:rPr>
                <w:rFonts w:cstheme="minorHAnsi"/>
                <w:sz w:val="20"/>
                <w:szCs w:val="20"/>
              </w:rPr>
            </w:pPr>
            <w:r w:rsidRPr="00EC4ADE">
              <w:rPr>
                <w:rFonts w:cstheme="minorHAnsi"/>
                <w:sz w:val="20"/>
                <w:szCs w:val="20"/>
              </w:rPr>
              <w:t>Relationships of CCBHCs to CMHPs</w:t>
            </w:r>
          </w:p>
          <w:p w14:paraId="382C5A7A" w14:textId="77777777" w:rsidR="0096520E" w:rsidRPr="00EC4ADE" w:rsidRDefault="0096520E">
            <w:pPr>
              <w:pStyle w:val="ListParagraph"/>
              <w:numPr>
                <w:ilvl w:val="0"/>
                <w:numId w:val="16"/>
              </w:numPr>
              <w:ind w:left="250" w:hanging="250"/>
              <w:rPr>
                <w:rFonts w:cstheme="minorHAnsi"/>
                <w:sz w:val="20"/>
                <w:szCs w:val="20"/>
              </w:rPr>
            </w:pPr>
            <w:r w:rsidRPr="00EC4ADE">
              <w:rPr>
                <w:rFonts w:cstheme="minorHAnsi"/>
                <w:sz w:val="20"/>
                <w:szCs w:val="20"/>
              </w:rPr>
              <w:t>Relationships of CCBHCs to CCOs</w:t>
            </w:r>
          </w:p>
          <w:p w14:paraId="1897BCC9" w14:textId="77777777" w:rsidR="0096520E" w:rsidRPr="00EC4ADE" w:rsidRDefault="0096520E">
            <w:pPr>
              <w:pStyle w:val="ListParagraph"/>
              <w:numPr>
                <w:ilvl w:val="0"/>
                <w:numId w:val="16"/>
              </w:numPr>
              <w:ind w:left="250" w:hanging="250"/>
              <w:rPr>
                <w:rFonts w:cstheme="minorHAnsi"/>
                <w:sz w:val="20"/>
                <w:szCs w:val="20"/>
              </w:rPr>
            </w:pPr>
            <w:r>
              <w:rPr>
                <w:rFonts w:cstheme="minorHAnsi"/>
                <w:sz w:val="20"/>
                <w:szCs w:val="20"/>
              </w:rPr>
              <w:t>Support</w:t>
            </w:r>
            <w:r w:rsidRPr="00EC4ADE">
              <w:rPr>
                <w:rFonts w:cstheme="minorHAnsi"/>
                <w:sz w:val="20"/>
                <w:szCs w:val="20"/>
              </w:rPr>
              <w:t xml:space="preserve"> of </w:t>
            </w:r>
            <w:r>
              <w:rPr>
                <w:rFonts w:cstheme="minorHAnsi"/>
                <w:sz w:val="20"/>
                <w:szCs w:val="20"/>
              </w:rPr>
              <w:t xml:space="preserve">behavioral health </w:t>
            </w:r>
            <w:r w:rsidRPr="00EC4ADE">
              <w:rPr>
                <w:rFonts w:cstheme="minorHAnsi"/>
                <w:sz w:val="20"/>
                <w:szCs w:val="20"/>
              </w:rPr>
              <w:t>workforce</w:t>
            </w:r>
          </w:p>
          <w:p w14:paraId="103222EB" w14:textId="77777777" w:rsidR="0096520E" w:rsidRPr="00EC4ADE" w:rsidRDefault="0096520E">
            <w:pPr>
              <w:pStyle w:val="ListParagraph"/>
              <w:numPr>
                <w:ilvl w:val="0"/>
                <w:numId w:val="16"/>
              </w:numPr>
              <w:ind w:left="250" w:hanging="250"/>
              <w:rPr>
                <w:rFonts w:cstheme="minorHAnsi"/>
                <w:sz w:val="20"/>
                <w:szCs w:val="20"/>
              </w:rPr>
            </w:pPr>
            <w:r w:rsidRPr="00EC4ADE">
              <w:rPr>
                <w:rFonts w:cstheme="minorHAnsi"/>
                <w:i/>
                <w:sz w:val="20"/>
                <w:szCs w:val="20"/>
              </w:rPr>
              <w:t>Role of CCBHCs in achieving OHA’s equity goals</w:t>
            </w:r>
          </w:p>
        </w:tc>
        <w:tc>
          <w:tcPr>
            <w:tcW w:w="4590" w:type="dxa"/>
          </w:tcPr>
          <w:p w14:paraId="6E72582D" w14:textId="77777777" w:rsidR="0096520E" w:rsidRPr="00A13FC1" w:rsidRDefault="0096520E">
            <w:pPr>
              <w:numPr>
                <w:ilvl w:val="0"/>
                <w:numId w:val="16"/>
              </w:numPr>
              <w:ind w:left="252" w:hanging="252"/>
              <w:rPr>
                <w:rFonts w:cstheme="minorHAnsi"/>
                <w:sz w:val="20"/>
                <w:szCs w:val="20"/>
              </w:rPr>
            </w:pPr>
            <w:r w:rsidRPr="00A13FC1">
              <w:rPr>
                <w:rFonts w:cstheme="minorHAnsi"/>
                <w:sz w:val="20"/>
                <w:szCs w:val="20"/>
              </w:rPr>
              <w:t>Interviews with clinic administrators</w:t>
            </w:r>
          </w:p>
          <w:p w14:paraId="33ADA924" w14:textId="77777777" w:rsidR="0096520E" w:rsidRPr="00A13FC1" w:rsidRDefault="0096520E">
            <w:pPr>
              <w:numPr>
                <w:ilvl w:val="0"/>
                <w:numId w:val="16"/>
              </w:numPr>
              <w:ind w:left="252" w:hanging="252"/>
              <w:rPr>
                <w:rFonts w:cstheme="minorHAnsi"/>
                <w:sz w:val="20"/>
                <w:szCs w:val="20"/>
              </w:rPr>
            </w:pPr>
            <w:r w:rsidRPr="00A13FC1">
              <w:rPr>
                <w:rFonts w:cstheme="minorHAnsi"/>
                <w:sz w:val="20"/>
                <w:szCs w:val="20"/>
              </w:rPr>
              <w:t>Interviews with medical directors</w:t>
            </w:r>
          </w:p>
          <w:p w14:paraId="283E880C" w14:textId="77777777" w:rsidR="0096520E" w:rsidRPr="00A13FC1" w:rsidRDefault="0096520E">
            <w:pPr>
              <w:numPr>
                <w:ilvl w:val="0"/>
                <w:numId w:val="16"/>
              </w:numPr>
              <w:ind w:left="252" w:hanging="252"/>
              <w:rPr>
                <w:rFonts w:cstheme="minorHAnsi"/>
                <w:sz w:val="20"/>
                <w:szCs w:val="20"/>
              </w:rPr>
            </w:pPr>
            <w:r w:rsidRPr="00A13FC1">
              <w:rPr>
                <w:rFonts w:cstheme="minorHAnsi"/>
                <w:sz w:val="20"/>
                <w:szCs w:val="20"/>
              </w:rPr>
              <w:t xml:space="preserve">Interviews with key interested parties </w:t>
            </w:r>
          </w:p>
          <w:p w14:paraId="01F5F028" w14:textId="77777777" w:rsidR="0096520E" w:rsidRPr="00A13FC1" w:rsidRDefault="0096520E">
            <w:pPr>
              <w:numPr>
                <w:ilvl w:val="0"/>
                <w:numId w:val="16"/>
              </w:numPr>
              <w:ind w:left="252" w:hanging="252"/>
              <w:rPr>
                <w:rFonts w:cstheme="minorHAnsi"/>
                <w:sz w:val="20"/>
                <w:szCs w:val="20"/>
              </w:rPr>
            </w:pPr>
            <w:r w:rsidRPr="00A13FC1">
              <w:rPr>
                <w:rFonts w:cstheme="minorHAnsi"/>
                <w:sz w:val="20"/>
                <w:szCs w:val="20"/>
              </w:rPr>
              <w:t>Focus groups</w:t>
            </w:r>
            <w:r w:rsidRPr="00A13FC1">
              <w:rPr>
                <w:rFonts w:cstheme="minorHAnsi"/>
                <w:iCs/>
                <w:sz w:val="20"/>
                <w:szCs w:val="20"/>
              </w:rPr>
              <w:t>/survey with CBOs</w:t>
            </w:r>
          </w:p>
        </w:tc>
      </w:tr>
    </w:tbl>
    <w:p w14:paraId="2360CCA3" w14:textId="77777777" w:rsidR="00A460F8" w:rsidRDefault="00A460F8" w:rsidP="00A460F8"/>
    <w:p w14:paraId="66F667F2" w14:textId="6490A087" w:rsidR="00F1430C" w:rsidRDefault="00F1430C" w:rsidP="00F1430C"/>
    <w:p w14:paraId="6BBA5C66" w14:textId="77777777" w:rsidR="00A32A0E" w:rsidRDefault="00A32A0E">
      <w:pPr>
        <w:sectPr w:rsidR="00A32A0E" w:rsidSect="00A32A0E">
          <w:pgSz w:w="15840" w:h="12240" w:orient="landscape"/>
          <w:pgMar w:top="1440" w:right="1440" w:bottom="1440" w:left="1494" w:header="720" w:footer="720" w:gutter="0"/>
          <w:cols w:space="720"/>
          <w:docGrid w:linePitch="360"/>
        </w:sectPr>
      </w:pPr>
    </w:p>
    <w:p w14:paraId="3060174F" w14:textId="77777777" w:rsidR="00A32A0E" w:rsidRPr="00A17C4D" w:rsidRDefault="00A32A0E" w:rsidP="00A17C4D">
      <w:pPr>
        <w:spacing w:after="120"/>
        <w:rPr>
          <w:b/>
          <w:bCs/>
          <w:i/>
          <w:iCs/>
          <w:color w:val="6A7F0F"/>
          <w:highlight w:val="white"/>
        </w:rPr>
      </w:pPr>
      <w:bookmarkStart w:id="65" w:name="_Toc118101397"/>
      <w:r w:rsidRPr="00A17C4D">
        <w:rPr>
          <w:b/>
          <w:bCs/>
          <w:i/>
          <w:iCs/>
          <w:color w:val="6A7F0F"/>
          <w:highlight w:val="white"/>
        </w:rPr>
        <w:t>Data Collection Methods</w:t>
      </w:r>
      <w:bookmarkEnd w:id="65"/>
      <w:r w:rsidRPr="00A17C4D">
        <w:rPr>
          <w:b/>
          <w:bCs/>
          <w:i/>
          <w:iCs/>
          <w:color w:val="6A7F0F"/>
          <w:highlight w:val="white"/>
        </w:rPr>
        <w:t xml:space="preserve"> </w:t>
      </w:r>
    </w:p>
    <w:p w14:paraId="67FA1E95" w14:textId="01741C10" w:rsidR="00000D4B" w:rsidRPr="00000D4B" w:rsidRDefault="00A32A0E" w:rsidP="00A32A0E">
      <w:pPr>
        <w:rPr>
          <w:rFonts w:cstheme="minorHAnsi"/>
          <w:b/>
          <w:color w:val="6A7F0F"/>
          <w:sz w:val="22"/>
          <w:szCs w:val="22"/>
        </w:rPr>
      </w:pPr>
      <w:r w:rsidRPr="00000D4B">
        <w:rPr>
          <w:rFonts w:cstheme="minorHAnsi"/>
          <w:b/>
          <w:color w:val="6A7F0F"/>
          <w:sz w:val="22"/>
          <w:szCs w:val="22"/>
        </w:rPr>
        <w:t xml:space="preserve">Qualitative Methods </w:t>
      </w:r>
    </w:p>
    <w:p w14:paraId="716AFA01" w14:textId="46F60A68" w:rsidR="00A32A0E" w:rsidRPr="00A13FC1" w:rsidRDefault="0096520E" w:rsidP="00A32A0E">
      <w:pPr>
        <w:rPr>
          <w:rFonts w:cstheme="minorHAnsi"/>
          <w:bCs/>
          <w:sz w:val="22"/>
          <w:szCs w:val="22"/>
        </w:rPr>
      </w:pPr>
      <w:r w:rsidRPr="00A13FC1">
        <w:rPr>
          <w:rFonts w:cstheme="minorHAnsi"/>
          <w:bCs/>
          <w:sz w:val="22"/>
          <w:szCs w:val="22"/>
        </w:rPr>
        <w:t>A variety of qualitative methods were used. All recruitment scripts (email or telephone), research information/consent sheets, and interview/focus group/survey protocols were approved by the PSU IRB (IRB #</w:t>
      </w:r>
      <w:r w:rsidRPr="00A13FC1">
        <w:rPr>
          <w:rFonts w:cstheme="minorHAnsi"/>
          <w:sz w:val="22"/>
          <w:szCs w:val="22"/>
        </w:rPr>
        <w:t>227800-18</w:t>
      </w:r>
      <w:r w:rsidRPr="00A13FC1">
        <w:rPr>
          <w:rFonts w:cstheme="minorHAnsi"/>
          <w:bCs/>
          <w:sz w:val="22"/>
          <w:szCs w:val="22"/>
        </w:rPr>
        <w:t>)</w:t>
      </w:r>
      <w:r>
        <w:rPr>
          <w:rFonts w:cstheme="minorHAnsi"/>
          <w:bCs/>
          <w:sz w:val="22"/>
          <w:szCs w:val="22"/>
        </w:rPr>
        <w:t xml:space="preserve"> in June 2022</w:t>
      </w:r>
      <w:r w:rsidRPr="00A13FC1">
        <w:rPr>
          <w:rFonts w:cstheme="minorHAnsi"/>
          <w:bCs/>
          <w:sz w:val="22"/>
          <w:szCs w:val="22"/>
        </w:rPr>
        <w:t>.</w:t>
      </w:r>
    </w:p>
    <w:p w14:paraId="3005DD11" w14:textId="77777777" w:rsidR="00A32A0E" w:rsidRPr="00A13FC1" w:rsidRDefault="00A32A0E" w:rsidP="00A32A0E">
      <w:pPr>
        <w:rPr>
          <w:rFonts w:cstheme="minorHAnsi"/>
          <w:bCs/>
          <w:sz w:val="22"/>
          <w:szCs w:val="22"/>
        </w:rPr>
      </w:pPr>
    </w:p>
    <w:p w14:paraId="6BFEB3CF"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Interviews with Clinic Administrators and Clinical Directors</w:t>
      </w:r>
    </w:p>
    <w:p w14:paraId="1813BBED" w14:textId="77777777" w:rsidR="0096520E" w:rsidRPr="00A13FC1" w:rsidRDefault="0096520E" w:rsidP="0096520E">
      <w:pPr>
        <w:rPr>
          <w:rFonts w:cstheme="minorHAnsi"/>
          <w:bCs/>
          <w:sz w:val="22"/>
          <w:szCs w:val="22"/>
        </w:rPr>
      </w:pPr>
      <w:r w:rsidRPr="00A13FC1">
        <w:rPr>
          <w:rFonts w:cstheme="minorHAnsi"/>
          <w:bCs/>
          <w:sz w:val="22"/>
          <w:szCs w:val="22"/>
        </w:rPr>
        <w:t>Individual interviews were conducted virtually using a standard protocol with the clinic administrators and clinical directors (or designates) at each of the 12 CCBHCs and were recorded using Zoom. All 24 interviews were completed between July 25 and August 16, 2022</w:t>
      </w:r>
      <w:r w:rsidRPr="00A13FC1">
        <w:rPr>
          <w:rFonts w:cstheme="minorHAnsi"/>
          <w:sz w:val="22"/>
          <w:szCs w:val="22"/>
        </w:rPr>
        <w:t>.</w:t>
      </w:r>
      <w:r w:rsidRPr="00A13FC1">
        <w:rPr>
          <w:rFonts w:cstheme="minorHAnsi"/>
          <w:bCs/>
          <w:sz w:val="22"/>
          <w:szCs w:val="22"/>
        </w:rPr>
        <w:t xml:space="preserve"> Interviews were transcribed using Rev.com followed by review by a</w:t>
      </w:r>
      <w:r>
        <w:rPr>
          <w:rFonts w:cstheme="minorHAnsi"/>
          <w:bCs/>
          <w:sz w:val="22"/>
          <w:szCs w:val="22"/>
        </w:rPr>
        <w:t>n</w:t>
      </w:r>
      <w:r w:rsidRPr="00A13FC1">
        <w:rPr>
          <w:rFonts w:cstheme="minorHAnsi"/>
          <w:bCs/>
          <w:sz w:val="22"/>
          <w:szCs w:val="22"/>
        </w:rPr>
        <w:t xml:space="preserve"> </w:t>
      </w:r>
      <w:r>
        <w:rPr>
          <w:rFonts w:cstheme="minorHAnsi"/>
          <w:bCs/>
          <w:sz w:val="22"/>
          <w:szCs w:val="22"/>
        </w:rPr>
        <w:t>evaluation</w:t>
      </w:r>
      <w:r w:rsidRPr="00A13FC1">
        <w:rPr>
          <w:rFonts w:cstheme="minorHAnsi"/>
          <w:bCs/>
          <w:sz w:val="22"/>
          <w:szCs w:val="22"/>
        </w:rPr>
        <w:t xml:space="preserve"> team member; all individual identifying information was removed to protect anonymity; and the de</w:t>
      </w:r>
      <w:r>
        <w:rPr>
          <w:rFonts w:cstheme="minorHAnsi"/>
          <w:bCs/>
          <w:sz w:val="22"/>
          <w:szCs w:val="22"/>
        </w:rPr>
        <w:t>-</w:t>
      </w:r>
      <w:r w:rsidRPr="00A13FC1">
        <w:rPr>
          <w:rFonts w:cstheme="minorHAnsi"/>
          <w:bCs/>
          <w:sz w:val="22"/>
          <w:szCs w:val="22"/>
        </w:rPr>
        <w:t>identified transcripts were coded for common themes.</w:t>
      </w:r>
    </w:p>
    <w:p w14:paraId="6198642A" w14:textId="77777777" w:rsidR="00A32A0E" w:rsidRPr="00A13FC1" w:rsidRDefault="00A32A0E" w:rsidP="00A32A0E">
      <w:pPr>
        <w:rPr>
          <w:rFonts w:cstheme="minorHAnsi"/>
          <w:bCs/>
          <w:i/>
          <w:iCs/>
          <w:sz w:val="22"/>
          <w:szCs w:val="22"/>
        </w:rPr>
      </w:pPr>
    </w:p>
    <w:p w14:paraId="2E479366"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Focus Groups with Service Users (and Survey)</w:t>
      </w:r>
    </w:p>
    <w:p w14:paraId="2A9750E4" w14:textId="77777777" w:rsidR="0096520E" w:rsidRPr="00A13FC1" w:rsidRDefault="0096520E" w:rsidP="0096520E">
      <w:pPr>
        <w:rPr>
          <w:rFonts w:cstheme="minorHAnsi"/>
          <w:bCs/>
          <w:sz w:val="22"/>
          <w:szCs w:val="22"/>
        </w:rPr>
      </w:pPr>
      <w:r w:rsidRPr="00A13FC1">
        <w:rPr>
          <w:rFonts w:cstheme="minorHAnsi"/>
          <w:bCs/>
          <w:sz w:val="22"/>
          <w:szCs w:val="22"/>
        </w:rPr>
        <w:t xml:space="preserve">Clinic leaders were asked to identify a group of service users who would be invited by the </w:t>
      </w:r>
      <w:r>
        <w:rPr>
          <w:rFonts w:cstheme="minorHAnsi"/>
          <w:bCs/>
          <w:sz w:val="22"/>
          <w:szCs w:val="22"/>
        </w:rPr>
        <w:t>evaluation</w:t>
      </w:r>
      <w:r w:rsidRPr="00A13FC1">
        <w:rPr>
          <w:rFonts w:cstheme="minorHAnsi"/>
          <w:bCs/>
          <w:sz w:val="22"/>
          <w:szCs w:val="22"/>
        </w:rPr>
        <w:t xml:space="preserve"> team to an in-person focus group. Each clinic was asked to identify 15-20 individuals, with a goal of 8-12 participants in each focus group. Clinic leaders were also asked to identify a time that they thought would be most suitable for service users to attend (given that resources would only support one focus group per clinic), select a preferred site (if the clinic had multiple sites), and provide logistical support to identify a location for the focus group. The intent was that the </w:t>
      </w:r>
      <w:r>
        <w:rPr>
          <w:rFonts w:cstheme="minorHAnsi"/>
          <w:bCs/>
          <w:sz w:val="22"/>
          <w:szCs w:val="22"/>
        </w:rPr>
        <w:t>evaluation</w:t>
      </w:r>
      <w:r w:rsidRPr="00A13FC1">
        <w:rPr>
          <w:rFonts w:cstheme="minorHAnsi"/>
          <w:bCs/>
          <w:sz w:val="22"/>
          <w:szCs w:val="22"/>
        </w:rPr>
        <w:t xml:space="preserve"> team would reach out to the service users and minimize the added burden on clinic staff; in some cases, a list was provided readily, in others, the clinics first contacted the service users to obtain their permission, and in some others, the process of the clinic providing a list to the </w:t>
      </w:r>
      <w:r>
        <w:rPr>
          <w:rFonts w:cstheme="minorHAnsi"/>
          <w:bCs/>
          <w:sz w:val="22"/>
          <w:szCs w:val="22"/>
        </w:rPr>
        <w:t>evaluation</w:t>
      </w:r>
      <w:r w:rsidRPr="00A13FC1">
        <w:rPr>
          <w:rFonts w:cstheme="minorHAnsi"/>
          <w:bCs/>
          <w:sz w:val="22"/>
          <w:szCs w:val="22"/>
        </w:rPr>
        <w:t xml:space="preserve"> team was protracted. Where an email was provided, it was relatively simple for the </w:t>
      </w:r>
      <w:r>
        <w:rPr>
          <w:rFonts w:cstheme="minorHAnsi"/>
          <w:bCs/>
          <w:sz w:val="22"/>
          <w:szCs w:val="22"/>
        </w:rPr>
        <w:t>evaluation</w:t>
      </w:r>
      <w:r w:rsidRPr="00A13FC1">
        <w:rPr>
          <w:rFonts w:cstheme="minorHAnsi"/>
          <w:bCs/>
          <w:sz w:val="22"/>
          <w:szCs w:val="22"/>
        </w:rPr>
        <w:t xml:space="preserve"> team to contact the service users, explain the focus group, and invite them, and then provide the research information/consent sheet when they agreed to participate. When only a telephone number was provided for service users identified by the clinics, the </w:t>
      </w:r>
      <w:r>
        <w:rPr>
          <w:rFonts w:cstheme="minorHAnsi"/>
          <w:bCs/>
          <w:sz w:val="22"/>
          <w:szCs w:val="22"/>
        </w:rPr>
        <w:t>evaluation</w:t>
      </w:r>
      <w:r w:rsidRPr="00A13FC1">
        <w:rPr>
          <w:rFonts w:cstheme="minorHAnsi"/>
          <w:bCs/>
          <w:sz w:val="22"/>
          <w:szCs w:val="22"/>
        </w:rPr>
        <w:t xml:space="preserve"> team attempted to reach them by telephone and explain the focus group to them. In some cases, this resulted in agreement to participate (recognizing that some users did not use email); in many cases, it was not possible to reach the service users, or there was confusion about the purpose </w:t>
      </w:r>
      <w:r>
        <w:rPr>
          <w:rFonts w:cstheme="minorHAnsi"/>
          <w:bCs/>
          <w:sz w:val="22"/>
          <w:szCs w:val="22"/>
        </w:rPr>
        <w:t xml:space="preserve">of the </w:t>
      </w:r>
      <w:r w:rsidRPr="00A13FC1">
        <w:rPr>
          <w:rFonts w:cstheme="minorHAnsi"/>
          <w:bCs/>
          <w:sz w:val="22"/>
          <w:szCs w:val="22"/>
        </w:rPr>
        <w:t xml:space="preserve">focus group. </w:t>
      </w:r>
    </w:p>
    <w:p w14:paraId="0A0702FD" w14:textId="77777777" w:rsidR="0096520E" w:rsidRPr="00A13FC1" w:rsidRDefault="0096520E" w:rsidP="0096520E">
      <w:pPr>
        <w:rPr>
          <w:rFonts w:cstheme="minorHAnsi"/>
          <w:bCs/>
          <w:sz w:val="22"/>
          <w:szCs w:val="22"/>
        </w:rPr>
      </w:pPr>
    </w:p>
    <w:p w14:paraId="4A0A5450" w14:textId="77777777" w:rsidR="0096520E" w:rsidRPr="00A13FC1" w:rsidRDefault="0096520E" w:rsidP="0096520E">
      <w:pPr>
        <w:rPr>
          <w:rFonts w:cstheme="minorHAnsi"/>
          <w:bCs/>
          <w:sz w:val="22"/>
          <w:szCs w:val="22"/>
        </w:rPr>
      </w:pPr>
      <w:r w:rsidRPr="00A13FC1">
        <w:rPr>
          <w:rFonts w:cstheme="minorHAnsi"/>
          <w:bCs/>
          <w:sz w:val="22"/>
          <w:szCs w:val="22"/>
        </w:rPr>
        <w:t xml:space="preserve">Ultimately, despite all clinics receiving the same request, the numbers of service users identified by the clinics ranged from 3 to 21. The recruitment process was complicated by the fact that OHA was conducting its compliance visits to the clinic in parallel with the evaluation process, and many clinic leaders expressed frustration with being asked to identify service users for a second focus group. In most cases, these compliance visits occurred prior to the </w:t>
      </w:r>
      <w:r>
        <w:rPr>
          <w:rFonts w:cstheme="minorHAnsi"/>
          <w:bCs/>
          <w:sz w:val="22"/>
          <w:szCs w:val="22"/>
        </w:rPr>
        <w:t>evaluation</w:t>
      </w:r>
      <w:r w:rsidRPr="00A13FC1">
        <w:rPr>
          <w:rFonts w:cstheme="minorHAnsi"/>
          <w:bCs/>
          <w:sz w:val="22"/>
          <w:szCs w:val="22"/>
        </w:rPr>
        <w:t xml:space="preserve"> team’s visit. </w:t>
      </w:r>
    </w:p>
    <w:p w14:paraId="095167F1" w14:textId="77777777" w:rsidR="0096520E" w:rsidRPr="00A13FC1" w:rsidRDefault="0096520E" w:rsidP="0096520E">
      <w:pPr>
        <w:rPr>
          <w:rFonts w:cstheme="minorHAnsi"/>
          <w:bCs/>
          <w:sz w:val="22"/>
          <w:szCs w:val="22"/>
        </w:rPr>
      </w:pPr>
    </w:p>
    <w:p w14:paraId="7072FEC8" w14:textId="77777777" w:rsidR="00000D4B" w:rsidRDefault="0096520E" w:rsidP="00A32A0E">
      <w:pPr>
        <w:rPr>
          <w:rFonts w:cstheme="minorHAnsi"/>
          <w:bCs/>
          <w:sz w:val="22"/>
          <w:szCs w:val="22"/>
        </w:rPr>
      </w:pPr>
      <w:r w:rsidRPr="00A13FC1">
        <w:rPr>
          <w:rFonts w:cstheme="minorHAnsi"/>
          <w:sz w:val="22"/>
          <w:szCs w:val="22"/>
          <w:lang w:bidi="th-TH"/>
        </w:rPr>
        <w:t xml:space="preserve">Focus groups were conducted with service users at the 11 CCBHCs that are currently active. No focus group was conducted at </w:t>
      </w:r>
      <w:r w:rsidRPr="00A13FC1">
        <w:rPr>
          <w:rFonts w:cstheme="minorHAnsi"/>
          <w:bCs/>
          <w:sz w:val="22"/>
          <w:szCs w:val="22"/>
        </w:rPr>
        <w:t xml:space="preserve">PeaceHealth Medical Group, Oregon West Network since that clinic had not been an active CCBHC in recent years and thus there were no current CCBHC service users. The number of service users who attended the focus groups, despite all clinics having confirmed numbers in advance, ranged from 0 to 5 as shown in </w:t>
      </w:r>
      <w:r w:rsidRPr="00A35AAA">
        <w:rPr>
          <w:rFonts w:cstheme="minorHAnsi"/>
          <w:bCs/>
          <w:color w:val="6A7F0F"/>
          <w:sz w:val="22"/>
          <w:szCs w:val="22"/>
        </w:rPr>
        <w:t>Table A3</w:t>
      </w:r>
      <w:r w:rsidR="00C5217E">
        <w:rPr>
          <w:rFonts w:cstheme="minorHAnsi"/>
          <w:bCs/>
          <w:color w:val="6A7F0F"/>
          <w:sz w:val="22"/>
          <w:szCs w:val="22"/>
        </w:rPr>
        <w:t>.</w:t>
      </w:r>
      <w:r w:rsidRPr="00A35AAA">
        <w:rPr>
          <w:rFonts w:cstheme="minorHAnsi"/>
          <w:bCs/>
          <w:color w:val="6A7F0F"/>
          <w:sz w:val="22"/>
          <w:szCs w:val="22"/>
        </w:rPr>
        <w:t xml:space="preserve">2 </w:t>
      </w:r>
      <w:r w:rsidRPr="00A13FC1">
        <w:rPr>
          <w:rFonts w:cstheme="minorHAnsi"/>
          <w:bCs/>
          <w:sz w:val="22"/>
          <w:szCs w:val="22"/>
        </w:rPr>
        <w:t xml:space="preserve">below. The </w:t>
      </w:r>
      <w:r>
        <w:rPr>
          <w:rFonts w:cstheme="minorHAnsi"/>
          <w:bCs/>
          <w:sz w:val="22"/>
          <w:szCs w:val="22"/>
        </w:rPr>
        <w:t>evaluation</w:t>
      </w:r>
      <w:r w:rsidRPr="00A13FC1">
        <w:rPr>
          <w:rFonts w:cstheme="minorHAnsi"/>
          <w:bCs/>
          <w:sz w:val="22"/>
          <w:szCs w:val="22"/>
        </w:rPr>
        <w:t xml:space="preserve"> team recognizes that the service users are all behavioral health clients with complex lives who may experience challenges in keeping a scheduled commitment. While the insights obtained from the limited number of participants were very rich, future research involving in-person qualitative data collection with service users would benefit from careful recruitment strategies to maximize the number of participants. </w:t>
      </w:r>
    </w:p>
    <w:p w14:paraId="0CB40C4F" w14:textId="77777777" w:rsidR="00000D4B" w:rsidRDefault="00000D4B" w:rsidP="00A32A0E">
      <w:pPr>
        <w:jc w:val="center"/>
        <w:rPr>
          <w:rFonts w:cstheme="minorHAnsi"/>
          <w:b/>
          <w:color w:val="6A7F0F"/>
          <w:sz w:val="22"/>
          <w:szCs w:val="22"/>
          <w:u w:val="single"/>
        </w:rPr>
      </w:pPr>
      <w:bookmarkStart w:id="66" w:name="Appendix3_Table_A32"/>
    </w:p>
    <w:p w14:paraId="65DBEF8D" w14:textId="06A540CF" w:rsidR="00A32A0E" w:rsidRPr="00000D4B" w:rsidRDefault="00A32A0E" w:rsidP="00A32A0E">
      <w:pPr>
        <w:jc w:val="center"/>
        <w:rPr>
          <w:rFonts w:cstheme="minorHAnsi"/>
          <w:b/>
          <w:color w:val="6A7F0F"/>
          <w:sz w:val="22"/>
          <w:szCs w:val="22"/>
        </w:rPr>
      </w:pPr>
      <w:r w:rsidRPr="00000D4B">
        <w:rPr>
          <w:rFonts w:cstheme="minorHAnsi"/>
          <w:b/>
          <w:color w:val="6A7F0F"/>
          <w:sz w:val="22"/>
          <w:szCs w:val="22"/>
        </w:rPr>
        <w:t>Table A3</w:t>
      </w:r>
      <w:r w:rsidR="00225851" w:rsidRPr="00000D4B">
        <w:rPr>
          <w:rFonts w:cstheme="minorHAnsi"/>
          <w:b/>
          <w:color w:val="6A7F0F"/>
          <w:sz w:val="22"/>
          <w:szCs w:val="22"/>
        </w:rPr>
        <w:t>.</w:t>
      </w:r>
      <w:r w:rsidRPr="00000D4B">
        <w:rPr>
          <w:rFonts w:cstheme="minorHAnsi"/>
          <w:b/>
          <w:color w:val="6A7F0F"/>
          <w:sz w:val="22"/>
          <w:szCs w:val="22"/>
        </w:rPr>
        <w:t>2: Focus Group Participation</w:t>
      </w:r>
    </w:p>
    <w:bookmarkEnd w:id="66"/>
    <w:p w14:paraId="4181EBA9" w14:textId="77777777" w:rsidR="00A32A0E" w:rsidRPr="00A13FC1" w:rsidRDefault="00A32A0E" w:rsidP="00A32A0E">
      <w:pPr>
        <w:rPr>
          <w:rFonts w:cstheme="minorHAnsi"/>
          <w:bCs/>
          <w:sz w:val="22"/>
          <w:szCs w:val="22"/>
        </w:rPr>
      </w:pPr>
    </w:p>
    <w:tbl>
      <w:tblPr>
        <w:tblStyle w:val="TableGrid"/>
        <w:tblW w:w="0" w:type="auto"/>
        <w:jc w:val="center"/>
        <w:tblLook w:val="04A0" w:firstRow="1" w:lastRow="0" w:firstColumn="1" w:lastColumn="0" w:noHBand="0" w:noVBand="1"/>
      </w:tblPr>
      <w:tblGrid>
        <w:gridCol w:w="3595"/>
        <w:gridCol w:w="2421"/>
      </w:tblGrid>
      <w:tr w:rsidR="00F7725C" w14:paraId="7A4D0008" w14:textId="77777777" w:rsidTr="00E72162">
        <w:trPr>
          <w:jc w:val="center"/>
        </w:trPr>
        <w:tc>
          <w:tcPr>
            <w:tcW w:w="3595" w:type="dxa"/>
            <w:shd w:val="clear" w:color="auto" w:fill="E7E6E6" w:themeFill="background2"/>
          </w:tcPr>
          <w:p w14:paraId="29252A72" w14:textId="77777777" w:rsidR="00F7725C" w:rsidRPr="005D5939" w:rsidRDefault="00F7725C" w:rsidP="00E72162">
            <w:pPr>
              <w:jc w:val="center"/>
              <w:rPr>
                <w:rFonts w:cstheme="minorHAnsi"/>
                <w:b/>
                <w:bCs/>
                <w:sz w:val="22"/>
                <w:szCs w:val="22"/>
              </w:rPr>
            </w:pPr>
            <w:r w:rsidRPr="00A13FC1">
              <w:rPr>
                <w:rFonts w:cstheme="minorHAnsi"/>
                <w:b/>
                <w:sz w:val="22"/>
                <w:szCs w:val="22"/>
              </w:rPr>
              <w:t>Number of Focus Group Participants</w:t>
            </w:r>
          </w:p>
        </w:tc>
        <w:tc>
          <w:tcPr>
            <w:tcW w:w="2421" w:type="dxa"/>
            <w:shd w:val="clear" w:color="auto" w:fill="E7E6E6" w:themeFill="background2"/>
          </w:tcPr>
          <w:p w14:paraId="11DA2F15" w14:textId="77777777" w:rsidR="00F7725C" w:rsidRPr="005D5939" w:rsidRDefault="00F7725C" w:rsidP="00E72162">
            <w:pPr>
              <w:jc w:val="center"/>
              <w:rPr>
                <w:rFonts w:cstheme="minorHAnsi"/>
                <w:b/>
                <w:bCs/>
                <w:sz w:val="22"/>
                <w:szCs w:val="22"/>
              </w:rPr>
            </w:pPr>
            <w:r w:rsidRPr="00A13FC1">
              <w:rPr>
                <w:rFonts w:cstheme="minorHAnsi"/>
                <w:b/>
                <w:sz w:val="22"/>
                <w:szCs w:val="22"/>
              </w:rPr>
              <w:t>Number of Clinics</w:t>
            </w:r>
          </w:p>
        </w:tc>
      </w:tr>
      <w:tr w:rsidR="00F7725C" w:rsidRPr="00A13FC1" w14:paraId="1DAF4624" w14:textId="77777777" w:rsidTr="00E72162">
        <w:tblPrEx>
          <w:jc w:val="left"/>
        </w:tblPrEx>
        <w:tc>
          <w:tcPr>
            <w:tcW w:w="3595" w:type="dxa"/>
          </w:tcPr>
          <w:p w14:paraId="77073714" w14:textId="77777777" w:rsidR="00F7725C" w:rsidRPr="00A13FC1" w:rsidRDefault="00F7725C" w:rsidP="00E72162">
            <w:pPr>
              <w:jc w:val="center"/>
              <w:rPr>
                <w:rFonts w:cstheme="minorHAnsi"/>
                <w:bCs/>
                <w:sz w:val="22"/>
                <w:szCs w:val="22"/>
              </w:rPr>
            </w:pPr>
            <w:r w:rsidRPr="00A13FC1">
              <w:rPr>
                <w:rFonts w:cstheme="minorHAnsi"/>
                <w:bCs/>
                <w:sz w:val="22"/>
                <w:szCs w:val="22"/>
              </w:rPr>
              <w:t>0</w:t>
            </w:r>
          </w:p>
        </w:tc>
        <w:tc>
          <w:tcPr>
            <w:tcW w:w="2421" w:type="dxa"/>
          </w:tcPr>
          <w:p w14:paraId="6AD8E3FD" w14:textId="77777777" w:rsidR="00F7725C" w:rsidRPr="00A13FC1" w:rsidRDefault="00F7725C" w:rsidP="00E72162">
            <w:pPr>
              <w:jc w:val="center"/>
              <w:rPr>
                <w:rFonts w:cstheme="minorHAnsi"/>
                <w:bCs/>
                <w:sz w:val="22"/>
                <w:szCs w:val="22"/>
              </w:rPr>
            </w:pPr>
            <w:r w:rsidRPr="00A13FC1">
              <w:rPr>
                <w:rFonts w:cstheme="minorHAnsi"/>
                <w:bCs/>
                <w:sz w:val="22"/>
                <w:szCs w:val="22"/>
              </w:rPr>
              <w:t>1</w:t>
            </w:r>
          </w:p>
        </w:tc>
      </w:tr>
      <w:tr w:rsidR="00F7725C" w:rsidRPr="00A13FC1" w14:paraId="20556A10" w14:textId="77777777" w:rsidTr="00E72162">
        <w:tblPrEx>
          <w:jc w:val="left"/>
        </w:tblPrEx>
        <w:tc>
          <w:tcPr>
            <w:tcW w:w="3595" w:type="dxa"/>
          </w:tcPr>
          <w:p w14:paraId="682295D6" w14:textId="77777777" w:rsidR="00F7725C" w:rsidRPr="00A13FC1" w:rsidRDefault="00F7725C" w:rsidP="00E72162">
            <w:pPr>
              <w:jc w:val="center"/>
              <w:rPr>
                <w:rFonts w:cstheme="minorHAnsi"/>
                <w:bCs/>
                <w:sz w:val="22"/>
                <w:szCs w:val="22"/>
              </w:rPr>
            </w:pPr>
            <w:r w:rsidRPr="00A13FC1">
              <w:rPr>
                <w:rFonts w:cstheme="minorHAnsi"/>
                <w:bCs/>
                <w:sz w:val="22"/>
                <w:szCs w:val="22"/>
              </w:rPr>
              <w:t>1</w:t>
            </w:r>
          </w:p>
        </w:tc>
        <w:tc>
          <w:tcPr>
            <w:tcW w:w="2421" w:type="dxa"/>
          </w:tcPr>
          <w:p w14:paraId="11DB2CE1" w14:textId="77777777" w:rsidR="00F7725C" w:rsidRPr="00A13FC1" w:rsidRDefault="00F7725C" w:rsidP="00E72162">
            <w:pPr>
              <w:jc w:val="center"/>
              <w:rPr>
                <w:rFonts w:cstheme="minorHAnsi"/>
                <w:bCs/>
                <w:sz w:val="22"/>
                <w:szCs w:val="22"/>
              </w:rPr>
            </w:pPr>
            <w:r w:rsidRPr="00A13FC1">
              <w:rPr>
                <w:rFonts w:cstheme="minorHAnsi"/>
                <w:bCs/>
                <w:sz w:val="22"/>
                <w:szCs w:val="22"/>
              </w:rPr>
              <w:t>3</w:t>
            </w:r>
          </w:p>
        </w:tc>
      </w:tr>
      <w:tr w:rsidR="00F7725C" w:rsidRPr="00A13FC1" w14:paraId="54241F61" w14:textId="77777777" w:rsidTr="00E72162">
        <w:tblPrEx>
          <w:jc w:val="left"/>
        </w:tblPrEx>
        <w:tc>
          <w:tcPr>
            <w:tcW w:w="3595" w:type="dxa"/>
          </w:tcPr>
          <w:p w14:paraId="07D2B5BE" w14:textId="77777777" w:rsidR="00F7725C" w:rsidRPr="00A13FC1" w:rsidRDefault="00F7725C" w:rsidP="00E72162">
            <w:pPr>
              <w:jc w:val="center"/>
              <w:rPr>
                <w:rFonts w:cstheme="minorHAnsi"/>
                <w:bCs/>
                <w:sz w:val="22"/>
                <w:szCs w:val="22"/>
              </w:rPr>
            </w:pPr>
            <w:r w:rsidRPr="00A13FC1">
              <w:rPr>
                <w:rFonts w:cstheme="minorHAnsi"/>
                <w:bCs/>
                <w:sz w:val="22"/>
                <w:szCs w:val="22"/>
              </w:rPr>
              <w:t>2</w:t>
            </w:r>
          </w:p>
        </w:tc>
        <w:tc>
          <w:tcPr>
            <w:tcW w:w="2421" w:type="dxa"/>
          </w:tcPr>
          <w:p w14:paraId="3992E9E7" w14:textId="77777777" w:rsidR="00F7725C" w:rsidRPr="00A13FC1" w:rsidRDefault="00F7725C" w:rsidP="00E72162">
            <w:pPr>
              <w:jc w:val="center"/>
              <w:rPr>
                <w:rFonts w:cstheme="minorHAnsi"/>
                <w:bCs/>
                <w:sz w:val="22"/>
                <w:szCs w:val="22"/>
              </w:rPr>
            </w:pPr>
            <w:r w:rsidRPr="00A13FC1">
              <w:rPr>
                <w:rFonts w:cstheme="minorHAnsi"/>
                <w:bCs/>
                <w:sz w:val="22"/>
                <w:szCs w:val="22"/>
              </w:rPr>
              <w:t>2</w:t>
            </w:r>
          </w:p>
        </w:tc>
      </w:tr>
      <w:tr w:rsidR="00F7725C" w:rsidRPr="00A13FC1" w14:paraId="70AE527C" w14:textId="77777777" w:rsidTr="00E72162">
        <w:tblPrEx>
          <w:jc w:val="left"/>
        </w:tblPrEx>
        <w:tc>
          <w:tcPr>
            <w:tcW w:w="3595" w:type="dxa"/>
          </w:tcPr>
          <w:p w14:paraId="08D4ABA0" w14:textId="77777777" w:rsidR="00F7725C" w:rsidRPr="00A13FC1" w:rsidRDefault="00F7725C" w:rsidP="00E72162">
            <w:pPr>
              <w:jc w:val="center"/>
              <w:rPr>
                <w:rFonts w:cstheme="minorHAnsi"/>
                <w:bCs/>
                <w:sz w:val="22"/>
                <w:szCs w:val="22"/>
              </w:rPr>
            </w:pPr>
            <w:r w:rsidRPr="00A13FC1">
              <w:rPr>
                <w:rFonts w:cstheme="minorHAnsi"/>
                <w:bCs/>
                <w:sz w:val="22"/>
                <w:szCs w:val="22"/>
              </w:rPr>
              <w:t>3</w:t>
            </w:r>
          </w:p>
        </w:tc>
        <w:tc>
          <w:tcPr>
            <w:tcW w:w="2421" w:type="dxa"/>
          </w:tcPr>
          <w:p w14:paraId="61C8D55E" w14:textId="77777777" w:rsidR="00F7725C" w:rsidRPr="00A13FC1" w:rsidRDefault="00F7725C" w:rsidP="00E72162">
            <w:pPr>
              <w:jc w:val="center"/>
              <w:rPr>
                <w:rFonts w:cstheme="minorHAnsi"/>
                <w:bCs/>
                <w:sz w:val="22"/>
                <w:szCs w:val="22"/>
              </w:rPr>
            </w:pPr>
            <w:r w:rsidRPr="00A13FC1">
              <w:rPr>
                <w:rFonts w:cstheme="minorHAnsi"/>
                <w:bCs/>
                <w:sz w:val="22"/>
                <w:szCs w:val="22"/>
              </w:rPr>
              <w:t>1</w:t>
            </w:r>
          </w:p>
        </w:tc>
      </w:tr>
      <w:tr w:rsidR="00F7725C" w:rsidRPr="00A13FC1" w14:paraId="175D7C57" w14:textId="77777777" w:rsidTr="00E72162">
        <w:tblPrEx>
          <w:jc w:val="left"/>
        </w:tblPrEx>
        <w:tc>
          <w:tcPr>
            <w:tcW w:w="3595" w:type="dxa"/>
          </w:tcPr>
          <w:p w14:paraId="6A9F48FE" w14:textId="77777777" w:rsidR="00F7725C" w:rsidRPr="00A13FC1" w:rsidRDefault="00F7725C" w:rsidP="00E72162">
            <w:pPr>
              <w:jc w:val="center"/>
              <w:rPr>
                <w:rFonts w:cstheme="minorHAnsi"/>
                <w:bCs/>
                <w:sz w:val="22"/>
                <w:szCs w:val="22"/>
              </w:rPr>
            </w:pPr>
            <w:r w:rsidRPr="00A13FC1">
              <w:rPr>
                <w:rFonts w:cstheme="minorHAnsi"/>
                <w:bCs/>
                <w:sz w:val="22"/>
                <w:szCs w:val="22"/>
              </w:rPr>
              <w:t>4</w:t>
            </w:r>
          </w:p>
        </w:tc>
        <w:tc>
          <w:tcPr>
            <w:tcW w:w="2421" w:type="dxa"/>
          </w:tcPr>
          <w:p w14:paraId="7BC0327A" w14:textId="77777777" w:rsidR="00F7725C" w:rsidRPr="00A13FC1" w:rsidRDefault="00F7725C" w:rsidP="00E72162">
            <w:pPr>
              <w:jc w:val="center"/>
              <w:rPr>
                <w:rFonts w:cstheme="minorHAnsi"/>
                <w:bCs/>
                <w:sz w:val="22"/>
                <w:szCs w:val="22"/>
              </w:rPr>
            </w:pPr>
            <w:r w:rsidRPr="00A13FC1">
              <w:rPr>
                <w:rFonts w:cstheme="minorHAnsi"/>
                <w:bCs/>
                <w:sz w:val="22"/>
                <w:szCs w:val="22"/>
              </w:rPr>
              <w:t>3</w:t>
            </w:r>
          </w:p>
        </w:tc>
      </w:tr>
      <w:tr w:rsidR="00F7725C" w:rsidRPr="00A13FC1" w14:paraId="058506B7" w14:textId="77777777" w:rsidTr="00E72162">
        <w:tblPrEx>
          <w:jc w:val="left"/>
        </w:tblPrEx>
        <w:tc>
          <w:tcPr>
            <w:tcW w:w="3595" w:type="dxa"/>
          </w:tcPr>
          <w:p w14:paraId="7877DF8E" w14:textId="77777777" w:rsidR="00F7725C" w:rsidRPr="00A13FC1" w:rsidRDefault="00F7725C" w:rsidP="00E72162">
            <w:pPr>
              <w:jc w:val="center"/>
              <w:rPr>
                <w:rFonts w:cstheme="minorHAnsi"/>
                <w:bCs/>
                <w:sz w:val="22"/>
                <w:szCs w:val="22"/>
              </w:rPr>
            </w:pPr>
            <w:r w:rsidRPr="00A13FC1">
              <w:rPr>
                <w:rFonts w:cstheme="minorHAnsi"/>
                <w:bCs/>
                <w:sz w:val="22"/>
                <w:szCs w:val="22"/>
              </w:rPr>
              <w:t>5</w:t>
            </w:r>
          </w:p>
        </w:tc>
        <w:tc>
          <w:tcPr>
            <w:tcW w:w="2421" w:type="dxa"/>
          </w:tcPr>
          <w:p w14:paraId="29C85581" w14:textId="77777777" w:rsidR="00F7725C" w:rsidRPr="00A13FC1" w:rsidRDefault="00F7725C" w:rsidP="00E72162">
            <w:pPr>
              <w:jc w:val="center"/>
              <w:rPr>
                <w:rFonts w:cstheme="minorHAnsi"/>
                <w:bCs/>
                <w:sz w:val="22"/>
                <w:szCs w:val="22"/>
              </w:rPr>
            </w:pPr>
            <w:r w:rsidRPr="00A13FC1">
              <w:rPr>
                <w:rFonts w:cstheme="minorHAnsi"/>
                <w:bCs/>
                <w:sz w:val="22"/>
                <w:szCs w:val="22"/>
              </w:rPr>
              <w:t>1</w:t>
            </w:r>
          </w:p>
        </w:tc>
      </w:tr>
    </w:tbl>
    <w:p w14:paraId="2613FF9C" w14:textId="77777777" w:rsidR="00A32A0E" w:rsidRDefault="00A32A0E" w:rsidP="00A32A0E">
      <w:pPr>
        <w:rPr>
          <w:rFonts w:cstheme="minorHAnsi"/>
          <w:bCs/>
          <w:sz w:val="22"/>
          <w:szCs w:val="22"/>
        </w:rPr>
      </w:pPr>
    </w:p>
    <w:p w14:paraId="4DA31327" w14:textId="77777777" w:rsidR="0096520E" w:rsidRPr="00A13FC1" w:rsidRDefault="0096520E" w:rsidP="0096520E">
      <w:pPr>
        <w:rPr>
          <w:rFonts w:cstheme="minorHAnsi"/>
          <w:bCs/>
          <w:sz w:val="22"/>
          <w:szCs w:val="22"/>
        </w:rPr>
      </w:pPr>
      <w:r w:rsidRPr="00A13FC1">
        <w:rPr>
          <w:rFonts w:cstheme="minorHAnsi"/>
          <w:bCs/>
          <w:sz w:val="22"/>
          <w:szCs w:val="22"/>
        </w:rPr>
        <w:t xml:space="preserve">Focus groups were conducted in person using a standard protocol at the 11 active CCBHCs </w:t>
      </w:r>
      <w:r w:rsidRPr="00A13FC1">
        <w:rPr>
          <w:rFonts w:cstheme="minorHAnsi"/>
          <w:sz w:val="22"/>
          <w:szCs w:val="22"/>
        </w:rPr>
        <w:t xml:space="preserve">between September </w:t>
      </w:r>
      <w:r w:rsidRPr="00A13FC1">
        <w:rPr>
          <w:rFonts w:cstheme="minorHAnsi"/>
          <w:bCs/>
          <w:sz w:val="22"/>
          <w:szCs w:val="22"/>
        </w:rPr>
        <w:t>1</w:t>
      </w:r>
      <w:r w:rsidRPr="00A13FC1">
        <w:rPr>
          <w:rFonts w:cstheme="minorHAnsi"/>
          <w:sz w:val="22"/>
          <w:szCs w:val="22"/>
        </w:rPr>
        <w:t xml:space="preserve"> and October 4, </w:t>
      </w:r>
      <w:r w:rsidRPr="00A13FC1">
        <w:rPr>
          <w:rFonts w:cstheme="minorHAnsi"/>
          <w:bCs/>
          <w:sz w:val="22"/>
          <w:szCs w:val="22"/>
        </w:rPr>
        <w:t>2022 and were recorded. All focus group attendees received a $25 Visa or Amazon gift card at the completion of the focus group; distribution was tracked by serial number and recipient initials to maintain anonymity. Focus group recordings were transcribed using Rev.com, followed by review by a</w:t>
      </w:r>
      <w:r>
        <w:rPr>
          <w:rFonts w:cstheme="minorHAnsi"/>
          <w:bCs/>
          <w:sz w:val="22"/>
          <w:szCs w:val="22"/>
        </w:rPr>
        <w:t>n</w:t>
      </w:r>
      <w:r w:rsidRPr="00A13FC1">
        <w:rPr>
          <w:rFonts w:cstheme="minorHAnsi"/>
          <w:bCs/>
          <w:sz w:val="22"/>
          <w:szCs w:val="22"/>
        </w:rPr>
        <w:t xml:space="preserve"> </w:t>
      </w:r>
      <w:r>
        <w:rPr>
          <w:rFonts w:cstheme="minorHAnsi"/>
          <w:bCs/>
          <w:sz w:val="22"/>
          <w:szCs w:val="22"/>
        </w:rPr>
        <w:t>evaluation</w:t>
      </w:r>
      <w:r w:rsidRPr="00A13FC1">
        <w:rPr>
          <w:rFonts w:cstheme="minorHAnsi"/>
          <w:bCs/>
          <w:sz w:val="22"/>
          <w:szCs w:val="22"/>
        </w:rPr>
        <w:t xml:space="preserve"> team member; all individual identifying information was removed to protect anonymity; and the de</w:t>
      </w:r>
      <w:r>
        <w:rPr>
          <w:rFonts w:cstheme="minorHAnsi"/>
          <w:bCs/>
          <w:sz w:val="22"/>
          <w:szCs w:val="22"/>
        </w:rPr>
        <w:t>-</w:t>
      </w:r>
      <w:r w:rsidRPr="00A13FC1">
        <w:rPr>
          <w:rFonts w:cstheme="minorHAnsi"/>
          <w:bCs/>
          <w:sz w:val="22"/>
          <w:szCs w:val="22"/>
        </w:rPr>
        <w:t>identified transcripts were coded for common themes.</w:t>
      </w:r>
    </w:p>
    <w:p w14:paraId="04228FDF" w14:textId="77777777" w:rsidR="0096520E" w:rsidRPr="00A13FC1" w:rsidRDefault="0096520E" w:rsidP="0096520E">
      <w:pPr>
        <w:rPr>
          <w:rFonts w:cstheme="minorHAnsi"/>
          <w:bCs/>
          <w:sz w:val="22"/>
          <w:szCs w:val="22"/>
        </w:rPr>
      </w:pPr>
    </w:p>
    <w:p w14:paraId="3CF6032D" w14:textId="77777777" w:rsidR="0096520E" w:rsidRPr="00A13FC1" w:rsidRDefault="0096520E" w:rsidP="0096520E">
      <w:pPr>
        <w:rPr>
          <w:rFonts w:cstheme="minorHAnsi"/>
          <w:bCs/>
          <w:sz w:val="22"/>
          <w:szCs w:val="22"/>
        </w:rPr>
      </w:pPr>
      <w:r w:rsidRPr="00A13FC1">
        <w:rPr>
          <w:rFonts w:cstheme="minorHAnsi"/>
          <w:bCs/>
          <w:sz w:val="22"/>
          <w:szCs w:val="22"/>
        </w:rPr>
        <w:t>Given the small number of service users who were able to attend the focus groups, a survey of service users was added to invite more input from this important group of respondents. The service users invited to the survey were those who had already been identified by the 11 clinics and for whom names and email contact information had already been provided. These individuals had previously been invited to a focus group but were unable to participate. Individuals who had already participated in a focus group were not invited to the survey. Seventy-four service users (previously identified by the clinics with emails) were invited to the survey and seven</w:t>
      </w:r>
      <w:r w:rsidRPr="00A13FC1">
        <w:rPr>
          <w:rFonts w:cstheme="minorHAnsi"/>
          <w:sz w:val="22"/>
          <w:szCs w:val="22"/>
        </w:rPr>
        <w:t xml:space="preserve"> </w:t>
      </w:r>
      <w:r w:rsidRPr="00A13FC1">
        <w:rPr>
          <w:rFonts w:cstheme="minorHAnsi"/>
          <w:bCs/>
          <w:sz w:val="22"/>
          <w:szCs w:val="22"/>
        </w:rPr>
        <w:t>responded (9.5%). These responses were added to the focus group responses for analysis.</w:t>
      </w:r>
    </w:p>
    <w:p w14:paraId="2D4479C2" w14:textId="77777777" w:rsidR="00A32A0E" w:rsidRPr="00A13FC1" w:rsidRDefault="00A32A0E" w:rsidP="00A32A0E">
      <w:pPr>
        <w:rPr>
          <w:rFonts w:cstheme="minorHAnsi"/>
          <w:bCs/>
          <w:sz w:val="22"/>
          <w:szCs w:val="22"/>
        </w:rPr>
      </w:pPr>
    </w:p>
    <w:p w14:paraId="36FFDF25"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Focus Groups with Community-Based Organizations (and Survey)</w:t>
      </w:r>
    </w:p>
    <w:p w14:paraId="673AB41C" w14:textId="77777777" w:rsidR="0096520E" w:rsidRPr="00A13FC1" w:rsidRDefault="0096520E" w:rsidP="0096520E">
      <w:pPr>
        <w:rPr>
          <w:rFonts w:cstheme="minorHAnsi"/>
          <w:bCs/>
          <w:sz w:val="22"/>
          <w:szCs w:val="22"/>
        </w:rPr>
      </w:pPr>
      <w:r w:rsidRPr="00A13FC1">
        <w:rPr>
          <w:rFonts w:cstheme="minorHAnsi"/>
          <w:bCs/>
          <w:sz w:val="22"/>
          <w:szCs w:val="22"/>
        </w:rPr>
        <w:t xml:space="preserve">Clinic leaders were asked to provide email contact information for community-based organizations that had some degree of familiarity with their clinic. The goal was to hold two virtual focus groups with approximately 5 to 8 representatives from community-based organizations at each conversation. The number of representatives identified by clinics ranged from 2 to 5. The </w:t>
      </w:r>
      <w:r>
        <w:rPr>
          <w:rFonts w:cstheme="minorHAnsi"/>
          <w:bCs/>
          <w:sz w:val="22"/>
          <w:szCs w:val="22"/>
        </w:rPr>
        <w:t>evaluation</w:t>
      </w:r>
      <w:r w:rsidRPr="00A13FC1">
        <w:rPr>
          <w:rFonts w:cstheme="minorHAnsi"/>
          <w:bCs/>
          <w:sz w:val="22"/>
          <w:szCs w:val="22"/>
        </w:rPr>
        <w:t xml:space="preserve"> team sent an email to 20 representatives from community-based organizations inviting them to participate in a virtual focus group. The email invitation explained the focus group, included the research information/consent sheet, and provided three dates in October as options. Ultimately, three representatives from community-based organizations attended a virtual focus group on October 18.  </w:t>
      </w:r>
    </w:p>
    <w:p w14:paraId="521C91A7" w14:textId="77777777" w:rsidR="0096520E" w:rsidRPr="00A13FC1" w:rsidRDefault="0096520E" w:rsidP="0096520E">
      <w:pPr>
        <w:rPr>
          <w:rFonts w:cstheme="minorHAnsi"/>
          <w:bCs/>
          <w:sz w:val="22"/>
          <w:szCs w:val="22"/>
        </w:rPr>
      </w:pPr>
    </w:p>
    <w:p w14:paraId="2D0C9AB2" w14:textId="77777777" w:rsidR="0096520E" w:rsidRPr="00A13FC1" w:rsidRDefault="0096520E" w:rsidP="0096520E">
      <w:pPr>
        <w:rPr>
          <w:rFonts w:cstheme="minorHAnsi"/>
          <w:bCs/>
          <w:sz w:val="22"/>
          <w:szCs w:val="22"/>
        </w:rPr>
      </w:pPr>
      <w:r w:rsidRPr="00A13FC1">
        <w:rPr>
          <w:rFonts w:cstheme="minorHAnsi"/>
          <w:bCs/>
          <w:sz w:val="22"/>
          <w:szCs w:val="22"/>
        </w:rPr>
        <w:t>A standard protocol was used to conduct the focus group, and it was recorded via Zoom with consent. The focus group recording was transcribed using Rev.com, followed by review by a</w:t>
      </w:r>
      <w:r>
        <w:rPr>
          <w:rFonts w:cstheme="minorHAnsi"/>
          <w:bCs/>
          <w:sz w:val="22"/>
          <w:szCs w:val="22"/>
        </w:rPr>
        <w:t>n</w:t>
      </w:r>
      <w:r w:rsidRPr="00A13FC1">
        <w:rPr>
          <w:rFonts w:cstheme="minorHAnsi"/>
          <w:bCs/>
          <w:sz w:val="22"/>
          <w:szCs w:val="22"/>
        </w:rPr>
        <w:t xml:space="preserve"> </w:t>
      </w:r>
      <w:r>
        <w:rPr>
          <w:rFonts w:cstheme="minorHAnsi"/>
          <w:bCs/>
          <w:sz w:val="22"/>
          <w:szCs w:val="22"/>
        </w:rPr>
        <w:t>evaluation</w:t>
      </w:r>
      <w:r w:rsidRPr="00A13FC1">
        <w:rPr>
          <w:rFonts w:cstheme="minorHAnsi"/>
          <w:bCs/>
          <w:sz w:val="22"/>
          <w:szCs w:val="22"/>
        </w:rPr>
        <w:t xml:space="preserve"> team member. All individual identifying information was removed to protect anonymity, and the de</w:t>
      </w:r>
      <w:r>
        <w:rPr>
          <w:rFonts w:cstheme="minorHAnsi"/>
          <w:bCs/>
          <w:sz w:val="22"/>
          <w:szCs w:val="22"/>
        </w:rPr>
        <w:t>-</w:t>
      </w:r>
      <w:r w:rsidRPr="00A13FC1">
        <w:rPr>
          <w:rFonts w:cstheme="minorHAnsi"/>
          <w:bCs/>
          <w:sz w:val="22"/>
          <w:szCs w:val="22"/>
        </w:rPr>
        <w:t>identified transcript was coded for common themes.</w:t>
      </w:r>
    </w:p>
    <w:p w14:paraId="57976F23" w14:textId="77777777" w:rsidR="0096520E" w:rsidRPr="00A13FC1" w:rsidRDefault="0096520E" w:rsidP="0096520E">
      <w:pPr>
        <w:rPr>
          <w:rFonts w:cstheme="minorHAnsi"/>
          <w:bCs/>
          <w:sz w:val="22"/>
          <w:szCs w:val="22"/>
        </w:rPr>
      </w:pPr>
    </w:p>
    <w:p w14:paraId="678F6EB3" w14:textId="77777777" w:rsidR="0096520E" w:rsidRPr="00A13FC1" w:rsidRDefault="0096520E" w:rsidP="0096520E">
      <w:pPr>
        <w:rPr>
          <w:rFonts w:cstheme="minorHAnsi"/>
          <w:bCs/>
          <w:sz w:val="22"/>
          <w:szCs w:val="22"/>
        </w:rPr>
      </w:pPr>
      <w:r w:rsidRPr="00A13FC1">
        <w:rPr>
          <w:rFonts w:cstheme="minorHAnsi"/>
          <w:bCs/>
          <w:sz w:val="22"/>
          <w:szCs w:val="22"/>
        </w:rPr>
        <w:t xml:space="preserve">A </w:t>
      </w:r>
      <w:r>
        <w:rPr>
          <w:rFonts w:cstheme="minorHAnsi"/>
          <w:bCs/>
          <w:sz w:val="22"/>
          <w:szCs w:val="22"/>
        </w:rPr>
        <w:t xml:space="preserve">secondary </w:t>
      </w:r>
      <w:r w:rsidRPr="00A13FC1">
        <w:rPr>
          <w:rFonts w:cstheme="minorHAnsi"/>
          <w:bCs/>
          <w:sz w:val="22"/>
          <w:szCs w:val="22"/>
        </w:rPr>
        <w:t xml:space="preserve">survey was created to provide an additional opportunity for community-based organizations to give their input. The survey was intended to solicit information from community-based organizations who were unable to attend the focus group, as well as community-based organizations that may have important insights into community needs but are not necessarily familiar with their local CCBHCs. The </w:t>
      </w:r>
      <w:r>
        <w:rPr>
          <w:rFonts w:cstheme="minorHAnsi"/>
          <w:bCs/>
          <w:sz w:val="22"/>
          <w:szCs w:val="22"/>
        </w:rPr>
        <w:t>evaluation</w:t>
      </w:r>
      <w:r w:rsidRPr="00A13FC1">
        <w:rPr>
          <w:rFonts w:cstheme="minorHAnsi"/>
          <w:bCs/>
          <w:sz w:val="22"/>
          <w:szCs w:val="22"/>
        </w:rPr>
        <w:t xml:space="preserve"> team used several strategies to identify community-based organizations in the latter group. They reached out to OHA contacts in the Office of Equity and Inclusion, the Transformation Center, and the Oregon Public Health Division to access lists of community-based organizations.  In some cases, lists were provided that included email contact information; in other cases, the </w:t>
      </w:r>
      <w:r>
        <w:rPr>
          <w:rFonts w:cstheme="minorHAnsi"/>
          <w:bCs/>
          <w:sz w:val="22"/>
          <w:szCs w:val="22"/>
        </w:rPr>
        <w:t>evaluation</w:t>
      </w:r>
      <w:r w:rsidRPr="00A13FC1">
        <w:rPr>
          <w:rFonts w:cstheme="minorHAnsi"/>
          <w:bCs/>
          <w:sz w:val="22"/>
          <w:szCs w:val="22"/>
        </w:rPr>
        <w:t xml:space="preserve"> team needed to identify contact information. The team also conducted research </w:t>
      </w:r>
      <w:r>
        <w:rPr>
          <w:rFonts w:cstheme="minorHAnsi"/>
          <w:bCs/>
          <w:sz w:val="22"/>
          <w:szCs w:val="22"/>
        </w:rPr>
        <w:t>about</w:t>
      </w:r>
      <w:r w:rsidRPr="00A13FC1">
        <w:rPr>
          <w:rFonts w:cstheme="minorHAnsi"/>
          <w:bCs/>
          <w:sz w:val="22"/>
          <w:szCs w:val="22"/>
        </w:rPr>
        <w:t xml:space="preserve"> each community and identified organizations and contact information from organization websites. These methods produced 50 additional potential representatives from community-based organizations that might have relevant insights regarding CCBHCs. Organizations identified included school districts, law enforcement, health care organizations, social service organizations, shelters, substance use and recovery organizations, and advocacy groups.</w:t>
      </w:r>
    </w:p>
    <w:p w14:paraId="0496B2D4" w14:textId="77777777" w:rsidR="0096520E" w:rsidRPr="00A13FC1" w:rsidRDefault="0096520E" w:rsidP="0096520E">
      <w:pPr>
        <w:rPr>
          <w:rFonts w:cstheme="minorHAnsi"/>
          <w:bCs/>
          <w:sz w:val="22"/>
          <w:szCs w:val="22"/>
        </w:rPr>
      </w:pPr>
    </w:p>
    <w:p w14:paraId="245734C7" w14:textId="77777777" w:rsidR="0096520E" w:rsidRPr="008631A8" w:rsidRDefault="0096520E" w:rsidP="0096520E">
      <w:pPr>
        <w:rPr>
          <w:rFonts w:cstheme="minorHAnsi"/>
          <w:bCs/>
          <w:sz w:val="22"/>
          <w:szCs w:val="22"/>
        </w:rPr>
      </w:pPr>
      <w:r w:rsidRPr="00A13FC1">
        <w:rPr>
          <w:rFonts w:cstheme="minorHAnsi"/>
          <w:bCs/>
          <w:sz w:val="22"/>
          <w:szCs w:val="22"/>
        </w:rPr>
        <w:t xml:space="preserve">Community-based organizations invited to fill out the survey included the 50 representatives identified by the </w:t>
      </w:r>
      <w:r>
        <w:rPr>
          <w:rFonts w:cstheme="minorHAnsi"/>
          <w:bCs/>
          <w:sz w:val="22"/>
          <w:szCs w:val="22"/>
        </w:rPr>
        <w:t>evaluation</w:t>
      </w:r>
      <w:r w:rsidRPr="00A13FC1">
        <w:rPr>
          <w:rFonts w:cstheme="minorHAnsi"/>
          <w:bCs/>
          <w:sz w:val="22"/>
          <w:szCs w:val="22"/>
        </w:rPr>
        <w:t xml:space="preserve"> team and by the 12 clinics and for whom names and email contact information had been provided. Individuals who had previously been invited to the focus group, but were unable to participate, were invited to participate in the Qualtrics survey. Individuals who participated in a focus group were not invited to the survey. Eighty-nine community-based organizations were invited to the survey</w:t>
      </w:r>
      <w:r>
        <w:rPr>
          <w:rFonts w:cstheme="minorHAnsi"/>
          <w:bCs/>
          <w:sz w:val="22"/>
          <w:szCs w:val="22"/>
        </w:rPr>
        <w:t>; unfortunately, only</w:t>
      </w:r>
      <w:r w:rsidRPr="00A13FC1">
        <w:rPr>
          <w:rFonts w:cstheme="minorHAnsi"/>
          <w:bCs/>
          <w:sz w:val="22"/>
          <w:szCs w:val="22"/>
        </w:rPr>
        <w:t xml:space="preserve"> </w:t>
      </w:r>
      <w:r>
        <w:rPr>
          <w:rFonts w:cstheme="minorHAnsi"/>
          <w:bCs/>
          <w:sz w:val="22"/>
          <w:szCs w:val="22"/>
        </w:rPr>
        <w:t>15</w:t>
      </w:r>
      <w:r w:rsidRPr="00A13FC1">
        <w:rPr>
          <w:rFonts w:cstheme="minorHAnsi"/>
          <w:bCs/>
          <w:sz w:val="22"/>
          <w:szCs w:val="22"/>
        </w:rPr>
        <w:t xml:space="preserve"> respon</w:t>
      </w:r>
      <w:r>
        <w:rPr>
          <w:rFonts w:cstheme="minorHAnsi"/>
          <w:bCs/>
          <w:sz w:val="22"/>
          <w:szCs w:val="22"/>
        </w:rPr>
        <w:t xml:space="preserve">ses were received and only four were complete responses; this was a disappointing result given the level of effort required to develop this unique list of community-based organizations, but not completely surprising since the organizations had little or no connection with the CCBHCs or the evaluation team. </w:t>
      </w:r>
    </w:p>
    <w:p w14:paraId="534F68A2" w14:textId="77777777" w:rsidR="00A32A0E" w:rsidRPr="008631A8" w:rsidRDefault="00A32A0E" w:rsidP="00A32A0E">
      <w:pPr>
        <w:rPr>
          <w:rFonts w:cstheme="minorHAnsi"/>
          <w:bCs/>
          <w:i/>
          <w:iCs/>
          <w:sz w:val="22"/>
          <w:szCs w:val="22"/>
        </w:rPr>
      </w:pPr>
    </w:p>
    <w:p w14:paraId="286DF62E"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 xml:space="preserve">Interviews with Key Interested Parties </w:t>
      </w:r>
    </w:p>
    <w:p w14:paraId="6A333609" w14:textId="792929F5" w:rsidR="0096520E" w:rsidRPr="008631A8" w:rsidRDefault="0096520E" w:rsidP="0096520E">
      <w:pPr>
        <w:rPr>
          <w:rFonts w:cstheme="minorHAnsi"/>
          <w:bCs/>
          <w:sz w:val="22"/>
          <w:szCs w:val="22"/>
        </w:rPr>
      </w:pPr>
      <w:r w:rsidRPr="008631A8">
        <w:rPr>
          <w:rFonts w:cstheme="minorHAnsi"/>
          <w:sz w:val="22"/>
          <w:szCs w:val="22"/>
          <w:lang w:bidi="th-TH"/>
        </w:rPr>
        <w:t xml:space="preserve">The </w:t>
      </w:r>
      <w:r>
        <w:rPr>
          <w:rFonts w:cstheme="minorHAnsi"/>
          <w:bCs/>
          <w:sz w:val="22"/>
          <w:szCs w:val="22"/>
        </w:rPr>
        <w:t>evaluation</w:t>
      </w:r>
      <w:r w:rsidRPr="008631A8">
        <w:rPr>
          <w:rFonts w:cstheme="minorHAnsi"/>
          <w:sz w:val="22"/>
          <w:szCs w:val="22"/>
          <w:lang w:bidi="th-TH"/>
        </w:rPr>
        <w:t xml:space="preserve"> team identified a number of interested parties and/or key organizations with whom to conduct individual interviews. This list was developed based upon insights from the interviews with clinic leaders, conversations with the OHA liaison team, and other observations throughout the initial data collection phase. The list was discussed with the OHA liaison team and then the </w:t>
      </w:r>
      <w:r>
        <w:rPr>
          <w:rFonts w:cstheme="minorHAnsi"/>
          <w:bCs/>
          <w:sz w:val="22"/>
          <w:szCs w:val="22"/>
        </w:rPr>
        <w:t>evaluation</w:t>
      </w:r>
      <w:r w:rsidRPr="008631A8">
        <w:rPr>
          <w:rFonts w:cstheme="minorHAnsi"/>
          <w:sz w:val="22"/>
          <w:szCs w:val="22"/>
          <w:lang w:bidi="th-TH"/>
        </w:rPr>
        <w:t xml:space="preserve"> team contacted the individuals or organizations. </w:t>
      </w:r>
      <w:r w:rsidRPr="008631A8">
        <w:rPr>
          <w:rFonts w:cstheme="minorHAnsi"/>
          <w:bCs/>
          <w:sz w:val="22"/>
          <w:szCs w:val="22"/>
        </w:rPr>
        <w:t xml:space="preserve">Interviews were conducted virtually using a standard protocol with consent, and were recorded using Zoom. </w:t>
      </w:r>
      <w:r>
        <w:rPr>
          <w:rFonts w:cstheme="minorHAnsi"/>
          <w:bCs/>
          <w:sz w:val="22"/>
          <w:szCs w:val="22"/>
        </w:rPr>
        <w:t>Fifteen</w:t>
      </w:r>
      <w:r w:rsidRPr="008631A8">
        <w:rPr>
          <w:rFonts w:cstheme="minorHAnsi"/>
          <w:bCs/>
          <w:sz w:val="22"/>
          <w:szCs w:val="22"/>
        </w:rPr>
        <w:t xml:space="preserve"> interviews were completed in October</w:t>
      </w:r>
      <w:r>
        <w:rPr>
          <w:rFonts w:cstheme="minorHAnsi"/>
          <w:bCs/>
          <w:sz w:val="22"/>
          <w:szCs w:val="22"/>
        </w:rPr>
        <w:t xml:space="preserve"> and November, 2022</w:t>
      </w:r>
      <w:r w:rsidRPr="008631A8">
        <w:rPr>
          <w:rFonts w:cstheme="minorHAnsi"/>
          <w:bCs/>
          <w:sz w:val="22"/>
          <w:szCs w:val="22"/>
        </w:rPr>
        <w:t xml:space="preserve">; see </w:t>
      </w:r>
      <w:r w:rsidRPr="00A35AAA">
        <w:rPr>
          <w:rFonts w:cstheme="minorHAnsi"/>
          <w:bCs/>
          <w:color w:val="6A7F0F"/>
          <w:sz w:val="22"/>
          <w:szCs w:val="22"/>
        </w:rPr>
        <w:t>Table A3</w:t>
      </w:r>
      <w:r w:rsidR="00C5217E">
        <w:rPr>
          <w:rFonts w:cstheme="minorHAnsi"/>
          <w:bCs/>
          <w:color w:val="6A7F0F"/>
          <w:sz w:val="22"/>
          <w:szCs w:val="22"/>
        </w:rPr>
        <w:t>.</w:t>
      </w:r>
      <w:r w:rsidRPr="00A35AAA">
        <w:rPr>
          <w:rFonts w:cstheme="minorHAnsi"/>
          <w:bCs/>
          <w:color w:val="6A7F0F"/>
          <w:sz w:val="22"/>
          <w:szCs w:val="22"/>
        </w:rPr>
        <w:t xml:space="preserve">3 </w:t>
      </w:r>
      <w:r w:rsidRPr="008631A8">
        <w:rPr>
          <w:rFonts w:cstheme="minorHAnsi"/>
          <w:bCs/>
          <w:sz w:val="22"/>
          <w:szCs w:val="22"/>
        </w:rPr>
        <w:t xml:space="preserve">for a summary (to maintain anonymity of interviewees). Most interviews were with a single person; in </w:t>
      </w:r>
      <w:r>
        <w:rPr>
          <w:rFonts w:cstheme="minorHAnsi"/>
          <w:bCs/>
          <w:sz w:val="22"/>
          <w:szCs w:val="22"/>
        </w:rPr>
        <w:t>one</w:t>
      </w:r>
      <w:r w:rsidRPr="008631A8">
        <w:rPr>
          <w:rFonts w:cstheme="minorHAnsi"/>
          <w:bCs/>
          <w:sz w:val="22"/>
          <w:szCs w:val="22"/>
        </w:rPr>
        <w:t xml:space="preserve"> case, the lead person suggested they be joined by additional individuals. </w:t>
      </w:r>
      <w:r>
        <w:rPr>
          <w:rFonts w:cstheme="minorHAnsi"/>
          <w:bCs/>
          <w:sz w:val="22"/>
          <w:szCs w:val="22"/>
        </w:rPr>
        <w:t>A</w:t>
      </w:r>
      <w:r w:rsidRPr="008631A8">
        <w:rPr>
          <w:rFonts w:cstheme="minorHAnsi"/>
          <w:bCs/>
          <w:sz w:val="22"/>
          <w:szCs w:val="22"/>
        </w:rPr>
        <w:t xml:space="preserve"> group conversation was conducted with the CCO Oregon Behavioral Health workgroup; 1</w:t>
      </w:r>
      <w:r>
        <w:rPr>
          <w:rFonts w:cstheme="minorHAnsi"/>
          <w:bCs/>
          <w:sz w:val="22"/>
          <w:szCs w:val="22"/>
        </w:rPr>
        <w:t>1</w:t>
      </w:r>
      <w:r w:rsidRPr="008631A8">
        <w:rPr>
          <w:rFonts w:cstheme="minorHAnsi"/>
          <w:bCs/>
          <w:sz w:val="22"/>
          <w:szCs w:val="22"/>
        </w:rPr>
        <w:t xml:space="preserve"> people attended that conversation.</w:t>
      </w:r>
      <w:r>
        <w:rPr>
          <w:rFonts w:cstheme="minorHAnsi"/>
          <w:bCs/>
          <w:sz w:val="22"/>
          <w:szCs w:val="22"/>
        </w:rPr>
        <w:t xml:space="preserve"> As a result, two of the interviews with behavioral </w:t>
      </w:r>
      <w:r w:rsidRPr="005D5939">
        <w:rPr>
          <w:rFonts w:cstheme="minorHAnsi"/>
          <w:bCs/>
          <w:sz w:val="22"/>
          <w:szCs w:val="22"/>
        </w:rPr>
        <w:t>health provider organization</w:t>
      </w:r>
      <w:r>
        <w:rPr>
          <w:rFonts w:cstheme="minorHAnsi"/>
          <w:bCs/>
          <w:sz w:val="22"/>
          <w:szCs w:val="22"/>
        </w:rPr>
        <w:t xml:space="preserve"> representatives consisted of groups (4 and 11 participants, respectively).</w:t>
      </w:r>
    </w:p>
    <w:p w14:paraId="537C612A" w14:textId="77777777" w:rsidR="00A32A0E" w:rsidRDefault="00A32A0E" w:rsidP="00A32A0E">
      <w:pPr>
        <w:rPr>
          <w:rFonts w:cstheme="minorHAnsi"/>
          <w:bCs/>
          <w:sz w:val="22"/>
          <w:szCs w:val="22"/>
        </w:rPr>
      </w:pPr>
    </w:p>
    <w:p w14:paraId="65A8738E" w14:textId="34AE5BCD" w:rsidR="00A32A0E" w:rsidRPr="00000D4B" w:rsidRDefault="00A32A0E" w:rsidP="00A32A0E">
      <w:pPr>
        <w:jc w:val="center"/>
        <w:rPr>
          <w:rFonts w:cstheme="minorHAnsi"/>
          <w:b/>
          <w:color w:val="6A7F0F"/>
          <w:sz w:val="22"/>
          <w:szCs w:val="22"/>
        </w:rPr>
      </w:pPr>
      <w:bookmarkStart w:id="67" w:name="Appendix3_Table_A33"/>
      <w:r w:rsidRPr="00000D4B">
        <w:rPr>
          <w:rFonts w:cstheme="minorHAnsi"/>
          <w:b/>
          <w:color w:val="6A7F0F"/>
          <w:sz w:val="22"/>
          <w:szCs w:val="22"/>
        </w:rPr>
        <w:t>Table A3</w:t>
      </w:r>
      <w:r w:rsidR="00C5217E" w:rsidRPr="00000D4B">
        <w:rPr>
          <w:rFonts w:cstheme="minorHAnsi"/>
          <w:b/>
          <w:color w:val="6A7F0F"/>
          <w:sz w:val="22"/>
          <w:szCs w:val="22"/>
        </w:rPr>
        <w:t>.</w:t>
      </w:r>
      <w:r w:rsidRPr="00000D4B">
        <w:rPr>
          <w:rFonts w:cstheme="minorHAnsi"/>
          <w:b/>
          <w:color w:val="6A7F0F"/>
          <w:sz w:val="22"/>
          <w:szCs w:val="22"/>
        </w:rPr>
        <w:t xml:space="preserve">3: Interviews with </w:t>
      </w:r>
      <w:r w:rsidR="00C5217E" w:rsidRPr="00000D4B">
        <w:rPr>
          <w:rFonts w:cstheme="minorHAnsi"/>
          <w:b/>
          <w:color w:val="6A7F0F"/>
          <w:sz w:val="22"/>
          <w:szCs w:val="22"/>
        </w:rPr>
        <w:t xml:space="preserve">Key </w:t>
      </w:r>
      <w:r w:rsidRPr="00000D4B">
        <w:rPr>
          <w:rFonts w:cstheme="minorHAnsi"/>
          <w:b/>
          <w:color w:val="6A7F0F"/>
          <w:sz w:val="22"/>
          <w:szCs w:val="22"/>
        </w:rPr>
        <w:t>Interested Parties</w:t>
      </w:r>
    </w:p>
    <w:bookmarkEnd w:id="67"/>
    <w:p w14:paraId="0A65ECA0" w14:textId="77777777" w:rsidR="00A32A0E" w:rsidRPr="005D5939" w:rsidRDefault="00A32A0E" w:rsidP="00A32A0E">
      <w:pPr>
        <w:rPr>
          <w:rFonts w:cstheme="minorHAnsi"/>
          <w:bCs/>
          <w:sz w:val="22"/>
          <w:szCs w:val="22"/>
        </w:rPr>
      </w:pPr>
    </w:p>
    <w:tbl>
      <w:tblPr>
        <w:tblStyle w:val="TableGrid"/>
        <w:tblW w:w="0" w:type="auto"/>
        <w:jc w:val="center"/>
        <w:tblLook w:val="04A0" w:firstRow="1" w:lastRow="0" w:firstColumn="1" w:lastColumn="0" w:noHBand="0" w:noVBand="1"/>
      </w:tblPr>
      <w:tblGrid>
        <w:gridCol w:w="3600"/>
        <w:gridCol w:w="2160"/>
      </w:tblGrid>
      <w:tr w:rsidR="00F7725C" w14:paraId="5FB042BD" w14:textId="77777777" w:rsidTr="00E72162">
        <w:trPr>
          <w:jc w:val="center"/>
        </w:trPr>
        <w:tc>
          <w:tcPr>
            <w:tcW w:w="3600" w:type="dxa"/>
            <w:shd w:val="clear" w:color="auto" w:fill="E7E6E6" w:themeFill="background2"/>
          </w:tcPr>
          <w:p w14:paraId="7F2B2909" w14:textId="77777777" w:rsidR="00F7725C" w:rsidRPr="005D5939" w:rsidRDefault="00F7725C" w:rsidP="00E72162">
            <w:pPr>
              <w:jc w:val="center"/>
              <w:rPr>
                <w:rFonts w:cstheme="minorHAnsi"/>
                <w:b/>
                <w:bCs/>
                <w:sz w:val="22"/>
                <w:szCs w:val="22"/>
              </w:rPr>
            </w:pPr>
            <w:r w:rsidRPr="005D5939">
              <w:rPr>
                <w:rFonts w:cstheme="minorHAnsi"/>
                <w:b/>
                <w:sz w:val="22"/>
                <w:szCs w:val="22"/>
              </w:rPr>
              <w:t>Interviewees</w:t>
            </w:r>
          </w:p>
        </w:tc>
        <w:tc>
          <w:tcPr>
            <w:tcW w:w="2160" w:type="dxa"/>
            <w:shd w:val="clear" w:color="auto" w:fill="E7E6E6" w:themeFill="background2"/>
          </w:tcPr>
          <w:p w14:paraId="35D24BBC" w14:textId="77777777" w:rsidR="00F7725C" w:rsidRPr="005D5939" w:rsidRDefault="00F7725C" w:rsidP="00E72162">
            <w:pPr>
              <w:jc w:val="center"/>
              <w:rPr>
                <w:rFonts w:cstheme="minorHAnsi"/>
                <w:b/>
                <w:bCs/>
                <w:sz w:val="22"/>
                <w:szCs w:val="22"/>
              </w:rPr>
            </w:pPr>
            <w:r w:rsidRPr="005D5939">
              <w:rPr>
                <w:rFonts w:cstheme="minorHAnsi"/>
                <w:b/>
                <w:sz w:val="22"/>
                <w:szCs w:val="22"/>
              </w:rPr>
              <w:t>Number Interviewed</w:t>
            </w:r>
          </w:p>
        </w:tc>
      </w:tr>
      <w:tr w:rsidR="00F7725C" w:rsidRPr="005D5939" w14:paraId="20F0E6CC" w14:textId="77777777" w:rsidTr="00E72162">
        <w:trPr>
          <w:jc w:val="center"/>
        </w:trPr>
        <w:tc>
          <w:tcPr>
            <w:tcW w:w="3600" w:type="dxa"/>
          </w:tcPr>
          <w:p w14:paraId="07FD2587" w14:textId="77777777" w:rsidR="00F7725C" w:rsidRPr="005D5939" w:rsidRDefault="00F7725C" w:rsidP="00E72162">
            <w:pPr>
              <w:rPr>
                <w:rFonts w:cstheme="minorHAnsi"/>
                <w:bCs/>
                <w:sz w:val="22"/>
                <w:szCs w:val="22"/>
              </w:rPr>
            </w:pPr>
            <w:r w:rsidRPr="005D5939">
              <w:rPr>
                <w:rFonts w:cstheme="minorHAnsi"/>
                <w:bCs/>
                <w:sz w:val="22"/>
                <w:szCs w:val="22"/>
              </w:rPr>
              <w:t>OHA staff</w:t>
            </w:r>
          </w:p>
        </w:tc>
        <w:tc>
          <w:tcPr>
            <w:tcW w:w="2160" w:type="dxa"/>
          </w:tcPr>
          <w:p w14:paraId="15956FDB" w14:textId="77777777" w:rsidR="00F7725C" w:rsidRPr="005D5939" w:rsidRDefault="00F7725C" w:rsidP="00E72162">
            <w:pPr>
              <w:jc w:val="center"/>
              <w:rPr>
                <w:rFonts w:cstheme="minorHAnsi"/>
                <w:bCs/>
                <w:sz w:val="22"/>
                <w:szCs w:val="22"/>
              </w:rPr>
            </w:pPr>
            <w:r>
              <w:rPr>
                <w:rFonts w:cstheme="minorHAnsi"/>
                <w:bCs/>
                <w:sz w:val="22"/>
                <w:szCs w:val="22"/>
              </w:rPr>
              <w:t>4</w:t>
            </w:r>
            <w:r w:rsidRPr="005D5939">
              <w:rPr>
                <w:rFonts w:cstheme="minorHAnsi"/>
                <w:bCs/>
                <w:sz w:val="22"/>
                <w:szCs w:val="22"/>
              </w:rPr>
              <w:t xml:space="preserve"> </w:t>
            </w:r>
          </w:p>
        </w:tc>
      </w:tr>
      <w:tr w:rsidR="00F7725C" w:rsidRPr="005D5939" w14:paraId="28CD33B9" w14:textId="77777777" w:rsidTr="00E72162">
        <w:trPr>
          <w:jc w:val="center"/>
        </w:trPr>
        <w:tc>
          <w:tcPr>
            <w:tcW w:w="3600" w:type="dxa"/>
          </w:tcPr>
          <w:p w14:paraId="54D2E977" w14:textId="77777777" w:rsidR="00F7725C" w:rsidRPr="005D5939" w:rsidRDefault="00F7725C" w:rsidP="00E72162">
            <w:pPr>
              <w:rPr>
                <w:rFonts w:cstheme="minorHAnsi"/>
                <w:bCs/>
                <w:sz w:val="22"/>
                <w:szCs w:val="22"/>
              </w:rPr>
            </w:pPr>
            <w:r w:rsidRPr="005D5939">
              <w:rPr>
                <w:rFonts w:cstheme="minorHAnsi"/>
                <w:bCs/>
                <w:sz w:val="22"/>
                <w:szCs w:val="22"/>
              </w:rPr>
              <w:t>Elected officials</w:t>
            </w:r>
          </w:p>
        </w:tc>
        <w:tc>
          <w:tcPr>
            <w:tcW w:w="2160" w:type="dxa"/>
          </w:tcPr>
          <w:p w14:paraId="3A534D67" w14:textId="77777777" w:rsidR="00F7725C" w:rsidRPr="005D5939" w:rsidRDefault="00F7725C" w:rsidP="00E72162">
            <w:pPr>
              <w:jc w:val="center"/>
              <w:rPr>
                <w:rFonts w:cstheme="minorHAnsi"/>
                <w:bCs/>
                <w:sz w:val="22"/>
                <w:szCs w:val="22"/>
              </w:rPr>
            </w:pPr>
            <w:r w:rsidRPr="005D5939">
              <w:rPr>
                <w:rFonts w:cstheme="minorHAnsi"/>
                <w:bCs/>
                <w:sz w:val="22"/>
                <w:szCs w:val="22"/>
              </w:rPr>
              <w:t xml:space="preserve">2 </w:t>
            </w:r>
          </w:p>
        </w:tc>
      </w:tr>
      <w:tr w:rsidR="00F7725C" w:rsidRPr="005D5939" w14:paraId="32844F8E" w14:textId="77777777" w:rsidTr="00E72162">
        <w:trPr>
          <w:jc w:val="center"/>
        </w:trPr>
        <w:tc>
          <w:tcPr>
            <w:tcW w:w="3600" w:type="dxa"/>
          </w:tcPr>
          <w:p w14:paraId="634608BC" w14:textId="77777777" w:rsidR="00F7725C" w:rsidRPr="005D5939" w:rsidRDefault="00F7725C" w:rsidP="00E72162">
            <w:pPr>
              <w:rPr>
                <w:rFonts w:cstheme="minorHAnsi"/>
                <w:bCs/>
                <w:sz w:val="22"/>
                <w:szCs w:val="22"/>
              </w:rPr>
            </w:pPr>
            <w:r w:rsidRPr="005D5939">
              <w:rPr>
                <w:rFonts w:cstheme="minorHAnsi"/>
                <w:bCs/>
                <w:sz w:val="22"/>
                <w:szCs w:val="22"/>
              </w:rPr>
              <w:t>Behavioral health provider organizations</w:t>
            </w:r>
          </w:p>
        </w:tc>
        <w:tc>
          <w:tcPr>
            <w:tcW w:w="2160" w:type="dxa"/>
          </w:tcPr>
          <w:p w14:paraId="10CA0DE9" w14:textId="77777777" w:rsidR="00F7725C" w:rsidRPr="005D5939" w:rsidRDefault="00F7725C" w:rsidP="00E72162">
            <w:pPr>
              <w:jc w:val="center"/>
              <w:rPr>
                <w:rFonts w:cstheme="minorHAnsi"/>
                <w:bCs/>
                <w:sz w:val="22"/>
                <w:szCs w:val="22"/>
              </w:rPr>
            </w:pPr>
            <w:r w:rsidRPr="005D5939">
              <w:rPr>
                <w:rFonts w:cstheme="minorHAnsi"/>
                <w:bCs/>
                <w:sz w:val="22"/>
                <w:szCs w:val="22"/>
              </w:rPr>
              <w:t>1</w:t>
            </w:r>
            <w:r>
              <w:rPr>
                <w:rFonts w:cstheme="minorHAnsi"/>
                <w:bCs/>
                <w:sz w:val="22"/>
                <w:szCs w:val="22"/>
              </w:rPr>
              <w:t>5</w:t>
            </w:r>
            <w:r w:rsidRPr="005D5939">
              <w:rPr>
                <w:rFonts w:cstheme="minorHAnsi"/>
                <w:bCs/>
                <w:sz w:val="22"/>
                <w:szCs w:val="22"/>
              </w:rPr>
              <w:t xml:space="preserve"> </w:t>
            </w:r>
          </w:p>
        </w:tc>
      </w:tr>
      <w:tr w:rsidR="00F7725C" w:rsidRPr="005D5939" w14:paraId="2C4482BA" w14:textId="77777777" w:rsidTr="00E72162">
        <w:trPr>
          <w:jc w:val="center"/>
        </w:trPr>
        <w:tc>
          <w:tcPr>
            <w:tcW w:w="3600" w:type="dxa"/>
          </w:tcPr>
          <w:p w14:paraId="18ECBF00" w14:textId="77777777" w:rsidR="00F7725C" w:rsidRPr="005D5939" w:rsidRDefault="00F7725C" w:rsidP="00E72162">
            <w:pPr>
              <w:rPr>
                <w:rFonts w:cstheme="minorHAnsi"/>
                <w:bCs/>
                <w:sz w:val="22"/>
                <w:szCs w:val="22"/>
              </w:rPr>
            </w:pPr>
            <w:r w:rsidRPr="005D5939">
              <w:rPr>
                <w:rFonts w:cstheme="minorHAnsi"/>
                <w:bCs/>
                <w:sz w:val="22"/>
                <w:szCs w:val="22"/>
              </w:rPr>
              <w:t>Advocacy organizations</w:t>
            </w:r>
          </w:p>
        </w:tc>
        <w:tc>
          <w:tcPr>
            <w:tcW w:w="2160" w:type="dxa"/>
          </w:tcPr>
          <w:p w14:paraId="4D681042" w14:textId="77777777" w:rsidR="00F7725C" w:rsidRPr="005D5939" w:rsidRDefault="00F7725C" w:rsidP="00E72162">
            <w:pPr>
              <w:jc w:val="center"/>
              <w:rPr>
                <w:rFonts w:cstheme="minorHAnsi"/>
                <w:bCs/>
                <w:sz w:val="22"/>
                <w:szCs w:val="22"/>
              </w:rPr>
            </w:pPr>
            <w:r>
              <w:rPr>
                <w:rFonts w:cstheme="minorHAnsi"/>
                <w:bCs/>
                <w:sz w:val="22"/>
                <w:szCs w:val="22"/>
              </w:rPr>
              <w:t>4</w:t>
            </w:r>
            <w:r w:rsidRPr="005D5939">
              <w:rPr>
                <w:rFonts w:cstheme="minorHAnsi"/>
                <w:bCs/>
                <w:sz w:val="22"/>
                <w:szCs w:val="22"/>
              </w:rPr>
              <w:t xml:space="preserve"> </w:t>
            </w:r>
          </w:p>
        </w:tc>
      </w:tr>
      <w:tr w:rsidR="00F7725C" w:rsidRPr="005D5939" w14:paraId="0973EAAD" w14:textId="77777777" w:rsidTr="00E72162">
        <w:trPr>
          <w:jc w:val="center"/>
        </w:trPr>
        <w:tc>
          <w:tcPr>
            <w:tcW w:w="3600" w:type="dxa"/>
          </w:tcPr>
          <w:p w14:paraId="5B57EFBD" w14:textId="77777777" w:rsidR="00F7725C" w:rsidRPr="005D5939" w:rsidRDefault="00F7725C" w:rsidP="00E72162">
            <w:pPr>
              <w:rPr>
                <w:rFonts w:cstheme="minorHAnsi"/>
                <w:bCs/>
                <w:sz w:val="22"/>
                <w:szCs w:val="22"/>
              </w:rPr>
            </w:pPr>
            <w:r w:rsidRPr="005D5939">
              <w:rPr>
                <w:rFonts w:cstheme="minorHAnsi"/>
                <w:bCs/>
                <w:sz w:val="22"/>
                <w:szCs w:val="22"/>
              </w:rPr>
              <w:t>Public service organizations</w:t>
            </w:r>
          </w:p>
        </w:tc>
        <w:tc>
          <w:tcPr>
            <w:tcW w:w="2160" w:type="dxa"/>
          </w:tcPr>
          <w:p w14:paraId="5794FB27" w14:textId="77777777" w:rsidR="00F7725C" w:rsidRPr="005D5939" w:rsidRDefault="00F7725C" w:rsidP="00E72162">
            <w:pPr>
              <w:jc w:val="center"/>
              <w:rPr>
                <w:rFonts w:cstheme="minorHAnsi"/>
                <w:bCs/>
                <w:sz w:val="22"/>
                <w:szCs w:val="22"/>
              </w:rPr>
            </w:pPr>
            <w:r>
              <w:rPr>
                <w:rFonts w:cstheme="minorHAnsi"/>
                <w:bCs/>
                <w:sz w:val="22"/>
                <w:szCs w:val="22"/>
              </w:rPr>
              <w:t>3</w:t>
            </w:r>
            <w:r w:rsidRPr="005D5939">
              <w:rPr>
                <w:rFonts w:cstheme="minorHAnsi"/>
                <w:bCs/>
                <w:sz w:val="22"/>
                <w:szCs w:val="22"/>
              </w:rPr>
              <w:t xml:space="preserve"> </w:t>
            </w:r>
          </w:p>
        </w:tc>
      </w:tr>
    </w:tbl>
    <w:p w14:paraId="620B3B06" w14:textId="77777777" w:rsidR="00A32A0E" w:rsidRPr="008631A8" w:rsidRDefault="00A32A0E" w:rsidP="00A32A0E">
      <w:pPr>
        <w:rPr>
          <w:rFonts w:cstheme="minorHAnsi"/>
          <w:bCs/>
          <w:sz w:val="22"/>
          <w:szCs w:val="22"/>
        </w:rPr>
      </w:pPr>
    </w:p>
    <w:p w14:paraId="5FFD2CCE" w14:textId="77777777" w:rsidR="0096520E" w:rsidRPr="008631A8" w:rsidRDefault="0096520E" w:rsidP="0096520E">
      <w:pPr>
        <w:rPr>
          <w:rFonts w:cstheme="minorHAnsi"/>
          <w:bCs/>
          <w:sz w:val="22"/>
          <w:szCs w:val="22"/>
        </w:rPr>
      </w:pPr>
      <w:r w:rsidRPr="008631A8">
        <w:rPr>
          <w:rFonts w:cstheme="minorHAnsi"/>
          <w:bCs/>
          <w:sz w:val="22"/>
          <w:szCs w:val="22"/>
        </w:rPr>
        <w:t xml:space="preserve">The purpose of these interviews was to expand upon and further explore insights developed through the previous data collection methods. As a result, many of the interviews focused on the future orientation of the interested party with regard to sustainability, expanded scope, and potential expansion of CCBHCs from the perspectives of legislators, government employees, advocacy organizations, and insurers, among others. </w:t>
      </w:r>
    </w:p>
    <w:p w14:paraId="43B8E6D1" w14:textId="77777777" w:rsidR="00A32A0E" w:rsidRPr="008631A8" w:rsidRDefault="00A32A0E" w:rsidP="00A32A0E">
      <w:pPr>
        <w:rPr>
          <w:rFonts w:cstheme="minorHAnsi"/>
          <w:bCs/>
          <w:sz w:val="22"/>
          <w:szCs w:val="22"/>
        </w:rPr>
      </w:pPr>
    </w:p>
    <w:p w14:paraId="277BB6C5"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Other Relevant Documentation</w:t>
      </w:r>
    </w:p>
    <w:p w14:paraId="36DD6CE5" w14:textId="27A29A52" w:rsidR="0096520E" w:rsidRPr="008F4C50" w:rsidRDefault="0096520E" w:rsidP="0096520E">
      <w:pPr>
        <w:rPr>
          <w:rFonts w:cstheme="minorHAnsi"/>
          <w:iCs/>
          <w:sz w:val="22"/>
          <w:szCs w:val="22"/>
          <w:lang w:bidi="th-TH"/>
        </w:rPr>
      </w:pPr>
      <w:r>
        <w:rPr>
          <w:rFonts w:cstheme="minorHAnsi"/>
          <w:iCs/>
          <w:sz w:val="22"/>
          <w:szCs w:val="22"/>
          <w:lang w:bidi="th-TH"/>
        </w:rPr>
        <w:t>A</w:t>
      </w:r>
      <w:r w:rsidRPr="008631A8">
        <w:rPr>
          <w:rFonts w:cstheme="minorHAnsi"/>
          <w:iCs/>
          <w:sz w:val="22"/>
          <w:szCs w:val="22"/>
          <w:lang w:bidi="th-TH"/>
        </w:rPr>
        <w:t xml:space="preserve">dditional documents </w:t>
      </w:r>
      <w:r>
        <w:rPr>
          <w:rFonts w:cstheme="minorHAnsi"/>
          <w:iCs/>
          <w:sz w:val="22"/>
          <w:szCs w:val="22"/>
          <w:lang w:bidi="th-TH"/>
        </w:rPr>
        <w:t>were reviewed to supplement data collection</w:t>
      </w:r>
      <w:r w:rsidRPr="008631A8">
        <w:rPr>
          <w:rFonts w:cstheme="minorHAnsi"/>
          <w:iCs/>
          <w:sz w:val="22"/>
          <w:szCs w:val="22"/>
          <w:lang w:bidi="th-TH"/>
        </w:rPr>
        <w:t xml:space="preserve">. </w:t>
      </w:r>
      <w:r w:rsidRPr="007A1630">
        <w:rPr>
          <w:rFonts w:cstheme="minorHAnsi"/>
          <w:iCs/>
          <w:sz w:val="22"/>
          <w:szCs w:val="22"/>
          <w:lang w:bidi="th-TH"/>
        </w:rPr>
        <w:t>CCBHC-specific reports or evaluations (national or Oregon-specific) were reviewed to integrate previous lessons learned.</w:t>
      </w:r>
      <w:r w:rsidRPr="00011EF0">
        <w:rPr>
          <w:rFonts w:cstheme="minorHAnsi"/>
          <w:iCs/>
          <w:sz w:val="22"/>
          <w:szCs w:val="22"/>
          <w:lang w:bidi="th-TH"/>
        </w:rPr>
        <w:t xml:space="preserve"> </w:t>
      </w:r>
      <w:r w:rsidRPr="008631A8">
        <w:rPr>
          <w:rFonts w:cstheme="minorHAnsi"/>
          <w:iCs/>
          <w:sz w:val="22"/>
          <w:szCs w:val="22"/>
          <w:lang w:bidi="th-TH"/>
        </w:rPr>
        <w:t xml:space="preserve">Community health assessments and community health improvement plans </w:t>
      </w:r>
      <w:r w:rsidRPr="008F4C50">
        <w:rPr>
          <w:rFonts w:cstheme="minorHAnsi"/>
          <w:iCs/>
          <w:sz w:val="22"/>
          <w:szCs w:val="22"/>
          <w:lang w:bidi="th-TH"/>
        </w:rPr>
        <w:t xml:space="preserve">were </w:t>
      </w:r>
      <w:r w:rsidRPr="00011EF0">
        <w:rPr>
          <w:rFonts w:cstheme="minorHAnsi"/>
          <w:iCs/>
          <w:sz w:val="22"/>
          <w:szCs w:val="22"/>
          <w:lang w:bidi="th-TH"/>
        </w:rPr>
        <w:t xml:space="preserve">analyzed to identify community priorities and to consider what role the CCBHCs could or do fill in meeting those priorities. </w:t>
      </w:r>
      <w:r w:rsidRPr="008F4C50">
        <w:rPr>
          <w:rFonts w:cstheme="minorHAnsi"/>
          <w:iCs/>
          <w:sz w:val="22"/>
          <w:szCs w:val="22"/>
          <w:lang w:bidi="th-TH"/>
        </w:rPr>
        <w:t xml:space="preserve">The evaluation team conducted an internet search to identify community health assessments and community health improvement plans for communities in which a CCBHC was located. The search parameters included any community health assessment or community health improvement plan published in or near 2016 and </w:t>
      </w:r>
      <w:r>
        <w:rPr>
          <w:rFonts w:cstheme="minorHAnsi"/>
          <w:iCs/>
          <w:sz w:val="22"/>
          <w:szCs w:val="22"/>
          <w:lang w:bidi="th-TH"/>
        </w:rPr>
        <w:t>subsequently</w:t>
      </w:r>
      <w:r w:rsidRPr="008F4C50">
        <w:rPr>
          <w:rFonts w:cstheme="minorHAnsi"/>
          <w:iCs/>
          <w:sz w:val="22"/>
          <w:szCs w:val="22"/>
          <w:lang w:bidi="th-TH"/>
        </w:rPr>
        <w:t xml:space="preserve"> in order to allow the evaluation team to understand community priorities over time. </w:t>
      </w:r>
      <w:r>
        <w:rPr>
          <w:rFonts w:cstheme="minorHAnsi"/>
          <w:iCs/>
          <w:sz w:val="22"/>
          <w:szCs w:val="22"/>
          <w:lang w:bidi="th-TH"/>
        </w:rPr>
        <w:t>Forty-four</w:t>
      </w:r>
      <w:r w:rsidRPr="008F4C50">
        <w:rPr>
          <w:rFonts w:cstheme="minorHAnsi"/>
          <w:iCs/>
          <w:sz w:val="22"/>
          <w:szCs w:val="22"/>
          <w:lang w:bidi="th-TH"/>
        </w:rPr>
        <w:t xml:space="preserve"> documents were identified and included for review, with a range of </w:t>
      </w:r>
      <w:r>
        <w:rPr>
          <w:rFonts w:cstheme="minorHAnsi"/>
          <w:iCs/>
          <w:sz w:val="22"/>
          <w:szCs w:val="22"/>
          <w:lang w:bidi="th-TH"/>
        </w:rPr>
        <w:t>two to eight</w:t>
      </w:r>
      <w:r w:rsidRPr="008F4C50">
        <w:rPr>
          <w:rFonts w:cstheme="minorHAnsi"/>
          <w:iCs/>
          <w:sz w:val="22"/>
          <w:szCs w:val="22"/>
          <w:lang w:bidi="th-TH"/>
        </w:rPr>
        <w:t xml:space="preserve"> documents identified as relevant </w:t>
      </w:r>
      <w:r>
        <w:rPr>
          <w:rFonts w:cstheme="minorHAnsi"/>
          <w:iCs/>
          <w:sz w:val="22"/>
          <w:szCs w:val="22"/>
          <w:lang w:bidi="th-TH"/>
        </w:rPr>
        <w:t>for</w:t>
      </w:r>
      <w:r w:rsidRPr="008F4C50">
        <w:rPr>
          <w:rFonts w:cstheme="minorHAnsi"/>
          <w:iCs/>
          <w:sz w:val="22"/>
          <w:szCs w:val="22"/>
          <w:lang w:bidi="th-TH"/>
        </w:rPr>
        <w:t xml:space="preserve"> each CCBHC</w:t>
      </w:r>
      <w:r>
        <w:rPr>
          <w:rFonts w:cstheme="minorHAnsi"/>
          <w:iCs/>
          <w:sz w:val="22"/>
          <w:szCs w:val="22"/>
          <w:lang w:bidi="th-TH"/>
        </w:rPr>
        <w:t xml:space="preserve"> (see </w:t>
      </w:r>
      <w:hyperlink w:anchor="_Appendix_1:_Summary" w:history="1">
        <w:r w:rsidRPr="0096520E">
          <w:rPr>
            <w:rStyle w:val="Hyperlink"/>
            <w:rFonts w:cstheme="minorHAnsi"/>
            <w:iCs/>
            <w:sz w:val="22"/>
            <w:szCs w:val="22"/>
            <w:lang w:bidi="th-TH"/>
          </w:rPr>
          <w:t>Appendix 1</w:t>
        </w:r>
      </w:hyperlink>
      <w:r>
        <w:rPr>
          <w:rFonts w:cstheme="minorHAnsi"/>
          <w:iCs/>
          <w:sz w:val="22"/>
          <w:szCs w:val="22"/>
          <w:lang w:bidi="th-TH"/>
        </w:rPr>
        <w:t>)</w:t>
      </w:r>
      <w:r w:rsidRPr="008F4C50">
        <w:rPr>
          <w:rFonts w:cstheme="minorHAnsi"/>
          <w:iCs/>
          <w:sz w:val="22"/>
          <w:szCs w:val="22"/>
          <w:lang w:bidi="th-TH"/>
        </w:rPr>
        <w:t xml:space="preserve">. </w:t>
      </w:r>
    </w:p>
    <w:p w14:paraId="67A74B4E" w14:textId="77777777" w:rsidR="0096520E" w:rsidRDefault="0096520E" w:rsidP="0096520E">
      <w:pPr>
        <w:rPr>
          <w:rFonts w:cstheme="minorHAnsi"/>
          <w:iCs/>
          <w:sz w:val="22"/>
          <w:szCs w:val="22"/>
          <w:lang w:bidi="th-TH"/>
        </w:rPr>
      </w:pPr>
    </w:p>
    <w:p w14:paraId="1800DF6E" w14:textId="77777777" w:rsidR="0096520E" w:rsidRPr="008631A8" w:rsidRDefault="0096520E" w:rsidP="0096520E">
      <w:pPr>
        <w:rPr>
          <w:rFonts w:cstheme="minorHAnsi"/>
          <w:i/>
          <w:sz w:val="22"/>
          <w:szCs w:val="22"/>
        </w:rPr>
      </w:pPr>
      <w:r>
        <w:rPr>
          <w:rFonts w:cstheme="minorHAnsi"/>
          <w:iCs/>
          <w:sz w:val="22"/>
          <w:szCs w:val="22"/>
          <w:lang w:bidi="th-TH"/>
        </w:rPr>
        <w:t>T</w:t>
      </w:r>
      <w:r w:rsidRPr="008F4C50">
        <w:rPr>
          <w:rFonts w:cstheme="minorHAnsi"/>
          <w:iCs/>
          <w:sz w:val="22"/>
          <w:szCs w:val="22"/>
          <w:lang w:bidi="th-TH"/>
        </w:rPr>
        <w:t>he evaluation team analyzed the documents to identify whether behavioral health and/or substance use were identified as community priorities</w:t>
      </w:r>
      <w:r>
        <w:rPr>
          <w:rFonts w:cstheme="minorHAnsi"/>
          <w:iCs/>
          <w:sz w:val="22"/>
          <w:szCs w:val="22"/>
          <w:lang w:bidi="th-TH"/>
        </w:rPr>
        <w:t>;</w:t>
      </w:r>
      <w:r w:rsidRPr="008F4C50">
        <w:rPr>
          <w:rFonts w:cstheme="minorHAnsi"/>
          <w:iCs/>
          <w:sz w:val="22"/>
          <w:szCs w:val="22"/>
          <w:lang w:bidi="th-TH"/>
        </w:rPr>
        <w:t xml:space="preserve"> common barriers to behavioral health and healthcare more broadly</w:t>
      </w:r>
      <w:r>
        <w:rPr>
          <w:rFonts w:cstheme="minorHAnsi"/>
          <w:iCs/>
          <w:sz w:val="22"/>
          <w:szCs w:val="22"/>
          <w:lang w:bidi="th-TH"/>
        </w:rPr>
        <w:t>;</w:t>
      </w:r>
      <w:r w:rsidRPr="008F4C50">
        <w:rPr>
          <w:rFonts w:cstheme="minorHAnsi"/>
          <w:iCs/>
          <w:sz w:val="22"/>
          <w:szCs w:val="22"/>
          <w:lang w:bidi="th-TH"/>
        </w:rPr>
        <w:t xml:space="preserve"> any mention of the CCBHC program or a CCBHC clinic and how they or their services were described (if at all)</w:t>
      </w:r>
      <w:r>
        <w:rPr>
          <w:rFonts w:cstheme="minorHAnsi"/>
          <w:iCs/>
          <w:sz w:val="22"/>
          <w:szCs w:val="22"/>
          <w:lang w:bidi="th-TH"/>
        </w:rPr>
        <w:t>;</w:t>
      </w:r>
      <w:r w:rsidRPr="008F4C50">
        <w:rPr>
          <w:rFonts w:cstheme="minorHAnsi"/>
          <w:iCs/>
          <w:sz w:val="22"/>
          <w:szCs w:val="22"/>
          <w:lang w:bidi="th-TH"/>
        </w:rPr>
        <w:t xml:space="preserve"> identification of underserved populations</w:t>
      </w:r>
      <w:r>
        <w:rPr>
          <w:rFonts w:cstheme="minorHAnsi"/>
          <w:iCs/>
          <w:sz w:val="22"/>
          <w:szCs w:val="22"/>
          <w:lang w:bidi="th-TH"/>
        </w:rPr>
        <w:t>;</w:t>
      </w:r>
      <w:r w:rsidRPr="008F4C50">
        <w:rPr>
          <w:rFonts w:cstheme="minorHAnsi"/>
          <w:iCs/>
          <w:sz w:val="22"/>
          <w:szCs w:val="22"/>
          <w:lang w:bidi="th-TH"/>
        </w:rPr>
        <w:t xml:space="preserve"> and strategies reported for improving access and equity.  </w:t>
      </w:r>
    </w:p>
    <w:p w14:paraId="605A9023" w14:textId="77777777" w:rsidR="00A32A0E" w:rsidRPr="008631A8" w:rsidRDefault="00A32A0E" w:rsidP="00A32A0E">
      <w:pPr>
        <w:rPr>
          <w:rFonts w:cstheme="minorHAnsi"/>
          <w:iCs/>
          <w:sz w:val="22"/>
          <w:szCs w:val="22"/>
        </w:rPr>
      </w:pPr>
    </w:p>
    <w:p w14:paraId="73DDE50F" w14:textId="550F398F" w:rsidR="00000D4B" w:rsidRPr="00000D4B" w:rsidRDefault="00A32A0E" w:rsidP="00A32A0E">
      <w:pPr>
        <w:rPr>
          <w:rFonts w:cstheme="minorHAnsi"/>
          <w:b/>
          <w:bCs/>
          <w:iCs/>
          <w:color w:val="6A7F0F"/>
          <w:sz w:val="22"/>
          <w:szCs w:val="22"/>
        </w:rPr>
      </w:pPr>
      <w:r w:rsidRPr="00000D4B">
        <w:rPr>
          <w:rFonts w:cstheme="minorHAnsi"/>
          <w:b/>
          <w:bCs/>
          <w:iCs/>
          <w:color w:val="6A7F0F"/>
          <w:sz w:val="22"/>
          <w:szCs w:val="22"/>
        </w:rPr>
        <w:t>Quantitative Methods</w:t>
      </w:r>
    </w:p>
    <w:p w14:paraId="0D587452" w14:textId="7248F4A2" w:rsidR="00A32A0E" w:rsidRPr="008631A8" w:rsidRDefault="0096520E" w:rsidP="00A32A0E">
      <w:pPr>
        <w:rPr>
          <w:rFonts w:cstheme="minorHAnsi"/>
          <w:iCs/>
          <w:sz w:val="22"/>
          <w:szCs w:val="22"/>
        </w:rPr>
      </w:pPr>
      <w:r w:rsidRPr="008631A8">
        <w:rPr>
          <w:rFonts w:cstheme="minorHAnsi"/>
          <w:sz w:val="22"/>
          <w:szCs w:val="22"/>
        </w:rPr>
        <w:t>A variety of quantitative methods were applied to individual level, de-identified MHSIP survey, OHP claims, OHP eligibility, and REALD data. All quantitative protocols, including data security, were approved by the PSU IRB (IRB #227749-18)</w:t>
      </w:r>
      <w:r>
        <w:rPr>
          <w:rFonts w:cstheme="minorHAnsi"/>
          <w:sz w:val="22"/>
          <w:szCs w:val="22"/>
        </w:rPr>
        <w:t xml:space="preserve"> in June 2022</w:t>
      </w:r>
      <w:r w:rsidRPr="008631A8">
        <w:rPr>
          <w:rFonts w:cstheme="minorHAnsi"/>
          <w:sz w:val="22"/>
          <w:szCs w:val="22"/>
        </w:rPr>
        <w:t>.   </w:t>
      </w:r>
    </w:p>
    <w:p w14:paraId="15732CF5" w14:textId="77777777" w:rsidR="00A32A0E" w:rsidRPr="008631A8" w:rsidRDefault="00A32A0E" w:rsidP="00A32A0E">
      <w:pPr>
        <w:rPr>
          <w:rFonts w:cstheme="minorHAnsi"/>
          <w:iCs/>
          <w:sz w:val="22"/>
          <w:szCs w:val="22"/>
        </w:rPr>
      </w:pPr>
    </w:p>
    <w:p w14:paraId="7E906B32" w14:textId="77777777" w:rsidR="00A32A0E" w:rsidRPr="008631A8" w:rsidRDefault="00A32A0E" w:rsidP="00A32A0E">
      <w:pPr>
        <w:spacing w:after="120"/>
        <w:rPr>
          <w:rFonts w:cstheme="minorHAnsi"/>
          <w:i/>
          <w:iCs/>
          <w:sz w:val="22"/>
          <w:szCs w:val="22"/>
        </w:rPr>
      </w:pPr>
      <w:r w:rsidRPr="00A32A0E">
        <w:rPr>
          <w:rFonts w:cstheme="minorHAnsi"/>
          <w:b/>
          <w:i/>
          <w:iCs/>
          <w:color w:val="6A7F0F"/>
          <w:sz w:val="22"/>
          <w:szCs w:val="22"/>
        </w:rPr>
        <w:t>Design Overview</w:t>
      </w:r>
    </w:p>
    <w:p w14:paraId="524C67CD" w14:textId="3D14F3DB" w:rsidR="0096520E" w:rsidRDefault="0096520E" w:rsidP="0096520E">
      <w:pPr>
        <w:rPr>
          <w:rFonts w:cstheme="minorHAnsi"/>
          <w:sz w:val="22"/>
          <w:szCs w:val="22"/>
        </w:rPr>
      </w:pPr>
      <w:r w:rsidRPr="008631A8">
        <w:rPr>
          <w:rFonts w:cstheme="minorHAnsi"/>
          <w:sz w:val="22"/>
          <w:szCs w:val="22"/>
        </w:rPr>
        <w:t xml:space="preserve">The quantitative analyses developed for this report address aspects of each of the four questions posed by the Legislature, representing only OHP members. As described in more detail below, OHP claims, MHSIP surveys of OHP members, and REALD demographic data were the three available and feasible data sets </w:t>
      </w:r>
      <w:r>
        <w:rPr>
          <w:sz w:val="22"/>
          <w:szCs w:val="22"/>
        </w:rPr>
        <w:t xml:space="preserve">primarily used </w:t>
      </w:r>
      <w:r w:rsidRPr="008631A8">
        <w:rPr>
          <w:rFonts w:cstheme="minorHAnsi"/>
          <w:sz w:val="22"/>
          <w:szCs w:val="22"/>
        </w:rPr>
        <w:t xml:space="preserve">for the analyses. Using these data, the analyses </w:t>
      </w:r>
      <w:r>
        <w:rPr>
          <w:rFonts w:cstheme="minorHAnsi"/>
          <w:sz w:val="22"/>
          <w:szCs w:val="22"/>
        </w:rPr>
        <w:t>we</w:t>
      </w:r>
      <w:r w:rsidRPr="008631A8">
        <w:rPr>
          <w:rFonts w:cstheme="minorHAnsi"/>
          <w:sz w:val="22"/>
          <w:szCs w:val="22"/>
        </w:rPr>
        <w:t xml:space="preserve">re able to provide information on whether CCBHCs: </w:t>
      </w:r>
    </w:p>
    <w:p w14:paraId="5836F8F7" w14:textId="77777777" w:rsidR="0096520E" w:rsidRPr="008631A8" w:rsidRDefault="0096520E">
      <w:pPr>
        <w:pStyle w:val="ListParagraph"/>
        <w:numPr>
          <w:ilvl w:val="0"/>
          <w:numId w:val="17"/>
        </w:numPr>
        <w:ind w:firstLine="0"/>
        <w:rPr>
          <w:rFonts w:cstheme="minorHAnsi"/>
          <w:sz w:val="22"/>
          <w:szCs w:val="22"/>
        </w:rPr>
      </w:pPr>
      <w:r w:rsidRPr="008631A8">
        <w:rPr>
          <w:rFonts w:cstheme="minorHAnsi"/>
          <w:sz w:val="22"/>
          <w:szCs w:val="22"/>
        </w:rPr>
        <w:t xml:space="preserve">increased access to behavioral health treatment for OHP members in their service area; </w:t>
      </w:r>
    </w:p>
    <w:p w14:paraId="4FF9FF3C" w14:textId="77777777" w:rsidR="0096520E" w:rsidRPr="008631A8" w:rsidRDefault="0096520E">
      <w:pPr>
        <w:pStyle w:val="ListParagraph"/>
        <w:numPr>
          <w:ilvl w:val="0"/>
          <w:numId w:val="17"/>
        </w:numPr>
        <w:ind w:firstLine="0"/>
        <w:rPr>
          <w:rFonts w:cstheme="minorHAnsi"/>
          <w:sz w:val="22"/>
          <w:szCs w:val="22"/>
        </w:rPr>
      </w:pPr>
      <w:r w:rsidRPr="008631A8">
        <w:rPr>
          <w:rFonts w:cstheme="minorHAnsi"/>
          <w:sz w:val="22"/>
          <w:szCs w:val="22"/>
        </w:rPr>
        <w:t xml:space="preserve">increased access to physical (primary care) treatment for OHP members; </w:t>
      </w:r>
    </w:p>
    <w:p w14:paraId="44C18307" w14:textId="77777777" w:rsidR="0096520E" w:rsidRPr="008631A8" w:rsidRDefault="0096520E">
      <w:pPr>
        <w:pStyle w:val="ListParagraph"/>
        <w:numPr>
          <w:ilvl w:val="0"/>
          <w:numId w:val="17"/>
        </w:numPr>
        <w:ind w:firstLine="0"/>
        <w:rPr>
          <w:rFonts w:cstheme="minorHAnsi"/>
          <w:sz w:val="22"/>
          <w:szCs w:val="22"/>
        </w:rPr>
      </w:pPr>
      <w:r w:rsidRPr="008631A8">
        <w:rPr>
          <w:rFonts w:cstheme="minorHAnsi"/>
          <w:sz w:val="22"/>
          <w:szCs w:val="22"/>
        </w:rPr>
        <w:t xml:space="preserve">improved health outcomes for OHP members as measured by the MHSIP survey; and, </w:t>
      </w:r>
    </w:p>
    <w:p w14:paraId="4ECC8267" w14:textId="77777777" w:rsidR="0096520E" w:rsidRPr="008631A8" w:rsidRDefault="0096520E">
      <w:pPr>
        <w:pStyle w:val="ListParagraph"/>
        <w:numPr>
          <w:ilvl w:val="0"/>
          <w:numId w:val="17"/>
        </w:numPr>
        <w:ind w:firstLine="0"/>
        <w:rPr>
          <w:rFonts w:cstheme="minorHAnsi"/>
          <w:sz w:val="22"/>
          <w:szCs w:val="22"/>
        </w:rPr>
      </w:pPr>
      <w:r w:rsidRPr="008631A8">
        <w:rPr>
          <w:rFonts w:cstheme="minorHAnsi"/>
          <w:sz w:val="22"/>
          <w:szCs w:val="22"/>
        </w:rPr>
        <w:t xml:space="preserve">lowered the cost of care for CCO organization members. </w:t>
      </w:r>
    </w:p>
    <w:p w14:paraId="16B3819D" w14:textId="77777777" w:rsidR="0096520E" w:rsidRPr="008631A8" w:rsidRDefault="0096520E" w:rsidP="0096520E">
      <w:pPr>
        <w:rPr>
          <w:rFonts w:cstheme="minorHAnsi"/>
          <w:sz w:val="22"/>
          <w:szCs w:val="22"/>
        </w:rPr>
      </w:pPr>
    </w:p>
    <w:p w14:paraId="7F800F7D" w14:textId="77777777" w:rsidR="0096520E" w:rsidRPr="001E1433" w:rsidRDefault="0096520E" w:rsidP="0096520E">
      <w:pPr>
        <w:rPr>
          <w:sz w:val="22"/>
          <w:szCs w:val="22"/>
        </w:rPr>
      </w:pPr>
      <w:r w:rsidRPr="008631A8">
        <w:rPr>
          <w:rFonts w:cstheme="minorHAnsi"/>
          <w:sz w:val="22"/>
          <w:szCs w:val="22"/>
        </w:rPr>
        <w:t>In addition, these four areas of inquiry were assessed from an equity perspective by comparing relative outcomes among OHP members identified as white or nonwhite</w:t>
      </w:r>
      <w:r>
        <w:rPr>
          <w:sz w:val="22"/>
          <w:szCs w:val="22"/>
        </w:rPr>
        <w:t xml:space="preserve"> based on nine REALD race/ethnicity categories, as well as from a geographic perspective based on service users’ residence in urban, rural or remote areas based on zip code designations from the Oregon Office of Rural Health</w:t>
      </w:r>
      <w:r w:rsidRPr="001E1433">
        <w:rPr>
          <w:sz w:val="22"/>
          <w:szCs w:val="22"/>
        </w:rPr>
        <w:t>.</w:t>
      </w:r>
    </w:p>
    <w:p w14:paraId="05117782" w14:textId="77777777" w:rsidR="0096520E" w:rsidRPr="008631A8" w:rsidRDefault="0096520E" w:rsidP="0096520E">
      <w:pPr>
        <w:rPr>
          <w:rFonts w:cstheme="minorHAnsi"/>
          <w:sz w:val="22"/>
          <w:szCs w:val="22"/>
        </w:rPr>
      </w:pPr>
      <w:r w:rsidRPr="008631A8">
        <w:rPr>
          <w:rFonts w:cstheme="minorHAnsi"/>
          <w:sz w:val="22"/>
          <w:szCs w:val="22"/>
        </w:rPr>
        <w:t xml:space="preserve">The overall design of the quantitative analyses employed a natural experimental design comparing change in outcomes for OHP members of CCBHCs before and after CCBHC implementation to those for OHP members served in comparable behavioral health organizations that did not become CCBHCs. As nine of the twelve CCBHCs were OHA-designated Community Mental Health Programs (CMHPs), OHP members served by non-CCBHC CMHPs served as the comparison group. </w:t>
      </w:r>
    </w:p>
    <w:p w14:paraId="0A226369" w14:textId="77777777" w:rsidR="0096520E" w:rsidRPr="008631A8" w:rsidRDefault="0096520E" w:rsidP="0096520E">
      <w:pPr>
        <w:rPr>
          <w:rFonts w:cstheme="minorHAnsi"/>
          <w:sz w:val="22"/>
          <w:szCs w:val="22"/>
        </w:rPr>
      </w:pPr>
    </w:p>
    <w:p w14:paraId="644C7AED" w14:textId="77777777" w:rsidR="0096520E" w:rsidRPr="008631A8" w:rsidRDefault="0096520E" w:rsidP="0096520E">
      <w:pPr>
        <w:rPr>
          <w:rFonts w:cstheme="minorHAnsi"/>
          <w:sz w:val="22"/>
          <w:szCs w:val="22"/>
        </w:rPr>
      </w:pPr>
      <w:r w:rsidRPr="008631A8">
        <w:rPr>
          <w:rFonts w:cstheme="minorHAnsi"/>
          <w:sz w:val="22"/>
          <w:szCs w:val="22"/>
        </w:rPr>
        <w:t xml:space="preserve">The technical term for this analytic design is a “difference-in-difference”. The findings reflect the impact (change) in outcome measures associated with implementation of the CCBHC program (first difference) after accounting for any contemporaneous change occurring among the control group (second difference). Given that OHP members’ characteristics may vary between CCBHCs and non-CCBHC providers, propensity score matching </w:t>
      </w:r>
      <w:r>
        <w:rPr>
          <w:rFonts w:cstheme="minorHAnsi"/>
          <w:sz w:val="22"/>
          <w:szCs w:val="22"/>
        </w:rPr>
        <w:t>wa</w:t>
      </w:r>
      <w:r w:rsidRPr="008631A8">
        <w:rPr>
          <w:rFonts w:cstheme="minorHAnsi"/>
          <w:sz w:val="22"/>
          <w:szCs w:val="22"/>
        </w:rPr>
        <w:t>s used to equate characteristics of OHP members in the intervention (CCBHC) and control (non-CCBHC) groups</w:t>
      </w:r>
      <w:r>
        <w:rPr>
          <w:sz w:val="22"/>
          <w:szCs w:val="22"/>
        </w:rPr>
        <w:t>, and across time within groups,</w:t>
      </w:r>
      <w:r w:rsidRPr="008631A8">
        <w:rPr>
          <w:rFonts w:cstheme="minorHAnsi"/>
          <w:sz w:val="22"/>
          <w:szCs w:val="22"/>
        </w:rPr>
        <w:t xml:space="preserve"> </w:t>
      </w:r>
      <w:r>
        <w:rPr>
          <w:rFonts w:cstheme="minorHAnsi"/>
          <w:sz w:val="22"/>
          <w:szCs w:val="22"/>
        </w:rPr>
        <w:t>to</w:t>
      </w:r>
      <w:r w:rsidRPr="008631A8">
        <w:rPr>
          <w:rFonts w:cstheme="minorHAnsi"/>
          <w:sz w:val="22"/>
          <w:szCs w:val="22"/>
        </w:rPr>
        <w:t xml:space="preserve"> reduce bias in t</w:t>
      </w:r>
      <w:r>
        <w:rPr>
          <w:rFonts w:cstheme="minorHAnsi"/>
          <w:sz w:val="22"/>
          <w:szCs w:val="22"/>
        </w:rPr>
        <w:t>he differ</w:t>
      </w:r>
      <w:r w:rsidRPr="008631A8">
        <w:rPr>
          <w:rFonts w:cstheme="minorHAnsi"/>
          <w:sz w:val="22"/>
          <w:szCs w:val="22"/>
        </w:rPr>
        <w:t>ence-in-difference comparisons.</w:t>
      </w:r>
    </w:p>
    <w:p w14:paraId="61E8CB27" w14:textId="77777777" w:rsidR="00A32A0E" w:rsidRPr="008631A8" w:rsidRDefault="00A32A0E" w:rsidP="00A32A0E">
      <w:pPr>
        <w:rPr>
          <w:rFonts w:cstheme="minorHAnsi"/>
          <w:sz w:val="22"/>
          <w:szCs w:val="22"/>
        </w:rPr>
      </w:pPr>
    </w:p>
    <w:p w14:paraId="583BDD23"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Data Sources and Study Population</w:t>
      </w:r>
    </w:p>
    <w:p w14:paraId="7CBFC0F9" w14:textId="77777777" w:rsidR="00965E55" w:rsidRDefault="0096520E" w:rsidP="0096520E">
      <w:pPr>
        <w:rPr>
          <w:rFonts w:cstheme="minorHAnsi"/>
          <w:sz w:val="22"/>
          <w:szCs w:val="22"/>
        </w:rPr>
      </w:pPr>
      <w:r w:rsidRPr="008631A8">
        <w:rPr>
          <w:rFonts w:cstheme="minorHAnsi"/>
          <w:sz w:val="22"/>
          <w:szCs w:val="22"/>
        </w:rPr>
        <w:t xml:space="preserve">The data sets used for the analysis </w:t>
      </w:r>
      <w:r>
        <w:rPr>
          <w:rFonts w:cstheme="minorHAnsi"/>
          <w:sz w:val="22"/>
          <w:szCs w:val="22"/>
        </w:rPr>
        <w:t>were</w:t>
      </w:r>
      <w:r w:rsidRPr="008631A8">
        <w:rPr>
          <w:rFonts w:cstheme="minorHAnsi"/>
          <w:sz w:val="22"/>
          <w:szCs w:val="22"/>
        </w:rPr>
        <w:t>:</w:t>
      </w:r>
    </w:p>
    <w:p w14:paraId="1D9D5C49" w14:textId="43D94B1B" w:rsidR="0096520E" w:rsidRPr="00965E55" w:rsidRDefault="0096520E" w:rsidP="00965E55">
      <w:pPr>
        <w:pStyle w:val="ListParagraph"/>
        <w:numPr>
          <w:ilvl w:val="0"/>
          <w:numId w:val="47"/>
        </w:numPr>
        <w:rPr>
          <w:rFonts w:cstheme="minorHAnsi"/>
          <w:sz w:val="22"/>
          <w:szCs w:val="22"/>
        </w:rPr>
      </w:pPr>
      <w:r w:rsidRPr="00965E55">
        <w:rPr>
          <w:rFonts w:cstheme="minorHAnsi"/>
          <w:sz w:val="22"/>
          <w:szCs w:val="22"/>
        </w:rPr>
        <w:t xml:space="preserve">All OHP claims and eligibility data from April 1, 2015 through March 31, 2021; </w:t>
      </w:r>
    </w:p>
    <w:p w14:paraId="38EA2E1E" w14:textId="77777777" w:rsidR="0096520E" w:rsidRPr="00354D00" w:rsidRDefault="0096520E">
      <w:pPr>
        <w:pStyle w:val="ListParagraph"/>
        <w:numPr>
          <w:ilvl w:val="0"/>
          <w:numId w:val="18"/>
        </w:numPr>
        <w:ind w:left="720"/>
        <w:rPr>
          <w:rFonts w:cstheme="minorHAnsi"/>
          <w:sz w:val="22"/>
          <w:szCs w:val="22"/>
        </w:rPr>
      </w:pPr>
      <w:r w:rsidRPr="00354D00">
        <w:rPr>
          <w:rFonts w:cstheme="minorHAnsi"/>
          <w:sz w:val="22"/>
          <w:szCs w:val="22"/>
        </w:rPr>
        <w:t xml:space="preserve">MHSIP adult and child/adolescent surveys for outpatient and residential services for the years 2015 through 2021; </w:t>
      </w:r>
    </w:p>
    <w:p w14:paraId="0AF80753" w14:textId="77777777" w:rsidR="0096520E" w:rsidRPr="00354D00" w:rsidRDefault="0096520E">
      <w:pPr>
        <w:pStyle w:val="ListParagraph"/>
        <w:numPr>
          <w:ilvl w:val="0"/>
          <w:numId w:val="18"/>
        </w:numPr>
        <w:ind w:left="720"/>
        <w:rPr>
          <w:rFonts w:cstheme="minorHAnsi"/>
          <w:sz w:val="22"/>
          <w:szCs w:val="22"/>
        </w:rPr>
      </w:pPr>
      <w:r w:rsidRPr="00354D00">
        <w:rPr>
          <w:rFonts w:cstheme="minorHAnsi"/>
          <w:sz w:val="22"/>
          <w:szCs w:val="22"/>
        </w:rPr>
        <w:t xml:space="preserve">REALD data for OHP members from CY 2018-2021; and </w:t>
      </w:r>
    </w:p>
    <w:p w14:paraId="683DA722" w14:textId="77777777" w:rsidR="0096520E" w:rsidRPr="008631A8" w:rsidRDefault="0096520E">
      <w:pPr>
        <w:pStyle w:val="ListParagraph"/>
        <w:numPr>
          <w:ilvl w:val="0"/>
          <w:numId w:val="18"/>
        </w:numPr>
        <w:ind w:left="720"/>
        <w:rPr>
          <w:rFonts w:cstheme="minorHAnsi"/>
          <w:sz w:val="22"/>
          <w:szCs w:val="22"/>
        </w:rPr>
      </w:pPr>
      <w:r w:rsidRPr="00354D00">
        <w:rPr>
          <w:rFonts w:cstheme="minorHAnsi"/>
          <w:sz w:val="22"/>
          <w:szCs w:val="22"/>
        </w:rPr>
        <w:t>Quarterly CCBHC prospective payment records.</w:t>
      </w:r>
    </w:p>
    <w:p w14:paraId="2041B518" w14:textId="77777777" w:rsidR="0096520E" w:rsidRPr="008631A8" w:rsidRDefault="0096520E" w:rsidP="0096520E">
      <w:pPr>
        <w:rPr>
          <w:rFonts w:cstheme="minorHAnsi"/>
          <w:sz w:val="22"/>
          <w:szCs w:val="22"/>
        </w:rPr>
      </w:pPr>
    </w:p>
    <w:p w14:paraId="13CD2938" w14:textId="77777777" w:rsidR="0096520E" w:rsidRPr="008631A8" w:rsidRDefault="0096520E" w:rsidP="0096520E">
      <w:pPr>
        <w:rPr>
          <w:rFonts w:cstheme="minorHAnsi"/>
          <w:sz w:val="22"/>
          <w:szCs w:val="22"/>
        </w:rPr>
      </w:pPr>
      <w:r w:rsidRPr="008631A8">
        <w:rPr>
          <w:rFonts w:cstheme="minorHAnsi"/>
          <w:sz w:val="22"/>
          <w:szCs w:val="22"/>
        </w:rPr>
        <w:t>Outcomes from the OHP claims and MHSIP survey data covered a pre-implementation period (April 1, 2015 through March 31, 2017) and two post-implementation periods (April 1, 2017 through March 31, 2019 and April 1, 2019 through March 2021). Two post-intervention periods were assessed primarily in order to isolate periods during the onset of COVID</w:t>
      </w:r>
      <w:r>
        <w:rPr>
          <w:rFonts w:cstheme="minorHAnsi"/>
          <w:sz w:val="22"/>
          <w:szCs w:val="22"/>
        </w:rPr>
        <w:t>-19</w:t>
      </w:r>
      <w:r w:rsidRPr="008631A8">
        <w:rPr>
          <w:rFonts w:cstheme="minorHAnsi"/>
          <w:sz w:val="22"/>
          <w:szCs w:val="22"/>
        </w:rPr>
        <w:t xml:space="preserve">.  </w:t>
      </w:r>
    </w:p>
    <w:p w14:paraId="06B6DF9F" w14:textId="77777777" w:rsidR="00A32A0E" w:rsidRPr="008631A8" w:rsidRDefault="00A32A0E" w:rsidP="00A32A0E">
      <w:pPr>
        <w:rPr>
          <w:rFonts w:cstheme="minorHAnsi"/>
          <w:sz w:val="22"/>
          <w:szCs w:val="22"/>
        </w:rPr>
      </w:pPr>
    </w:p>
    <w:p w14:paraId="30AD7EDA"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Inclusion Criteria</w:t>
      </w:r>
    </w:p>
    <w:p w14:paraId="75CBCF77" w14:textId="77777777" w:rsidR="0096520E" w:rsidRPr="008631A8" w:rsidRDefault="0096520E" w:rsidP="0096520E">
      <w:pPr>
        <w:rPr>
          <w:rFonts w:cstheme="minorHAnsi"/>
          <w:sz w:val="22"/>
          <w:szCs w:val="22"/>
        </w:rPr>
      </w:pPr>
      <w:r w:rsidRPr="008631A8">
        <w:rPr>
          <w:rFonts w:cstheme="minorHAnsi"/>
          <w:sz w:val="22"/>
          <w:szCs w:val="22"/>
        </w:rPr>
        <w:t xml:space="preserve">The OHP claims and eligibility data covered the entire study period. MHSIP survey data for 2016 were used for the pre-implementation period, 2017 and 2018 data for the first post-implementation period, and 2019 and 2020 data for the second post-implementation period. MHSIP surveys for 2015 could not be used as outcomes measures </w:t>
      </w:r>
      <w:r>
        <w:rPr>
          <w:rFonts w:cstheme="minorHAnsi"/>
          <w:sz w:val="22"/>
          <w:szCs w:val="22"/>
        </w:rPr>
        <w:t>since</w:t>
      </w:r>
      <w:r w:rsidRPr="008631A8">
        <w:rPr>
          <w:rFonts w:cstheme="minorHAnsi"/>
          <w:sz w:val="22"/>
          <w:szCs w:val="22"/>
        </w:rPr>
        <w:t xml:space="preserve"> the survey </w:t>
      </w:r>
      <w:r>
        <w:rPr>
          <w:rFonts w:cstheme="minorHAnsi"/>
          <w:sz w:val="22"/>
          <w:szCs w:val="22"/>
        </w:rPr>
        <w:t xml:space="preserve">was </w:t>
      </w:r>
      <w:r w:rsidRPr="008631A8">
        <w:rPr>
          <w:rFonts w:cstheme="minorHAnsi"/>
          <w:sz w:val="22"/>
          <w:szCs w:val="22"/>
        </w:rPr>
        <w:t xml:space="preserve">changed after that year. MHSIP surveys for 2021 were considered largely beyond the study period. The CY2018-21 REALD data for OHP members were used to augment the race/ethnicity and language information available in the claims and eligibility data both concurrently and retrospectively (where members present during CY2018-21 were eligible in prior study periods). </w:t>
      </w:r>
    </w:p>
    <w:p w14:paraId="26E2F733" w14:textId="77777777" w:rsidR="0096520E" w:rsidRPr="008631A8" w:rsidRDefault="0096520E" w:rsidP="0096520E">
      <w:pPr>
        <w:rPr>
          <w:rFonts w:cstheme="minorHAnsi"/>
          <w:sz w:val="22"/>
          <w:szCs w:val="22"/>
        </w:rPr>
      </w:pPr>
    </w:p>
    <w:p w14:paraId="6C3239D0" w14:textId="06E1ECF2" w:rsidR="0096520E" w:rsidRPr="008631A8" w:rsidRDefault="0096520E" w:rsidP="0096520E">
      <w:pPr>
        <w:rPr>
          <w:rFonts w:cstheme="minorHAnsi"/>
          <w:sz w:val="22"/>
          <w:szCs w:val="22"/>
        </w:rPr>
      </w:pPr>
      <w:r w:rsidRPr="008631A8">
        <w:rPr>
          <w:rFonts w:cstheme="minorHAnsi"/>
          <w:sz w:val="22"/>
          <w:szCs w:val="22"/>
        </w:rPr>
        <w:t>OHP members with full enrollment within a calendar quarter who received services from the original twelve CCBHC providers and an additional 24 (non-CCBHC) CMHP providers based on National Provider Identification numbers (NPIs) with screening for behavioral health (billing) provider types</w:t>
      </w:r>
      <w:r>
        <w:rPr>
          <w:rFonts w:cstheme="minorHAnsi"/>
          <w:sz w:val="22"/>
          <w:szCs w:val="22"/>
        </w:rPr>
        <w:t>,</w:t>
      </w:r>
      <w:r w:rsidRPr="008631A8">
        <w:rPr>
          <w:rFonts w:cstheme="minorHAnsi"/>
          <w:sz w:val="22"/>
          <w:szCs w:val="22"/>
        </w:rPr>
        <w:t xml:space="preserve"> as indicated in the OHP claims, were included in the study. These OHP members were attributed to CCBHC or non-CCBHC groups in each study year based on the majority of CCBHC vs</w:t>
      </w:r>
      <w:r>
        <w:rPr>
          <w:rFonts w:cstheme="minorHAnsi"/>
          <w:sz w:val="22"/>
          <w:szCs w:val="22"/>
        </w:rPr>
        <w:t>.</w:t>
      </w:r>
      <w:r w:rsidRPr="008631A8">
        <w:rPr>
          <w:rFonts w:cstheme="minorHAnsi"/>
          <w:sz w:val="22"/>
          <w:szCs w:val="22"/>
        </w:rPr>
        <w:t xml:space="preserve"> non-CCBHC identified claims (or last service date for ties). Within each group (CCBHC vs. non-CCBHC), OHP members were assigned to a specific provider based on plurality of claims (or last service date for ties). All OHP and MHSIP survey responses for these individuals were then identified for potential use in the study. Ultimately, data for individuals attributed to the three original CCBHC sites that suspended their participation in CCBHC after the first two years of the demonstration (Community Counseling Solutions</w:t>
      </w:r>
      <w:r w:rsidR="00000D4B">
        <w:rPr>
          <w:rFonts w:cstheme="minorHAnsi"/>
          <w:sz w:val="22"/>
          <w:szCs w:val="22"/>
        </w:rPr>
        <w:t xml:space="preserve"> </w:t>
      </w:r>
      <w:r w:rsidRPr="008631A8">
        <w:rPr>
          <w:rFonts w:cstheme="minorHAnsi"/>
          <w:sz w:val="22"/>
          <w:szCs w:val="22"/>
        </w:rPr>
        <w:t>- John Day, Mid-Columbia Center for Living, Peace Health Medical Group) were excluded to assure consistency across the study periods. Two of these sites have since resumed operation as a CCBHC but the relevant data were not available for the comparisons, thus their exclusion from this part of the analysis.</w:t>
      </w:r>
    </w:p>
    <w:p w14:paraId="1982EC8A" w14:textId="77777777" w:rsidR="00A32A0E" w:rsidRPr="008631A8" w:rsidRDefault="00A32A0E" w:rsidP="00A32A0E">
      <w:pPr>
        <w:rPr>
          <w:rFonts w:cstheme="minorHAnsi"/>
          <w:sz w:val="22"/>
          <w:szCs w:val="22"/>
        </w:rPr>
      </w:pPr>
    </w:p>
    <w:p w14:paraId="4EB924E0"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Study Measures</w:t>
      </w:r>
    </w:p>
    <w:p w14:paraId="58D9DB0C" w14:textId="77777777" w:rsidR="0096520E" w:rsidRPr="008631A8" w:rsidRDefault="0096520E" w:rsidP="0096520E">
      <w:pPr>
        <w:rPr>
          <w:rFonts w:cstheme="minorHAnsi"/>
          <w:sz w:val="22"/>
          <w:szCs w:val="22"/>
        </w:rPr>
      </w:pPr>
      <w:r w:rsidRPr="008631A8">
        <w:rPr>
          <w:rFonts w:cstheme="minorHAnsi"/>
          <w:sz w:val="22"/>
          <w:szCs w:val="22"/>
        </w:rPr>
        <w:t xml:space="preserve">A variety of measures were developed from the OHP claims data capturing different layers and perspectives on OHP member cost and service utilization. First, outcomes were developed based on overall, </w:t>
      </w:r>
      <w:r>
        <w:rPr>
          <w:sz w:val="22"/>
          <w:szCs w:val="22"/>
        </w:rPr>
        <w:t>mental</w:t>
      </w:r>
      <w:r w:rsidRPr="001E1433">
        <w:rPr>
          <w:sz w:val="22"/>
          <w:szCs w:val="22"/>
        </w:rPr>
        <w:t xml:space="preserve"> health</w:t>
      </w:r>
      <w:r>
        <w:rPr>
          <w:sz w:val="22"/>
          <w:szCs w:val="22"/>
        </w:rPr>
        <w:t>, substance use,</w:t>
      </w:r>
      <w:r w:rsidRPr="001E1433">
        <w:rPr>
          <w:sz w:val="22"/>
          <w:szCs w:val="22"/>
        </w:rPr>
        <w:t xml:space="preserve"> and </w:t>
      </w:r>
      <w:r w:rsidRPr="008631A8">
        <w:rPr>
          <w:rFonts w:cstheme="minorHAnsi"/>
          <w:sz w:val="22"/>
          <w:szCs w:val="22"/>
        </w:rPr>
        <w:t xml:space="preserve">physical health services. This perspective was applied to specific service types: hospital-based inpatient, residential treatment facility, emergency department, </w:t>
      </w:r>
      <w:r>
        <w:rPr>
          <w:sz w:val="22"/>
          <w:szCs w:val="22"/>
        </w:rPr>
        <w:t xml:space="preserve">primary care visits, mental health and substance use </w:t>
      </w:r>
      <w:r w:rsidRPr="008631A8">
        <w:rPr>
          <w:rFonts w:cstheme="minorHAnsi"/>
          <w:sz w:val="22"/>
          <w:szCs w:val="22"/>
        </w:rPr>
        <w:t xml:space="preserve">outpatient visits, and all other non-pharmacy services. </w:t>
      </w:r>
    </w:p>
    <w:p w14:paraId="38B533B3" w14:textId="77777777" w:rsidR="0096520E" w:rsidRPr="008631A8" w:rsidRDefault="0096520E" w:rsidP="0096520E">
      <w:pPr>
        <w:rPr>
          <w:rFonts w:cstheme="minorHAnsi"/>
          <w:sz w:val="22"/>
          <w:szCs w:val="22"/>
        </w:rPr>
      </w:pPr>
    </w:p>
    <w:p w14:paraId="1A8D39CA" w14:textId="77777777" w:rsidR="0096520E" w:rsidRPr="00D51CC3" w:rsidRDefault="0096520E" w:rsidP="0096520E">
      <w:pPr>
        <w:rPr>
          <w:rFonts w:cstheme="minorHAnsi"/>
          <w:sz w:val="22"/>
          <w:szCs w:val="22"/>
        </w:rPr>
      </w:pPr>
      <w:r w:rsidRPr="008631A8">
        <w:rPr>
          <w:rFonts w:cstheme="minorHAnsi"/>
          <w:sz w:val="22"/>
          <w:szCs w:val="22"/>
        </w:rPr>
        <w:t xml:space="preserve">For each of the service categories noted above, a quarterly cost per person was calculated and a binary measure was created to determine whether any service in the category was used in a quarter. In addition, where feasible, counts of visits per quarter (i.e., outpatient and ED visits) or days (i.e. hospital, inpatient and residential treatment facility [RTF]) were also calculated. The cost per person per quarter is an overarching outcome measure of the cost and utilization </w:t>
      </w:r>
      <w:r>
        <w:rPr>
          <w:sz w:val="22"/>
          <w:szCs w:val="22"/>
        </w:rPr>
        <w:t xml:space="preserve">on average </w:t>
      </w:r>
      <w:r>
        <w:rPr>
          <w:rFonts w:cstheme="minorHAnsi"/>
          <w:sz w:val="22"/>
          <w:szCs w:val="22"/>
        </w:rPr>
        <w:t>for</w:t>
      </w:r>
      <w:r w:rsidRPr="008631A8">
        <w:rPr>
          <w:rFonts w:cstheme="minorHAnsi"/>
          <w:sz w:val="22"/>
          <w:szCs w:val="22"/>
        </w:rPr>
        <w:t xml:space="preserve"> OHP members. The assessment of the probability of use based on the binary “any use” measure, and cost per user or the assessment of quarterly average costs only for those using a service in a quarter, were included as additional outcomes to identify how or why cost per person changed. Quarterly visit or day measures provide more specific identification of change in utilization patterns that further help understand the </w:t>
      </w:r>
      <w:r w:rsidRPr="00D51CC3">
        <w:rPr>
          <w:rFonts w:cstheme="minorHAnsi"/>
          <w:sz w:val="22"/>
          <w:szCs w:val="22"/>
        </w:rPr>
        <w:t>complete “picture” of CCBHC impacts on cost and utilization.</w:t>
      </w:r>
    </w:p>
    <w:p w14:paraId="36EEB31B" w14:textId="77777777" w:rsidR="0096520E" w:rsidRPr="00D51CC3" w:rsidRDefault="0096520E" w:rsidP="0096520E">
      <w:pPr>
        <w:rPr>
          <w:rFonts w:cstheme="minorHAnsi"/>
          <w:sz w:val="22"/>
          <w:szCs w:val="22"/>
        </w:rPr>
      </w:pPr>
    </w:p>
    <w:p w14:paraId="7E59D98A" w14:textId="77777777" w:rsidR="0096520E" w:rsidRDefault="0096520E" w:rsidP="0096520E">
      <w:pPr>
        <w:rPr>
          <w:rFonts w:cstheme="minorHAnsi"/>
          <w:sz w:val="22"/>
          <w:szCs w:val="22"/>
        </w:rPr>
      </w:pPr>
      <w:r w:rsidRPr="00D51CC3">
        <w:rPr>
          <w:rFonts w:cstheme="minorHAnsi"/>
          <w:sz w:val="22"/>
          <w:szCs w:val="22"/>
        </w:rPr>
        <w:t xml:space="preserve">OHP claims data include both </w:t>
      </w:r>
      <w:r>
        <w:rPr>
          <w:rFonts w:cstheme="minorHAnsi"/>
          <w:sz w:val="22"/>
          <w:szCs w:val="22"/>
        </w:rPr>
        <w:t>fee-for-service (</w:t>
      </w:r>
      <w:r w:rsidRPr="00D51CC3">
        <w:rPr>
          <w:rFonts w:cstheme="minorHAnsi"/>
          <w:sz w:val="22"/>
          <w:szCs w:val="22"/>
        </w:rPr>
        <w:t>FFS</w:t>
      </w:r>
      <w:r>
        <w:rPr>
          <w:rFonts w:cstheme="minorHAnsi"/>
          <w:sz w:val="22"/>
          <w:szCs w:val="22"/>
        </w:rPr>
        <w:t>)</w:t>
      </w:r>
      <w:r w:rsidRPr="00D51CC3">
        <w:rPr>
          <w:rFonts w:cstheme="minorHAnsi"/>
          <w:sz w:val="22"/>
          <w:szCs w:val="22"/>
        </w:rPr>
        <w:t xml:space="preserve"> and CCO encounter claims. For service users in some CCO areas, the CCO encounter data had large numbers of claims with zero payments. These typically reflect services provided under a global budget or other Alternative Payment Mechanism (APM) that does not provide payment on individual claim basis. Similarly, CCBHCs are instructed to bill for CCBHC services for non-CCO OHP (FFS) members at their PPS rate using HCPCS code T1014. Actual services justifying the PPS rate are required to be additionally submitted as claims but with zero payment value. </w:t>
      </w:r>
    </w:p>
    <w:p w14:paraId="57FB6EF4" w14:textId="77777777" w:rsidR="0096520E" w:rsidRDefault="0096520E" w:rsidP="0096520E">
      <w:pPr>
        <w:rPr>
          <w:rFonts w:cstheme="minorHAnsi"/>
          <w:sz w:val="22"/>
          <w:szCs w:val="22"/>
        </w:rPr>
      </w:pPr>
    </w:p>
    <w:p w14:paraId="5C1D1CE4" w14:textId="77777777" w:rsidR="007523A8" w:rsidRDefault="0096520E" w:rsidP="007523A8">
      <w:pPr>
        <w:rPr>
          <w:rFonts w:cstheme="minorHAnsi"/>
          <w:sz w:val="22"/>
          <w:szCs w:val="22"/>
        </w:rPr>
      </w:pPr>
      <w:r w:rsidRPr="007523A8">
        <w:rPr>
          <w:rFonts w:cstheme="minorHAnsi"/>
          <w:sz w:val="22"/>
          <w:szCs w:val="22"/>
        </w:rPr>
        <w:t>To more accurately identify the flow of service use and resource value incurred, several adjustments were made to the OHP claims data:</w:t>
      </w:r>
    </w:p>
    <w:p w14:paraId="1AA18703" w14:textId="074DE72A" w:rsidR="0096520E" w:rsidRPr="007523A8" w:rsidRDefault="0096520E">
      <w:pPr>
        <w:pStyle w:val="ListParagraph"/>
        <w:numPr>
          <w:ilvl w:val="0"/>
          <w:numId w:val="39"/>
        </w:numPr>
        <w:rPr>
          <w:rFonts w:cstheme="minorHAnsi"/>
          <w:sz w:val="22"/>
          <w:szCs w:val="22"/>
        </w:rPr>
      </w:pPr>
      <w:r w:rsidRPr="007523A8">
        <w:rPr>
          <w:rFonts w:cstheme="minorHAnsi"/>
          <w:sz w:val="22"/>
          <w:szCs w:val="22"/>
        </w:rPr>
        <w:t>Zero paid claims were counted as services provided in use and visit/day count measures</w:t>
      </w:r>
    </w:p>
    <w:p w14:paraId="41C52F05" w14:textId="77777777" w:rsidR="0096520E" w:rsidRPr="00D51CC3" w:rsidRDefault="0096520E">
      <w:pPr>
        <w:pStyle w:val="ListParagraph"/>
        <w:numPr>
          <w:ilvl w:val="0"/>
          <w:numId w:val="19"/>
        </w:numPr>
        <w:rPr>
          <w:rFonts w:cstheme="minorHAnsi"/>
          <w:sz w:val="22"/>
          <w:szCs w:val="22"/>
        </w:rPr>
      </w:pPr>
      <w:r w:rsidRPr="00D51CC3">
        <w:rPr>
          <w:rFonts w:cstheme="minorHAnsi"/>
          <w:sz w:val="22"/>
          <w:szCs w:val="22"/>
        </w:rPr>
        <w:t>Zero paid claims were valued at the allowed amount as indicated in the claim</w:t>
      </w:r>
    </w:p>
    <w:p w14:paraId="44A99DBF" w14:textId="77777777" w:rsidR="0096520E" w:rsidRPr="00D51CC3" w:rsidRDefault="0096520E">
      <w:pPr>
        <w:pStyle w:val="ListParagraph"/>
        <w:numPr>
          <w:ilvl w:val="0"/>
          <w:numId w:val="19"/>
        </w:numPr>
        <w:rPr>
          <w:rFonts w:cstheme="minorHAnsi"/>
          <w:sz w:val="22"/>
          <w:szCs w:val="22"/>
        </w:rPr>
      </w:pPr>
      <w:r w:rsidRPr="00D51CC3">
        <w:rPr>
          <w:rFonts w:cstheme="minorHAnsi"/>
          <w:sz w:val="22"/>
          <w:szCs w:val="22"/>
        </w:rPr>
        <w:t>Claims with HCPCS code T1014 were not included in the data analyzed</w:t>
      </w:r>
    </w:p>
    <w:p w14:paraId="3A157471" w14:textId="77777777" w:rsidR="0096520E" w:rsidRPr="003F6306" w:rsidRDefault="0096520E" w:rsidP="0096520E">
      <w:pPr>
        <w:rPr>
          <w:rFonts w:cstheme="minorHAnsi"/>
          <w:sz w:val="22"/>
          <w:szCs w:val="22"/>
        </w:rPr>
      </w:pPr>
    </w:p>
    <w:p w14:paraId="6420D489" w14:textId="77777777" w:rsidR="0096520E" w:rsidRPr="003F6306" w:rsidRDefault="0096520E" w:rsidP="0096520E">
      <w:pPr>
        <w:rPr>
          <w:rFonts w:cstheme="minorHAnsi"/>
          <w:sz w:val="22"/>
          <w:szCs w:val="22"/>
        </w:rPr>
      </w:pPr>
      <w:r w:rsidRPr="003F6306">
        <w:rPr>
          <w:rFonts w:cstheme="minorHAnsi"/>
          <w:sz w:val="22"/>
          <w:szCs w:val="22"/>
        </w:rPr>
        <w:t>These changes provided a consistent flow of resources used and their relative value over time allowing reasonable estimates of the rate of change in use and expenditure reported, but could not be used to estimate exact, actual use or expenditure levels at a point in time.</w:t>
      </w:r>
    </w:p>
    <w:p w14:paraId="5A868288" w14:textId="77777777" w:rsidR="0096520E" w:rsidRPr="00D51CC3" w:rsidRDefault="0096520E" w:rsidP="0096520E">
      <w:pPr>
        <w:rPr>
          <w:rFonts w:cstheme="minorHAnsi"/>
          <w:sz w:val="22"/>
          <w:szCs w:val="22"/>
        </w:rPr>
      </w:pPr>
    </w:p>
    <w:p w14:paraId="754A716C" w14:textId="77777777" w:rsidR="0096520E" w:rsidRPr="008631A8" w:rsidRDefault="0096520E" w:rsidP="0096520E">
      <w:pPr>
        <w:rPr>
          <w:rFonts w:cstheme="minorHAnsi"/>
          <w:sz w:val="22"/>
          <w:szCs w:val="22"/>
        </w:rPr>
      </w:pPr>
      <w:r w:rsidRPr="00D51CC3">
        <w:rPr>
          <w:rFonts w:cstheme="minorHAnsi"/>
          <w:sz w:val="22"/>
          <w:szCs w:val="22"/>
        </w:rPr>
        <w:t>To adjust and account for variation in OHP member characteristics over time and across CCBHC and non-CCBHC CMHP sites, a variety of OHP member characteristics were used. These included age groups</w:t>
      </w:r>
      <w:r w:rsidRPr="008631A8">
        <w:rPr>
          <w:rFonts w:cstheme="minorHAnsi"/>
          <w:sz w:val="22"/>
          <w:szCs w:val="22"/>
        </w:rPr>
        <w:t xml:space="preserve"> aligned with the Chronic Illness and Disability Payment System (CDPS) risk adjustor used, age in years, race/ethnicity, primary language, gender, </w:t>
      </w:r>
      <w:bookmarkStart w:id="68" w:name="_Hlk117426784"/>
      <w:r>
        <w:rPr>
          <w:sz w:val="22"/>
          <w:szCs w:val="22"/>
        </w:rPr>
        <w:t>urban/rural/remote</w:t>
      </w:r>
      <w:r w:rsidRPr="001E1433">
        <w:rPr>
          <w:sz w:val="22"/>
          <w:szCs w:val="22"/>
        </w:rPr>
        <w:t xml:space="preserve"> </w:t>
      </w:r>
      <w:r w:rsidRPr="008631A8">
        <w:rPr>
          <w:rFonts w:cstheme="minorHAnsi"/>
          <w:sz w:val="22"/>
          <w:szCs w:val="22"/>
        </w:rPr>
        <w:t>residence, quarterly enrollment pattern</w:t>
      </w:r>
      <w:bookmarkEnd w:id="68"/>
      <w:r w:rsidRPr="008631A8">
        <w:rPr>
          <w:rFonts w:cstheme="minorHAnsi"/>
          <w:sz w:val="22"/>
          <w:szCs w:val="22"/>
        </w:rPr>
        <w:t xml:space="preserve">, and prospective CDPS risk scores for physical, mental health and substance use conditions. </w:t>
      </w:r>
      <w:r>
        <w:rPr>
          <w:rFonts w:cstheme="minorHAnsi"/>
          <w:sz w:val="22"/>
          <w:szCs w:val="22"/>
        </w:rPr>
        <w:t xml:space="preserve">These </w:t>
      </w:r>
      <w:r w:rsidRPr="008631A8">
        <w:rPr>
          <w:rFonts w:cstheme="minorHAnsi"/>
          <w:sz w:val="22"/>
          <w:szCs w:val="22"/>
        </w:rPr>
        <w:t xml:space="preserve">measures were used to create propensity score matched samples at the study year level across the study period based on CCBHC service user characteristics in the second year of the first post-implementation period (April 1, 2018 to March 31, 2019). Matching was conducted separately for OHP members attributed to each of the nine CCBHCs in the study drawing matched individuals first from </w:t>
      </w:r>
      <w:r>
        <w:rPr>
          <w:sz w:val="22"/>
          <w:szCs w:val="22"/>
        </w:rPr>
        <w:t>regional/</w:t>
      </w:r>
      <w:r w:rsidRPr="008631A8">
        <w:rPr>
          <w:rFonts w:cstheme="minorHAnsi"/>
          <w:sz w:val="22"/>
          <w:szCs w:val="22"/>
        </w:rPr>
        <w:t xml:space="preserve">contiguous counties, and then the remaining non-CCBHC CMHP cohort as needed. Exact matching was used for age group, race/ethnicity, primary language, gender, </w:t>
      </w:r>
      <w:r w:rsidRPr="001E1433">
        <w:rPr>
          <w:sz w:val="22"/>
          <w:szCs w:val="22"/>
        </w:rPr>
        <w:t>urban</w:t>
      </w:r>
      <w:r>
        <w:rPr>
          <w:sz w:val="22"/>
          <w:szCs w:val="22"/>
        </w:rPr>
        <w:t>/rural/remote</w:t>
      </w:r>
      <w:r w:rsidRPr="001E1433">
        <w:rPr>
          <w:sz w:val="22"/>
          <w:szCs w:val="22"/>
        </w:rPr>
        <w:t xml:space="preserve"> </w:t>
      </w:r>
      <w:r w:rsidRPr="008631A8">
        <w:rPr>
          <w:rFonts w:cstheme="minorHAnsi"/>
          <w:sz w:val="22"/>
          <w:szCs w:val="22"/>
        </w:rPr>
        <w:t xml:space="preserve">residence, and quarterly enrollment pattern. Continuous (caliper) matching was applied to age in years and the prospective CDPS risk scores for physical, mental health and substance use conditions.  </w:t>
      </w:r>
    </w:p>
    <w:p w14:paraId="43EE2A27" w14:textId="77777777" w:rsidR="0096520E" w:rsidRPr="008631A8" w:rsidRDefault="0096520E" w:rsidP="0096520E">
      <w:pPr>
        <w:rPr>
          <w:rFonts w:cstheme="minorHAnsi"/>
          <w:sz w:val="22"/>
          <w:szCs w:val="22"/>
        </w:rPr>
      </w:pPr>
    </w:p>
    <w:p w14:paraId="22D405FE" w14:textId="77777777" w:rsidR="0096520E" w:rsidRPr="008631A8" w:rsidRDefault="0096520E" w:rsidP="0096520E">
      <w:pPr>
        <w:rPr>
          <w:rFonts w:cstheme="minorHAnsi"/>
          <w:sz w:val="22"/>
          <w:szCs w:val="22"/>
        </w:rPr>
      </w:pPr>
      <w:r w:rsidRPr="008631A8">
        <w:rPr>
          <w:rFonts w:cstheme="minorHAnsi"/>
          <w:sz w:val="22"/>
          <w:szCs w:val="22"/>
        </w:rPr>
        <w:t xml:space="preserve">The MHSIP data provided by OHA included data from adult and child/adolescent outpatient and residential surveys. For the purposes of this study, outpatient and residential survey results were combined for adults and child/adolescents separately, as the adult and child/adolescent surveys differ in content. The survey data included scores for survey domains </w:t>
      </w:r>
      <w:r>
        <w:rPr>
          <w:rFonts w:cstheme="minorHAnsi"/>
          <w:sz w:val="22"/>
          <w:szCs w:val="22"/>
        </w:rPr>
        <w:t>that</w:t>
      </w:r>
      <w:r w:rsidRPr="008631A8">
        <w:rPr>
          <w:rFonts w:cstheme="minorHAnsi"/>
          <w:sz w:val="22"/>
          <w:szCs w:val="22"/>
        </w:rPr>
        <w:t xml:space="preserve"> were computed as the mean of the Likert scores (1-5) across all questions associated with a domain. Satisfaction scores, aligned with the survey domains, were computed as the mean of the binary (0, 1) variable indicating whether a patient was or was not satisfied with the services under each domain. The domain and satisfaction scores constituted the outcomes used for this study. </w:t>
      </w:r>
    </w:p>
    <w:p w14:paraId="3AF6A35C" w14:textId="77777777" w:rsidR="0096520E" w:rsidRPr="008631A8" w:rsidRDefault="0096520E" w:rsidP="0096520E">
      <w:pPr>
        <w:rPr>
          <w:rFonts w:cstheme="minorHAnsi"/>
          <w:sz w:val="22"/>
          <w:szCs w:val="22"/>
        </w:rPr>
      </w:pPr>
    </w:p>
    <w:p w14:paraId="22E5E235" w14:textId="77777777" w:rsidR="0096520E" w:rsidRPr="008631A8" w:rsidRDefault="0096520E" w:rsidP="0096520E">
      <w:pPr>
        <w:rPr>
          <w:rFonts w:cstheme="minorHAnsi"/>
          <w:sz w:val="22"/>
          <w:szCs w:val="22"/>
        </w:rPr>
      </w:pPr>
      <w:r w:rsidRPr="008631A8">
        <w:rPr>
          <w:rFonts w:cstheme="minorHAnsi"/>
          <w:sz w:val="22"/>
          <w:szCs w:val="22"/>
        </w:rPr>
        <w:t xml:space="preserve">For the Adult Outpatient and Residential population, domain satisfaction scores were available for each of the following seven domains: Access to Services, Social Connectedness, General Satisfaction, Daily Functioning, Quality, Treatment Outcomes, and Participation. For the Child and Youth Outpatient and Residential population, domain and satisfaction scores were available for each of the following seven domains: Access to Services, Acceptability, Social Connectedness, Cultural Sensitivity, Daily Functioning, Treatment Outcomes, and Participation. </w:t>
      </w:r>
    </w:p>
    <w:p w14:paraId="1B02D145" w14:textId="77777777" w:rsidR="00A32A0E" w:rsidRPr="008631A8" w:rsidRDefault="00A32A0E" w:rsidP="00A32A0E">
      <w:pPr>
        <w:rPr>
          <w:rFonts w:cstheme="minorHAnsi"/>
          <w:sz w:val="22"/>
          <w:szCs w:val="22"/>
        </w:rPr>
      </w:pPr>
    </w:p>
    <w:p w14:paraId="5622F931" w14:textId="77777777" w:rsidR="00A32A0E" w:rsidRPr="00A32A0E" w:rsidRDefault="00A32A0E" w:rsidP="00A32A0E">
      <w:pPr>
        <w:spacing w:after="120"/>
        <w:rPr>
          <w:rFonts w:cstheme="minorHAnsi"/>
          <w:b/>
          <w:i/>
          <w:iCs/>
          <w:color w:val="6A7F0F"/>
          <w:sz w:val="22"/>
          <w:szCs w:val="22"/>
        </w:rPr>
      </w:pPr>
      <w:r w:rsidRPr="00A32A0E">
        <w:rPr>
          <w:rFonts w:cstheme="minorHAnsi"/>
          <w:b/>
          <w:i/>
          <w:iCs/>
          <w:color w:val="6A7F0F"/>
          <w:sz w:val="22"/>
          <w:szCs w:val="22"/>
        </w:rPr>
        <w:t>Analytic Methods</w:t>
      </w:r>
    </w:p>
    <w:p w14:paraId="7D51D296" w14:textId="77777777" w:rsidR="0096520E" w:rsidRPr="001E1433" w:rsidRDefault="0096520E" w:rsidP="0096520E">
      <w:pPr>
        <w:rPr>
          <w:sz w:val="22"/>
          <w:szCs w:val="22"/>
        </w:rPr>
      </w:pPr>
      <w:r w:rsidRPr="008631A8">
        <w:rPr>
          <w:rFonts w:cstheme="minorHAnsi"/>
          <w:sz w:val="22"/>
          <w:szCs w:val="22"/>
        </w:rPr>
        <w:t xml:space="preserve">Appropriate weighted regression analyses (ordinary least squares [OLS], exponential, logistic, Poisson) were conducted across the set of outcome measures on the matched samples. All regressions included binary measures indicating observations in the first or second post-implementation periods, the matching variables noted above, and fixed effects for specific CCBHC and non-CCBHC attributed site and time period (quarter). Standard errors were adjusted for repeated measures across individuals. The main reported results are the “difference-in-difference” coefficients for the first and second post-implementation periods noted above. These coefficients represent the extent of pre- to post-implementation change or impact attributable to CCBHC implementation (i.e., after accounting for contemporaneous change in the non-CCBHC sample). </w:t>
      </w:r>
      <w:r w:rsidRPr="001E1433">
        <w:rPr>
          <w:sz w:val="22"/>
          <w:szCs w:val="22"/>
        </w:rPr>
        <w:t xml:space="preserve">All </w:t>
      </w:r>
      <w:r>
        <w:rPr>
          <w:sz w:val="22"/>
          <w:szCs w:val="22"/>
        </w:rPr>
        <w:t xml:space="preserve">cost and utilization </w:t>
      </w:r>
      <w:r w:rsidRPr="001E1433">
        <w:rPr>
          <w:sz w:val="22"/>
          <w:szCs w:val="22"/>
        </w:rPr>
        <w:t>implementation effects are reported as percentage change from baseline.</w:t>
      </w:r>
      <w:r>
        <w:rPr>
          <w:sz w:val="22"/>
          <w:szCs w:val="22"/>
        </w:rPr>
        <w:t xml:space="preserve"> MHSIP domain score changes represent change in the average (1-5) Likert score. MHSIP satisfaction score changes can be interpreted as the percentage point change in individuals indicating positive satisfaction.</w:t>
      </w:r>
    </w:p>
    <w:p w14:paraId="4708BB8E" w14:textId="77777777" w:rsidR="0096520E" w:rsidRPr="008631A8" w:rsidRDefault="0096520E" w:rsidP="0096520E">
      <w:pPr>
        <w:rPr>
          <w:rFonts w:cstheme="minorHAnsi"/>
          <w:sz w:val="22"/>
          <w:szCs w:val="22"/>
        </w:rPr>
      </w:pPr>
    </w:p>
    <w:p w14:paraId="35100231" w14:textId="77777777" w:rsidR="0096520E" w:rsidRDefault="0096520E" w:rsidP="0096520E">
      <w:pPr>
        <w:rPr>
          <w:sz w:val="22"/>
          <w:szCs w:val="22"/>
        </w:rPr>
      </w:pPr>
      <w:r w:rsidRPr="001E1433">
        <w:rPr>
          <w:sz w:val="22"/>
          <w:szCs w:val="22"/>
        </w:rPr>
        <w:t xml:space="preserve">To identify equity </w:t>
      </w:r>
      <w:r>
        <w:rPr>
          <w:sz w:val="22"/>
          <w:szCs w:val="22"/>
        </w:rPr>
        <w:t xml:space="preserve">(race/ethnicity) and geographic (urban/rural/remote) </w:t>
      </w:r>
      <w:r w:rsidRPr="001E1433">
        <w:rPr>
          <w:sz w:val="22"/>
          <w:szCs w:val="22"/>
        </w:rPr>
        <w:t>effects across the cost/utilization and MHSIP outcome measures, regression model</w:t>
      </w:r>
      <w:r>
        <w:rPr>
          <w:sz w:val="22"/>
          <w:szCs w:val="22"/>
        </w:rPr>
        <w:t>s were run on samples of individuals meeting the specific race/ethnicity or geographic criteria</w:t>
      </w:r>
      <w:r w:rsidRPr="001E1433">
        <w:rPr>
          <w:sz w:val="22"/>
          <w:szCs w:val="22"/>
        </w:rPr>
        <w:t>.</w:t>
      </w:r>
      <w:r>
        <w:rPr>
          <w:sz w:val="22"/>
          <w:szCs w:val="22"/>
        </w:rPr>
        <w:t xml:space="preserve"> Some of these categories were too limited in sample size to credibly analyze. Remote area residents were combined with rural area residents throughout. Within race/ethnicity, American Indian/Alaskan Native, Black/African American, Hispanic/Latino/a/x and White were identified as large enough to separately analyze. Asian, Middle Eastern/North African, Native Hawaiian/Pacific Islander, Other, Multi-ethnic, and Unknown groups were combined into a single category.</w:t>
      </w:r>
    </w:p>
    <w:p w14:paraId="4230CFD7" w14:textId="77777777" w:rsidR="0096520E" w:rsidRDefault="0096520E" w:rsidP="0096520E">
      <w:pPr>
        <w:rPr>
          <w:sz w:val="22"/>
          <w:szCs w:val="22"/>
        </w:rPr>
      </w:pPr>
    </w:p>
    <w:p w14:paraId="65A2543A" w14:textId="0E45A0C0" w:rsidR="0096520E" w:rsidRDefault="0096520E" w:rsidP="0096520E">
      <w:pPr>
        <w:rPr>
          <w:sz w:val="22"/>
          <w:szCs w:val="22"/>
        </w:rPr>
      </w:pPr>
      <w:r>
        <w:rPr>
          <w:sz w:val="22"/>
          <w:szCs w:val="22"/>
        </w:rPr>
        <w:t xml:space="preserve">As illustrated in </w:t>
      </w:r>
      <w:hyperlink w:anchor="_Appendix_7:_Additional" w:history="1">
        <w:r w:rsidRPr="00A35AAA">
          <w:rPr>
            <w:rStyle w:val="Hyperlink"/>
            <w:sz w:val="22"/>
            <w:szCs w:val="22"/>
          </w:rPr>
          <w:t>Appendix 7</w:t>
        </w:r>
      </w:hyperlink>
      <w:r>
        <w:rPr>
          <w:sz w:val="22"/>
          <w:szCs w:val="22"/>
        </w:rPr>
        <w:t>, where specific results for these groups are provided, some findings for specific race/ethnicity groups include unusually large increases or decreases in some of the service types which may reflect their limited sample sizes. These results are selectively not reported (NR) given concerns that they may not accurately reflect true effects. In addition, there is limited reference to findings for the combined “all other race/ethnicity” group as there is some instability in the “unknow” category over time and given difficulty in meaningfully interpreting the results across the multiple identities included.</w:t>
      </w:r>
    </w:p>
    <w:p w14:paraId="6C73651E" w14:textId="77777777" w:rsidR="00A32A0E" w:rsidRDefault="00A32A0E" w:rsidP="00A32A0E">
      <w:pPr>
        <w:rPr>
          <w:rFonts w:cstheme="minorHAnsi"/>
          <w:b/>
          <w:bCs/>
          <w:sz w:val="22"/>
          <w:szCs w:val="22"/>
        </w:rPr>
      </w:pPr>
    </w:p>
    <w:p w14:paraId="62B37097" w14:textId="39A069FE" w:rsidR="00A32A0E" w:rsidRPr="00A32A0E" w:rsidRDefault="0096520E" w:rsidP="00A32A0E">
      <w:pPr>
        <w:spacing w:after="120"/>
        <w:rPr>
          <w:rFonts w:cstheme="minorHAnsi"/>
          <w:b/>
          <w:bCs/>
          <w:color w:val="6A7F0F"/>
          <w:sz w:val="22"/>
          <w:szCs w:val="22"/>
        </w:rPr>
      </w:pPr>
      <w:r>
        <w:rPr>
          <w:rFonts w:cstheme="minorHAnsi"/>
          <w:b/>
          <w:bCs/>
          <w:color w:val="6A7F0F"/>
          <w:sz w:val="22"/>
          <w:szCs w:val="22"/>
        </w:rPr>
        <w:t>Citations for Methodology</w:t>
      </w:r>
      <w:r w:rsidR="00C5217E">
        <w:rPr>
          <w:rFonts w:cstheme="minorHAnsi"/>
          <w:b/>
          <w:bCs/>
          <w:color w:val="6A7F0F"/>
          <w:sz w:val="22"/>
          <w:szCs w:val="22"/>
        </w:rPr>
        <w:t xml:space="preserve"> Appendix</w:t>
      </w:r>
    </w:p>
    <w:p w14:paraId="11D91C33" w14:textId="77777777" w:rsidR="00323FC9" w:rsidRDefault="00323FC9" w:rsidP="00323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5D55DF">
        <w:rPr>
          <w:rFonts w:cstheme="minorHAnsi"/>
          <w:color w:val="000000"/>
          <w:sz w:val="22"/>
          <w:szCs w:val="22"/>
        </w:rPr>
        <w:t xml:space="preserve">Equitable Evaluation Initiative. (n.d.). “Equitable Evaluation Framework.”  </w:t>
      </w:r>
      <w:hyperlink r:id="rId141" w:history="1">
        <w:r w:rsidRPr="0098201D">
          <w:rPr>
            <w:rStyle w:val="Hyperlink"/>
            <w:rFonts w:cstheme="minorHAnsi"/>
            <w:sz w:val="22"/>
            <w:szCs w:val="22"/>
          </w:rPr>
          <w:t>https://www.equitableeval.org/framework</w:t>
        </w:r>
      </w:hyperlink>
    </w:p>
    <w:p w14:paraId="511B8FD7" w14:textId="77777777" w:rsidR="00323FC9" w:rsidRPr="005D55DF" w:rsidRDefault="00323FC9" w:rsidP="00323FC9">
      <w:pPr>
        <w:rPr>
          <w:rFonts w:cstheme="minorHAnsi"/>
          <w:sz w:val="22"/>
          <w:szCs w:val="22"/>
        </w:rPr>
      </w:pPr>
    </w:p>
    <w:p w14:paraId="296A179A" w14:textId="77777777" w:rsidR="00323FC9" w:rsidRPr="003F6306" w:rsidRDefault="00323FC9" w:rsidP="00323FC9">
      <w:pPr>
        <w:rPr>
          <w:rFonts w:cstheme="minorHAnsi"/>
          <w:sz w:val="22"/>
          <w:szCs w:val="22"/>
        </w:rPr>
      </w:pPr>
      <w:r w:rsidRPr="003F6306">
        <w:rPr>
          <w:rFonts w:cstheme="minorHAnsi"/>
          <w:sz w:val="22"/>
          <w:szCs w:val="22"/>
        </w:rPr>
        <w:t>Gelmon, S.B., Foucek, A.</w:t>
      </w:r>
      <w:r>
        <w:rPr>
          <w:rFonts w:cstheme="minorHAnsi"/>
          <w:sz w:val="22"/>
          <w:szCs w:val="22"/>
        </w:rPr>
        <w:t>,</w:t>
      </w:r>
      <w:r w:rsidRPr="003F6306">
        <w:rPr>
          <w:rFonts w:cstheme="minorHAnsi"/>
          <w:sz w:val="22"/>
          <w:szCs w:val="22"/>
        </w:rPr>
        <w:t xml:space="preserve"> and Waterbury, A. (2005).  </w:t>
      </w:r>
      <w:r w:rsidRPr="003F6306">
        <w:rPr>
          <w:rFonts w:cstheme="minorHAnsi"/>
          <w:sz w:val="22"/>
          <w:szCs w:val="22"/>
          <w:u w:val="single"/>
        </w:rPr>
        <w:t>Program Evaluation: Principles and Practices</w:t>
      </w:r>
      <w:r w:rsidRPr="003F6306">
        <w:rPr>
          <w:rFonts w:cstheme="minorHAnsi"/>
          <w:sz w:val="22"/>
          <w:szCs w:val="22"/>
        </w:rPr>
        <w:t>. 2</w:t>
      </w:r>
      <w:r w:rsidRPr="003F6306">
        <w:rPr>
          <w:rFonts w:cstheme="minorHAnsi"/>
          <w:sz w:val="22"/>
          <w:szCs w:val="22"/>
          <w:vertAlign w:val="superscript"/>
        </w:rPr>
        <w:t>nd</w:t>
      </w:r>
      <w:r w:rsidRPr="003F6306">
        <w:rPr>
          <w:rFonts w:cstheme="minorHAnsi"/>
          <w:sz w:val="22"/>
          <w:szCs w:val="22"/>
        </w:rPr>
        <w:t xml:space="preserve"> Edition. Northwest Health Foundation. </w:t>
      </w:r>
    </w:p>
    <w:p w14:paraId="66184962" w14:textId="77777777" w:rsidR="00323FC9" w:rsidRPr="003F6306" w:rsidRDefault="00323FC9" w:rsidP="00323FC9">
      <w:pPr>
        <w:rPr>
          <w:rFonts w:cstheme="minorHAnsi"/>
          <w:sz w:val="22"/>
          <w:szCs w:val="22"/>
        </w:rPr>
      </w:pPr>
    </w:p>
    <w:p w14:paraId="4CC417A8" w14:textId="77777777" w:rsidR="00323FC9" w:rsidRPr="003F6306" w:rsidRDefault="00323FC9" w:rsidP="00323FC9">
      <w:pPr>
        <w:rPr>
          <w:rFonts w:cstheme="minorHAnsi"/>
          <w:sz w:val="22"/>
          <w:szCs w:val="22"/>
        </w:rPr>
      </w:pPr>
      <w:r w:rsidRPr="003F6306">
        <w:rPr>
          <w:rFonts w:cstheme="minorHAnsi"/>
          <w:sz w:val="22"/>
          <w:szCs w:val="22"/>
        </w:rPr>
        <w:t xml:space="preserve">Glasgow, R.E., Vogt, T.M. and Boles, S.M. (1999). “Evaluating the Public Health Impact of Health Promotion Interventions: The RE-AIM Framework.” </w:t>
      </w:r>
      <w:r w:rsidRPr="003F6306">
        <w:rPr>
          <w:rFonts w:cstheme="minorHAnsi"/>
          <w:sz w:val="22"/>
          <w:szCs w:val="22"/>
          <w:u w:val="single"/>
        </w:rPr>
        <w:t>American Journal of Public Health</w:t>
      </w:r>
      <w:r w:rsidRPr="003F6306">
        <w:rPr>
          <w:rFonts w:cstheme="minorHAnsi"/>
          <w:sz w:val="22"/>
          <w:szCs w:val="22"/>
        </w:rPr>
        <w:t xml:space="preserve"> 89 (#9, 1999): 1322-1327.</w:t>
      </w:r>
    </w:p>
    <w:p w14:paraId="19CC66D1" w14:textId="77777777" w:rsidR="00323FC9" w:rsidRPr="003F6306" w:rsidRDefault="00323FC9" w:rsidP="00323FC9">
      <w:pPr>
        <w:rPr>
          <w:rFonts w:cstheme="minorHAnsi"/>
          <w:sz w:val="22"/>
          <w:szCs w:val="22"/>
        </w:rPr>
      </w:pPr>
    </w:p>
    <w:p w14:paraId="51913126" w14:textId="77777777" w:rsidR="00323FC9" w:rsidRPr="005D55DF" w:rsidRDefault="00323FC9" w:rsidP="00323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5D55DF">
        <w:rPr>
          <w:rFonts w:cstheme="minorHAnsi"/>
          <w:color w:val="000000"/>
          <w:sz w:val="22"/>
          <w:szCs w:val="22"/>
        </w:rPr>
        <w:t xml:space="preserve">Oregon Health Authority. (2021b). </w:t>
      </w:r>
      <w:r w:rsidRPr="008F4C50">
        <w:rPr>
          <w:rFonts w:cstheme="minorHAnsi"/>
          <w:sz w:val="22"/>
          <w:szCs w:val="22"/>
        </w:rPr>
        <w:t>“</w:t>
      </w:r>
      <w:r w:rsidRPr="005D55DF">
        <w:rPr>
          <w:rFonts w:cstheme="minorHAnsi"/>
          <w:color w:val="000000"/>
          <w:sz w:val="22"/>
          <w:szCs w:val="22"/>
        </w:rPr>
        <w:t xml:space="preserve">Health Care Workforce Committee Equity Framework: Report to the </w:t>
      </w:r>
    </w:p>
    <w:p w14:paraId="4A1754BF" w14:textId="77777777" w:rsidR="00323FC9" w:rsidRPr="005D55DF" w:rsidRDefault="00323FC9" w:rsidP="00323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5D55DF">
        <w:rPr>
          <w:rFonts w:cstheme="minorHAnsi"/>
          <w:color w:val="000000"/>
          <w:sz w:val="22"/>
          <w:szCs w:val="22"/>
        </w:rPr>
        <w:t xml:space="preserve">Oregon Health Policy Board.” </w:t>
      </w:r>
      <w:hyperlink r:id="rId142" w:history="1">
        <w:r w:rsidRPr="005D55DF">
          <w:rPr>
            <w:rStyle w:val="Hyperlink"/>
            <w:rFonts w:cstheme="minorHAnsi"/>
            <w:sz w:val="22"/>
            <w:szCs w:val="22"/>
          </w:rPr>
          <w:t>https://www.oregon.gov/oha/HPA/HP-HCW/Documents/HCWF-Committee-Equity-Framework-Report-final-Oct-2021.pdf</w:t>
        </w:r>
      </w:hyperlink>
      <w:r w:rsidRPr="005D55DF">
        <w:rPr>
          <w:rFonts w:cstheme="minorHAnsi"/>
          <w:color w:val="000000"/>
          <w:sz w:val="22"/>
          <w:szCs w:val="22"/>
        </w:rPr>
        <w:t xml:space="preserve"> </w:t>
      </w:r>
    </w:p>
    <w:p w14:paraId="7C1B0A56" w14:textId="77777777" w:rsidR="00323FC9" w:rsidRPr="005D55DF" w:rsidRDefault="00323FC9" w:rsidP="00323FC9">
      <w:pPr>
        <w:rPr>
          <w:rFonts w:cstheme="minorHAnsi"/>
          <w:sz w:val="22"/>
          <w:szCs w:val="22"/>
        </w:rPr>
      </w:pPr>
    </w:p>
    <w:p w14:paraId="3468751C" w14:textId="77777777" w:rsidR="00323FC9" w:rsidRPr="003F6306" w:rsidRDefault="00323FC9" w:rsidP="00323FC9">
      <w:pPr>
        <w:rPr>
          <w:rStyle w:val="Hyperlink"/>
          <w:rFonts w:cstheme="minorHAnsi"/>
          <w:sz w:val="22"/>
          <w:szCs w:val="22"/>
        </w:rPr>
      </w:pPr>
      <w:r w:rsidRPr="003F6306">
        <w:rPr>
          <w:rFonts w:cstheme="minorHAnsi"/>
          <w:sz w:val="22"/>
          <w:szCs w:val="22"/>
        </w:rPr>
        <w:t xml:space="preserve">Substance Abuse and Mental Health Services Administration (SAMHSA). (2020). </w:t>
      </w:r>
      <w:r w:rsidRPr="003F6306">
        <w:rPr>
          <w:rFonts w:cstheme="minorHAnsi"/>
          <w:sz w:val="22"/>
          <w:szCs w:val="22"/>
          <w:u w:val="single"/>
        </w:rPr>
        <w:t>Key Substance Use and Mental Health Indicators in the United States: Results from the 2019 National Survey on Drug Use and Health</w:t>
      </w:r>
      <w:r w:rsidRPr="003F6306">
        <w:rPr>
          <w:rFonts w:cstheme="minorHAnsi"/>
          <w:sz w:val="22"/>
          <w:szCs w:val="22"/>
        </w:rPr>
        <w:t xml:space="preserve">. Center for Behavioral Health Statistics and Quality, Substance Abuse and Mental Health Services Administration. HHS Publication No. PEP20-07-01-001, NSDUH Series H-55. Retrieved from </w:t>
      </w:r>
      <w:hyperlink r:id="rId143" w:tgtFrame="_blank" w:history="1">
        <w:r w:rsidRPr="003F6306">
          <w:rPr>
            <w:rStyle w:val="Hyperlink"/>
            <w:rFonts w:cstheme="minorHAnsi"/>
            <w:sz w:val="22"/>
            <w:szCs w:val="22"/>
          </w:rPr>
          <w:t>https://www.samhsa.gov/data/</w:t>
        </w:r>
      </w:hyperlink>
    </w:p>
    <w:p w14:paraId="2661945B" w14:textId="77777777" w:rsidR="00323FC9" w:rsidRPr="003F6306" w:rsidRDefault="00323FC9" w:rsidP="00323FC9">
      <w:pPr>
        <w:rPr>
          <w:rStyle w:val="Hyperlink"/>
          <w:rFonts w:cstheme="minorHAnsi"/>
          <w:sz w:val="22"/>
          <w:szCs w:val="22"/>
        </w:rPr>
      </w:pPr>
    </w:p>
    <w:p w14:paraId="08853117" w14:textId="77777777" w:rsidR="00323FC9" w:rsidRPr="005D55DF" w:rsidRDefault="00323FC9" w:rsidP="00323FC9">
      <w:pPr>
        <w:autoSpaceDE w:val="0"/>
        <w:autoSpaceDN w:val="0"/>
        <w:adjustRightInd w:val="0"/>
        <w:rPr>
          <w:rFonts w:cstheme="minorHAnsi"/>
          <w:color w:val="000000" w:themeColor="text1"/>
          <w:sz w:val="22"/>
          <w:szCs w:val="22"/>
        </w:rPr>
      </w:pPr>
      <w:r w:rsidRPr="005D55DF">
        <w:rPr>
          <w:rFonts w:cstheme="minorHAnsi"/>
          <w:color w:val="000000" w:themeColor="text1"/>
          <w:sz w:val="22"/>
          <w:szCs w:val="22"/>
        </w:rPr>
        <w:t xml:space="preserve">W.K. Kellogg Foundation. (2021). “Doing Evaluation in Service of Racial Equity.” </w:t>
      </w:r>
      <w:hyperlink r:id="rId144" w:history="1">
        <w:r w:rsidRPr="005D55DF">
          <w:rPr>
            <w:rStyle w:val="Hyperlink"/>
            <w:rFonts w:cstheme="minorHAnsi"/>
            <w:sz w:val="22"/>
            <w:szCs w:val="22"/>
          </w:rPr>
          <w:t>https://everychildthrives.com/doing-evaluation-in-service-of-racial-equity/</w:t>
        </w:r>
      </w:hyperlink>
    </w:p>
    <w:p w14:paraId="78B90483" w14:textId="77777777" w:rsidR="00323FC9" w:rsidRPr="005D55DF" w:rsidRDefault="00323FC9" w:rsidP="00323FC9">
      <w:pPr>
        <w:rPr>
          <w:rFonts w:cstheme="minorHAnsi"/>
          <w:sz w:val="22"/>
          <w:szCs w:val="22"/>
        </w:rPr>
      </w:pPr>
    </w:p>
    <w:p w14:paraId="6CEF0887" w14:textId="77777777" w:rsidR="00323FC9" w:rsidRPr="005D55DF" w:rsidRDefault="00323FC9" w:rsidP="00323FC9">
      <w:pPr>
        <w:autoSpaceDE w:val="0"/>
        <w:autoSpaceDN w:val="0"/>
        <w:adjustRightInd w:val="0"/>
        <w:rPr>
          <w:rFonts w:cstheme="minorHAnsi"/>
          <w:sz w:val="22"/>
          <w:szCs w:val="22"/>
        </w:rPr>
      </w:pPr>
      <w:r w:rsidRPr="005D55DF">
        <w:rPr>
          <w:rFonts w:cstheme="minorHAnsi"/>
          <w:color w:val="000000" w:themeColor="text1"/>
          <w:sz w:val="22"/>
          <w:szCs w:val="22"/>
        </w:rPr>
        <w:t>Yearby, R. (2020). “</w:t>
      </w:r>
      <w:r w:rsidRPr="005D55DF">
        <w:rPr>
          <w:rFonts w:cstheme="minorHAnsi"/>
          <w:sz w:val="22"/>
          <w:szCs w:val="22"/>
        </w:rPr>
        <w:t xml:space="preserve">Structural Racism and Health Disparities: Reconfiguring the Social Determinants of Health Framework to Include the Root Cause.” </w:t>
      </w:r>
      <w:r w:rsidRPr="005D55DF">
        <w:rPr>
          <w:rFonts w:cstheme="minorHAnsi"/>
          <w:sz w:val="22"/>
          <w:szCs w:val="22"/>
          <w:u w:val="single"/>
        </w:rPr>
        <w:t>The Journal of Law, Medicine &amp; Ethics</w:t>
      </w:r>
      <w:r w:rsidRPr="005D55DF">
        <w:rPr>
          <w:rFonts w:cstheme="minorHAnsi"/>
          <w:sz w:val="22"/>
          <w:szCs w:val="22"/>
        </w:rPr>
        <w:t xml:space="preserve"> 48 (2020): 518-526. </w:t>
      </w:r>
    </w:p>
    <w:p w14:paraId="722D27DD" w14:textId="77777777" w:rsidR="00A32A0E" w:rsidRDefault="00A32A0E"/>
    <w:p w14:paraId="1B6B3EDA" w14:textId="677798C8" w:rsidR="001D23F4" w:rsidRDefault="001D23F4">
      <w:r>
        <w:br w:type="page"/>
      </w:r>
    </w:p>
    <w:p w14:paraId="31070762" w14:textId="756E4ABB" w:rsidR="00DE38DB" w:rsidRPr="00000D4B" w:rsidRDefault="00DE38DB" w:rsidP="00A460F8">
      <w:pPr>
        <w:pStyle w:val="Heading2"/>
        <w:jc w:val="center"/>
        <w:rPr>
          <w:rFonts w:asciiTheme="minorHAnsi" w:hAnsiTheme="minorHAnsi" w:cstheme="minorHAnsi"/>
          <w:b/>
          <w:bCs/>
          <w:color w:val="6A7F0F"/>
        </w:rPr>
      </w:pPr>
      <w:bookmarkStart w:id="69" w:name="_Appendix_4:_Extended"/>
      <w:bookmarkStart w:id="70" w:name="_Toc126068195"/>
      <w:bookmarkEnd w:id="69"/>
      <w:r w:rsidRPr="00000D4B">
        <w:rPr>
          <w:rFonts w:asciiTheme="minorHAnsi" w:hAnsiTheme="minorHAnsi" w:cstheme="minorHAnsi"/>
          <w:b/>
          <w:bCs/>
          <w:color w:val="6A7F0F"/>
        </w:rPr>
        <w:t>Appendix 4</w:t>
      </w:r>
      <w:r w:rsidR="00A460F8" w:rsidRPr="00000D4B">
        <w:rPr>
          <w:rFonts w:asciiTheme="minorHAnsi" w:hAnsiTheme="minorHAnsi" w:cstheme="minorHAnsi"/>
          <w:b/>
          <w:bCs/>
          <w:color w:val="6A7F0F"/>
        </w:rPr>
        <w:t>: Extended Report of Feedback from CCBHC Service Users</w:t>
      </w:r>
      <w:bookmarkEnd w:id="70"/>
    </w:p>
    <w:p w14:paraId="2F6CB095" w14:textId="77777777" w:rsidR="00A32A0E" w:rsidRDefault="00A32A0E" w:rsidP="00A32A0E">
      <w:pPr>
        <w:rPr>
          <w:rFonts w:cstheme="minorHAnsi"/>
          <w:bCs/>
          <w:sz w:val="22"/>
          <w:szCs w:val="22"/>
        </w:rPr>
      </w:pPr>
    </w:p>
    <w:p w14:paraId="02451126" w14:textId="23DB856C" w:rsidR="00323FC9" w:rsidRPr="00681CF1" w:rsidRDefault="00323FC9" w:rsidP="00323FC9">
      <w:pPr>
        <w:rPr>
          <w:rFonts w:ascii="Calibri" w:eastAsia="Calibri" w:hAnsi="Calibri" w:cs="Calibri"/>
          <w:bCs/>
          <w:sz w:val="22"/>
          <w:szCs w:val="22"/>
          <w:lang w:val="en"/>
        </w:rPr>
      </w:pPr>
      <w:r>
        <w:rPr>
          <w:rFonts w:cstheme="minorHAnsi"/>
          <w:bCs/>
          <w:sz w:val="22"/>
          <w:szCs w:val="22"/>
        </w:rPr>
        <w:t xml:space="preserve">This extended report of feedback from CCBHC service users provides a summary of the themes that emerged from the service user focus groups and survey. </w:t>
      </w:r>
      <w:r w:rsidRPr="00681CF1">
        <w:rPr>
          <w:rFonts w:ascii="Calibri" w:eastAsia="Calibri" w:hAnsi="Calibri" w:cs="Calibri"/>
          <w:bCs/>
          <w:sz w:val="22"/>
          <w:szCs w:val="22"/>
          <w:lang w:val="en"/>
        </w:rPr>
        <w:t xml:space="preserve">Data collection methods and analysis are </w:t>
      </w:r>
      <w:r>
        <w:rPr>
          <w:rFonts w:ascii="Calibri" w:eastAsia="Calibri" w:hAnsi="Calibri" w:cs="Calibri"/>
          <w:bCs/>
          <w:sz w:val="22"/>
          <w:szCs w:val="22"/>
          <w:lang w:val="en"/>
        </w:rPr>
        <w:t>describ</w:t>
      </w:r>
      <w:r w:rsidRPr="00681CF1">
        <w:rPr>
          <w:rFonts w:ascii="Calibri" w:eastAsia="Calibri" w:hAnsi="Calibri" w:cs="Calibri"/>
          <w:bCs/>
          <w:sz w:val="22"/>
          <w:szCs w:val="22"/>
          <w:lang w:val="en"/>
        </w:rPr>
        <w:t xml:space="preserve">ed in detail in </w:t>
      </w:r>
      <w:hyperlink w:anchor="_Appendix_3:_Detailed" w:history="1">
        <w:r w:rsidRPr="00323FC9">
          <w:rPr>
            <w:rStyle w:val="Hyperlink"/>
            <w:rFonts w:ascii="Calibri" w:eastAsia="Calibri" w:hAnsi="Calibri" w:cs="Calibri"/>
            <w:bCs/>
            <w:sz w:val="22"/>
            <w:szCs w:val="22"/>
            <w:lang w:val="en"/>
          </w:rPr>
          <w:t>Appendix 3</w:t>
        </w:r>
      </w:hyperlink>
      <w:r w:rsidRPr="00681CF1">
        <w:rPr>
          <w:rFonts w:ascii="Calibri" w:eastAsia="Calibri" w:hAnsi="Calibri" w:cs="Calibri"/>
          <w:bCs/>
          <w:sz w:val="22"/>
          <w:szCs w:val="22"/>
          <w:lang w:val="en"/>
        </w:rPr>
        <w:t>.</w:t>
      </w:r>
    </w:p>
    <w:p w14:paraId="4E45311F" w14:textId="77777777" w:rsidR="00A32A0E" w:rsidRDefault="00A32A0E" w:rsidP="00A32A0E">
      <w:pPr>
        <w:rPr>
          <w:rFonts w:cstheme="minorHAnsi"/>
          <w:bCs/>
          <w:sz w:val="22"/>
          <w:szCs w:val="22"/>
        </w:rPr>
      </w:pPr>
    </w:p>
    <w:p w14:paraId="4F7A5AA3" w14:textId="77777777" w:rsidR="00A32A0E" w:rsidRPr="00A17C4D" w:rsidRDefault="00A32A0E" w:rsidP="00A17C4D">
      <w:pPr>
        <w:spacing w:after="120"/>
        <w:rPr>
          <w:b/>
          <w:bCs/>
          <w:i/>
          <w:iCs/>
          <w:color w:val="6A7F0F"/>
          <w:highlight w:val="white"/>
        </w:rPr>
      </w:pPr>
      <w:bookmarkStart w:id="71" w:name="_Service_Users"/>
      <w:bookmarkEnd w:id="71"/>
      <w:r w:rsidRPr="00A17C4D">
        <w:rPr>
          <w:b/>
          <w:bCs/>
          <w:i/>
          <w:iCs/>
          <w:color w:val="6A7F0F"/>
          <w:highlight w:val="white"/>
        </w:rPr>
        <w:t>Service Users</w:t>
      </w:r>
    </w:p>
    <w:p w14:paraId="3237595C" w14:textId="13426382" w:rsidR="00323FC9" w:rsidRDefault="00323FC9" w:rsidP="00323FC9">
      <w:pPr>
        <w:rPr>
          <w:rFonts w:cstheme="minorHAnsi"/>
          <w:sz w:val="22"/>
          <w:szCs w:val="22"/>
        </w:rPr>
      </w:pPr>
      <w:bookmarkStart w:id="72" w:name="Appendix4_Table_A41"/>
      <w:r w:rsidRPr="008C0CAD">
        <w:rPr>
          <w:rFonts w:cstheme="minorHAnsi"/>
          <w:sz w:val="22"/>
          <w:szCs w:val="22"/>
        </w:rPr>
        <w:t xml:space="preserve">While not all service users who participated in a focus group or completed the online survey volunteered the duration of their relationship with their clinic, most who offered this information had </w:t>
      </w:r>
      <w:r w:rsidR="00C5217E">
        <w:rPr>
          <w:rFonts w:cstheme="minorHAnsi"/>
          <w:sz w:val="22"/>
          <w:szCs w:val="22"/>
        </w:rPr>
        <w:t>access</w:t>
      </w:r>
      <w:r w:rsidRPr="008C0CAD">
        <w:rPr>
          <w:rFonts w:cstheme="minorHAnsi"/>
          <w:sz w:val="22"/>
          <w:szCs w:val="22"/>
        </w:rPr>
        <w:t xml:space="preserve">ed services at their CCBHC </w:t>
      </w:r>
      <w:r w:rsidR="00C5217E">
        <w:rPr>
          <w:rFonts w:cstheme="minorHAnsi"/>
          <w:sz w:val="22"/>
          <w:szCs w:val="22"/>
        </w:rPr>
        <w:t xml:space="preserve">clinic </w:t>
      </w:r>
      <w:r w:rsidRPr="008C0CAD">
        <w:rPr>
          <w:rFonts w:cstheme="minorHAnsi"/>
          <w:sz w:val="22"/>
          <w:szCs w:val="22"/>
        </w:rPr>
        <w:t xml:space="preserve">prior to implementation of the demonstration program. Of the 27 service users who participated in </w:t>
      </w:r>
      <w:r w:rsidR="00C5217E">
        <w:rPr>
          <w:rFonts w:cstheme="minorHAnsi"/>
          <w:sz w:val="22"/>
          <w:szCs w:val="22"/>
        </w:rPr>
        <w:t>one of the</w:t>
      </w:r>
      <w:r w:rsidRPr="008C0CAD">
        <w:rPr>
          <w:rFonts w:cstheme="minorHAnsi"/>
          <w:sz w:val="22"/>
          <w:szCs w:val="22"/>
        </w:rPr>
        <w:t xml:space="preserve"> focus group</w:t>
      </w:r>
      <w:r w:rsidR="00C5217E">
        <w:rPr>
          <w:rFonts w:cstheme="minorHAnsi"/>
          <w:sz w:val="22"/>
          <w:szCs w:val="22"/>
        </w:rPr>
        <w:t>s</w:t>
      </w:r>
      <w:r w:rsidRPr="008C0CAD">
        <w:rPr>
          <w:rFonts w:cstheme="minorHAnsi"/>
          <w:sz w:val="22"/>
          <w:szCs w:val="22"/>
        </w:rPr>
        <w:t xml:space="preserve">, </w:t>
      </w:r>
      <w:r>
        <w:rPr>
          <w:rFonts w:cstheme="minorHAnsi"/>
          <w:sz w:val="22"/>
          <w:szCs w:val="22"/>
        </w:rPr>
        <w:t>five</w:t>
      </w:r>
      <w:r w:rsidRPr="008C0CAD">
        <w:rPr>
          <w:rFonts w:cstheme="minorHAnsi"/>
          <w:sz w:val="22"/>
          <w:szCs w:val="22"/>
        </w:rPr>
        <w:t xml:space="preserve"> reported </w:t>
      </w:r>
      <w:r w:rsidR="00C5217E">
        <w:rPr>
          <w:rFonts w:cstheme="minorHAnsi"/>
          <w:sz w:val="22"/>
          <w:szCs w:val="22"/>
        </w:rPr>
        <w:t>access</w:t>
      </w:r>
      <w:r w:rsidRPr="008C0CAD">
        <w:rPr>
          <w:rFonts w:cstheme="minorHAnsi"/>
          <w:sz w:val="22"/>
          <w:szCs w:val="22"/>
        </w:rPr>
        <w:t xml:space="preserve">ing services at the clinic for less than five years, 12 reported </w:t>
      </w:r>
      <w:r w:rsidR="00C5217E">
        <w:rPr>
          <w:rFonts w:cstheme="minorHAnsi"/>
          <w:sz w:val="22"/>
          <w:szCs w:val="22"/>
        </w:rPr>
        <w:t>access</w:t>
      </w:r>
      <w:r w:rsidRPr="008C0CAD">
        <w:rPr>
          <w:rFonts w:cstheme="minorHAnsi"/>
          <w:sz w:val="22"/>
          <w:szCs w:val="22"/>
        </w:rPr>
        <w:t xml:space="preserve">ing services between five and 10 years, and </w:t>
      </w:r>
      <w:r>
        <w:rPr>
          <w:rFonts w:cstheme="minorHAnsi"/>
          <w:sz w:val="22"/>
          <w:szCs w:val="22"/>
        </w:rPr>
        <w:t>seven</w:t>
      </w:r>
      <w:r w:rsidRPr="008C0CAD">
        <w:rPr>
          <w:rFonts w:cstheme="minorHAnsi"/>
          <w:sz w:val="22"/>
          <w:szCs w:val="22"/>
        </w:rPr>
        <w:t xml:space="preserve"> reported </w:t>
      </w:r>
      <w:r w:rsidR="00C5217E">
        <w:rPr>
          <w:rFonts w:cstheme="minorHAnsi"/>
          <w:sz w:val="22"/>
          <w:szCs w:val="22"/>
        </w:rPr>
        <w:t>access</w:t>
      </w:r>
      <w:r w:rsidRPr="008C0CAD">
        <w:rPr>
          <w:rFonts w:cstheme="minorHAnsi"/>
          <w:sz w:val="22"/>
          <w:szCs w:val="22"/>
        </w:rPr>
        <w:t>ing services at the clinic for more than 10 years</w:t>
      </w:r>
      <w:r w:rsidR="00C5217E">
        <w:rPr>
          <w:rFonts w:cstheme="minorHAnsi"/>
          <w:sz w:val="22"/>
          <w:szCs w:val="22"/>
        </w:rPr>
        <w:t xml:space="preserve"> (i.e.</w:t>
      </w:r>
      <w:r w:rsidR="0058670B">
        <w:rPr>
          <w:rFonts w:cstheme="minorHAnsi"/>
          <w:sz w:val="22"/>
          <w:szCs w:val="22"/>
        </w:rPr>
        <w:t>,</w:t>
      </w:r>
      <w:r w:rsidR="00C5217E">
        <w:rPr>
          <w:rFonts w:cstheme="minorHAnsi"/>
          <w:sz w:val="22"/>
          <w:szCs w:val="22"/>
        </w:rPr>
        <w:t xml:space="preserve"> before the start of the CCBHC program)</w:t>
      </w:r>
      <w:r w:rsidRPr="008C0CAD">
        <w:rPr>
          <w:rFonts w:cstheme="minorHAnsi"/>
          <w:sz w:val="22"/>
          <w:szCs w:val="22"/>
        </w:rPr>
        <w:t xml:space="preserve">. Three service users either could not remember </w:t>
      </w:r>
      <w:r w:rsidR="00C5217E">
        <w:rPr>
          <w:rFonts w:cstheme="minorHAnsi"/>
          <w:sz w:val="22"/>
          <w:szCs w:val="22"/>
        </w:rPr>
        <w:t>the number of years</w:t>
      </w:r>
      <w:r w:rsidRPr="008C0CAD">
        <w:rPr>
          <w:rFonts w:cstheme="minorHAnsi"/>
          <w:sz w:val="22"/>
          <w:szCs w:val="22"/>
        </w:rPr>
        <w:t xml:space="preserve"> or declined to answer. Of the eight service users who completed an online survey answering the same questions covered in the focus groups, only one reported </w:t>
      </w:r>
      <w:r w:rsidR="00C5217E">
        <w:rPr>
          <w:rFonts w:cstheme="minorHAnsi"/>
          <w:sz w:val="22"/>
          <w:szCs w:val="22"/>
        </w:rPr>
        <w:t>the number of years they had accessed</w:t>
      </w:r>
      <w:r w:rsidRPr="008C0CAD">
        <w:rPr>
          <w:rFonts w:cstheme="minorHAnsi"/>
          <w:sz w:val="22"/>
          <w:szCs w:val="22"/>
        </w:rPr>
        <w:t xml:space="preserve"> the </w:t>
      </w:r>
      <w:r w:rsidR="00C5217E">
        <w:rPr>
          <w:rFonts w:cstheme="minorHAnsi"/>
          <w:sz w:val="22"/>
          <w:szCs w:val="22"/>
        </w:rPr>
        <w:t xml:space="preserve">clinic where the </w:t>
      </w:r>
      <w:r w:rsidRPr="008C0CAD">
        <w:rPr>
          <w:rFonts w:cstheme="minorHAnsi"/>
          <w:sz w:val="22"/>
          <w:szCs w:val="22"/>
        </w:rPr>
        <w:t xml:space="preserve">CCBHC </w:t>
      </w:r>
      <w:r w:rsidR="00C5217E">
        <w:rPr>
          <w:rFonts w:cstheme="minorHAnsi"/>
          <w:sz w:val="22"/>
          <w:szCs w:val="22"/>
        </w:rPr>
        <w:t>is now located</w:t>
      </w:r>
      <w:r w:rsidRPr="008C0CAD">
        <w:rPr>
          <w:rFonts w:cstheme="minorHAnsi"/>
          <w:sz w:val="22"/>
          <w:szCs w:val="22"/>
        </w:rPr>
        <w:t xml:space="preserve"> (more than 10 years). </w:t>
      </w:r>
      <w:r>
        <w:rPr>
          <w:rFonts w:cstheme="minorHAnsi"/>
          <w:sz w:val="22"/>
          <w:szCs w:val="22"/>
        </w:rPr>
        <w:t xml:space="preserve">See Table </w:t>
      </w:r>
      <w:r w:rsidRPr="00A35AAA">
        <w:rPr>
          <w:rFonts w:cstheme="minorHAnsi"/>
          <w:color w:val="6A7F0F"/>
          <w:sz w:val="22"/>
          <w:szCs w:val="22"/>
        </w:rPr>
        <w:t>A4</w:t>
      </w:r>
      <w:r w:rsidR="00C5217E">
        <w:rPr>
          <w:rFonts w:cstheme="minorHAnsi"/>
          <w:color w:val="6A7F0F"/>
          <w:sz w:val="22"/>
          <w:szCs w:val="22"/>
        </w:rPr>
        <w:t>.</w:t>
      </w:r>
      <w:r w:rsidRPr="00A35AAA">
        <w:rPr>
          <w:rFonts w:cstheme="minorHAnsi"/>
          <w:color w:val="6A7F0F"/>
          <w:sz w:val="22"/>
          <w:szCs w:val="22"/>
        </w:rPr>
        <w:t xml:space="preserve">1 </w:t>
      </w:r>
      <w:r>
        <w:rPr>
          <w:rFonts w:cstheme="minorHAnsi"/>
          <w:sz w:val="22"/>
          <w:szCs w:val="22"/>
        </w:rPr>
        <w:t xml:space="preserve">for </w:t>
      </w:r>
      <w:r w:rsidR="00C5217E">
        <w:rPr>
          <w:rFonts w:cstheme="minorHAnsi"/>
          <w:sz w:val="22"/>
          <w:szCs w:val="22"/>
        </w:rPr>
        <w:t xml:space="preserve">a summary of </w:t>
      </w:r>
      <w:r w:rsidR="00C83A78">
        <w:rPr>
          <w:rFonts w:cstheme="minorHAnsi"/>
          <w:sz w:val="22"/>
          <w:szCs w:val="22"/>
        </w:rPr>
        <w:t>these data.</w:t>
      </w:r>
    </w:p>
    <w:p w14:paraId="61CBBE13" w14:textId="77777777" w:rsidR="00A32A0E" w:rsidRDefault="00A32A0E" w:rsidP="00A32A0E">
      <w:pPr>
        <w:rPr>
          <w:rFonts w:cstheme="minorHAnsi"/>
          <w:sz w:val="22"/>
          <w:szCs w:val="22"/>
        </w:rPr>
      </w:pPr>
    </w:p>
    <w:p w14:paraId="5730848C" w14:textId="05AFCD56" w:rsidR="00A35AAA" w:rsidRPr="00000D4B" w:rsidRDefault="00A32A0E" w:rsidP="00A35AAA">
      <w:pPr>
        <w:tabs>
          <w:tab w:val="left" w:pos="1710"/>
        </w:tabs>
        <w:jc w:val="center"/>
        <w:rPr>
          <w:rFonts w:cstheme="minorHAnsi"/>
          <w:b/>
          <w:color w:val="6A7F0F"/>
          <w:sz w:val="22"/>
          <w:szCs w:val="22"/>
        </w:rPr>
      </w:pPr>
      <w:r w:rsidRPr="00000D4B">
        <w:rPr>
          <w:rFonts w:cstheme="minorHAnsi"/>
          <w:b/>
          <w:color w:val="6A7F0F"/>
          <w:sz w:val="22"/>
          <w:szCs w:val="22"/>
        </w:rPr>
        <w:t>Table A4</w:t>
      </w:r>
      <w:r w:rsidR="00C5217E" w:rsidRPr="00000D4B">
        <w:rPr>
          <w:rFonts w:cstheme="minorHAnsi"/>
          <w:b/>
          <w:color w:val="6A7F0F"/>
          <w:sz w:val="22"/>
          <w:szCs w:val="22"/>
        </w:rPr>
        <w:t>.</w:t>
      </w:r>
      <w:r w:rsidRPr="00000D4B">
        <w:rPr>
          <w:rFonts w:cstheme="minorHAnsi"/>
          <w:b/>
          <w:color w:val="6A7F0F"/>
          <w:sz w:val="22"/>
          <w:szCs w:val="22"/>
        </w:rPr>
        <w:t xml:space="preserve">1: </w:t>
      </w:r>
      <w:r w:rsidR="00C5217E" w:rsidRPr="00000D4B">
        <w:rPr>
          <w:rFonts w:cstheme="minorHAnsi"/>
          <w:b/>
          <w:color w:val="6A7F0F"/>
          <w:sz w:val="22"/>
          <w:szCs w:val="22"/>
        </w:rPr>
        <w:t>Years</w:t>
      </w:r>
      <w:r w:rsidRPr="00000D4B">
        <w:rPr>
          <w:rFonts w:cstheme="minorHAnsi"/>
          <w:b/>
          <w:color w:val="6A7F0F"/>
          <w:sz w:val="22"/>
          <w:szCs w:val="22"/>
        </w:rPr>
        <w:t xml:space="preserve"> of </w:t>
      </w:r>
      <w:r w:rsidR="00C5217E" w:rsidRPr="00000D4B">
        <w:rPr>
          <w:rFonts w:cstheme="minorHAnsi"/>
          <w:b/>
          <w:color w:val="6A7F0F"/>
          <w:sz w:val="22"/>
          <w:szCs w:val="22"/>
        </w:rPr>
        <w:t xml:space="preserve">Accessing Clinic </w:t>
      </w:r>
      <w:r w:rsidRPr="00000D4B">
        <w:rPr>
          <w:rFonts w:cstheme="minorHAnsi"/>
          <w:b/>
          <w:color w:val="6A7F0F"/>
          <w:sz w:val="22"/>
          <w:szCs w:val="22"/>
        </w:rPr>
        <w:t>Service</w:t>
      </w:r>
      <w:r w:rsidR="00C5217E" w:rsidRPr="00000D4B">
        <w:rPr>
          <w:rFonts w:cstheme="minorHAnsi"/>
          <w:b/>
          <w:color w:val="6A7F0F"/>
          <w:sz w:val="22"/>
          <w:szCs w:val="22"/>
        </w:rPr>
        <w:t>s</w:t>
      </w:r>
    </w:p>
    <w:p w14:paraId="4D384DF3" w14:textId="77777777" w:rsidR="00A35AAA" w:rsidRPr="00A35AAA" w:rsidRDefault="00A35AAA" w:rsidP="00A35AAA">
      <w:pPr>
        <w:tabs>
          <w:tab w:val="left" w:pos="1710"/>
        </w:tabs>
        <w:jc w:val="center"/>
        <w:rPr>
          <w:rFonts w:cstheme="minorHAnsi"/>
          <w:b/>
          <w:color w:val="6A7F0F"/>
          <w:sz w:val="22"/>
          <w:szCs w:val="22"/>
        </w:rPr>
      </w:pPr>
    </w:p>
    <w:tbl>
      <w:tblPr>
        <w:tblStyle w:val="TableGrid"/>
        <w:tblW w:w="0" w:type="auto"/>
        <w:jc w:val="center"/>
        <w:tblLook w:val="04A0" w:firstRow="1" w:lastRow="0" w:firstColumn="1" w:lastColumn="0" w:noHBand="0" w:noVBand="1"/>
      </w:tblPr>
      <w:tblGrid>
        <w:gridCol w:w="3150"/>
        <w:gridCol w:w="2700"/>
        <w:gridCol w:w="2700"/>
      </w:tblGrid>
      <w:tr w:rsidR="00F7725C" w:rsidRPr="0084621C" w14:paraId="0C365D25" w14:textId="77777777" w:rsidTr="00E72162">
        <w:trPr>
          <w:jc w:val="center"/>
        </w:trPr>
        <w:tc>
          <w:tcPr>
            <w:tcW w:w="3150" w:type="dxa"/>
            <w:shd w:val="clear" w:color="auto" w:fill="E7E6E6" w:themeFill="background2"/>
          </w:tcPr>
          <w:bookmarkEnd w:id="72"/>
          <w:p w14:paraId="36A18D26" w14:textId="0C6741DC" w:rsidR="00F7725C" w:rsidRPr="0084621C" w:rsidRDefault="00C5217E" w:rsidP="00E72162">
            <w:pPr>
              <w:jc w:val="center"/>
              <w:rPr>
                <w:rFonts w:cstheme="minorHAnsi"/>
                <w:b/>
                <w:bCs/>
                <w:sz w:val="22"/>
                <w:szCs w:val="22"/>
              </w:rPr>
            </w:pPr>
            <w:r>
              <w:rPr>
                <w:rFonts w:cstheme="minorHAnsi"/>
                <w:b/>
                <w:bCs/>
                <w:sz w:val="22"/>
                <w:szCs w:val="22"/>
              </w:rPr>
              <w:t>Years</w:t>
            </w:r>
            <w:r w:rsidR="00F7725C" w:rsidRPr="0084621C">
              <w:rPr>
                <w:rFonts w:cstheme="minorHAnsi"/>
                <w:b/>
                <w:bCs/>
                <w:sz w:val="22"/>
                <w:szCs w:val="22"/>
              </w:rPr>
              <w:t xml:space="preserve"> of Service Utilization</w:t>
            </w:r>
          </w:p>
        </w:tc>
        <w:tc>
          <w:tcPr>
            <w:tcW w:w="2700" w:type="dxa"/>
            <w:shd w:val="clear" w:color="auto" w:fill="E7E6E6" w:themeFill="background2"/>
          </w:tcPr>
          <w:p w14:paraId="6EB0CE88" w14:textId="77777777" w:rsidR="00F7725C" w:rsidRPr="0084621C" w:rsidRDefault="00F7725C" w:rsidP="00E72162">
            <w:pPr>
              <w:jc w:val="center"/>
              <w:rPr>
                <w:rFonts w:cstheme="minorHAnsi"/>
                <w:b/>
                <w:bCs/>
                <w:sz w:val="22"/>
                <w:szCs w:val="22"/>
              </w:rPr>
            </w:pPr>
            <w:r w:rsidRPr="0084621C">
              <w:rPr>
                <w:rFonts w:cstheme="minorHAnsi"/>
                <w:b/>
                <w:bCs/>
                <w:sz w:val="22"/>
                <w:szCs w:val="22"/>
              </w:rPr>
              <w:t>Number of Service Users</w:t>
            </w:r>
          </w:p>
        </w:tc>
        <w:tc>
          <w:tcPr>
            <w:tcW w:w="2700" w:type="dxa"/>
            <w:shd w:val="clear" w:color="auto" w:fill="E7E6E6" w:themeFill="background2"/>
          </w:tcPr>
          <w:p w14:paraId="0FF02E8C" w14:textId="77777777" w:rsidR="00F7725C" w:rsidRPr="0084621C" w:rsidRDefault="00F7725C" w:rsidP="00E72162">
            <w:pPr>
              <w:jc w:val="center"/>
              <w:rPr>
                <w:rFonts w:cstheme="minorHAnsi"/>
                <w:b/>
                <w:bCs/>
                <w:sz w:val="22"/>
                <w:szCs w:val="22"/>
              </w:rPr>
            </w:pPr>
            <w:r w:rsidRPr="0084621C">
              <w:rPr>
                <w:rFonts w:cstheme="minorHAnsi"/>
                <w:b/>
                <w:bCs/>
                <w:sz w:val="22"/>
                <w:szCs w:val="22"/>
              </w:rPr>
              <w:t>Percent of Service Users</w:t>
            </w:r>
          </w:p>
        </w:tc>
      </w:tr>
      <w:tr w:rsidR="00F7725C" w:rsidRPr="000D1B95" w14:paraId="448A0F7C" w14:textId="77777777" w:rsidTr="00E72162">
        <w:trPr>
          <w:jc w:val="center"/>
        </w:trPr>
        <w:tc>
          <w:tcPr>
            <w:tcW w:w="3150" w:type="dxa"/>
          </w:tcPr>
          <w:p w14:paraId="1CA01555" w14:textId="77777777" w:rsidR="00F7725C" w:rsidRPr="000D1B95" w:rsidRDefault="00F7725C" w:rsidP="00E72162">
            <w:pPr>
              <w:rPr>
                <w:rFonts w:cstheme="minorHAnsi"/>
                <w:sz w:val="22"/>
                <w:szCs w:val="22"/>
              </w:rPr>
            </w:pPr>
            <w:r w:rsidRPr="000D1B95">
              <w:rPr>
                <w:rFonts w:cstheme="minorHAnsi"/>
                <w:sz w:val="22"/>
                <w:szCs w:val="22"/>
              </w:rPr>
              <w:t>&lt;5 years</w:t>
            </w:r>
          </w:p>
        </w:tc>
        <w:tc>
          <w:tcPr>
            <w:tcW w:w="2700" w:type="dxa"/>
          </w:tcPr>
          <w:p w14:paraId="445F1CE5" w14:textId="77777777" w:rsidR="00F7725C" w:rsidRPr="000D1B95" w:rsidRDefault="00F7725C" w:rsidP="00E72162">
            <w:pPr>
              <w:jc w:val="center"/>
              <w:rPr>
                <w:rFonts w:cstheme="minorHAnsi"/>
                <w:sz w:val="22"/>
                <w:szCs w:val="22"/>
              </w:rPr>
            </w:pPr>
            <w:r w:rsidRPr="000D1B95">
              <w:rPr>
                <w:rFonts w:cstheme="minorHAnsi"/>
                <w:sz w:val="22"/>
                <w:szCs w:val="22"/>
              </w:rPr>
              <w:t>5</w:t>
            </w:r>
          </w:p>
        </w:tc>
        <w:tc>
          <w:tcPr>
            <w:tcW w:w="2700" w:type="dxa"/>
          </w:tcPr>
          <w:p w14:paraId="0FE44DD1" w14:textId="77777777" w:rsidR="00F7725C" w:rsidRPr="000D1B95" w:rsidRDefault="00F7725C" w:rsidP="00E72162">
            <w:pPr>
              <w:jc w:val="center"/>
              <w:rPr>
                <w:rFonts w:cstheme="minorHAnsi"/>
                <w:sz w:val="22"/>
                <w:szCs w:val="22"/>
              </w:rPr>
            </w:pPr>
            <w:r>
              <w:rPr>
                <w:rFonts w:cstheme="minorHAnsi"/>
                <w:sz w:val="22"/>
                <w:szCs w:val="22"/>
              </w:rPr>
              <w:t>14.3%</w:t>
            </w:r>
          </w:p>
        </w:tc>
      </w:tr>
      <w:tr w:rsidR="00F7725C" w:rsidRPr="000D1B95" w14:paraId="29FB21CB" w14:textId="77777777" w:rsidTr="00E72162">
        <w:trPr>
          <w:jc w:val="center"/>
        </w:trPr>
        <w:tc>
          <w:tcPr>
            <w:tcW w:w="3150" w:type="dxa"/>
          </w:tcPr>
          <w:p w14:paraId="7F80E99A" w14:textId="77777777" w:rsidR="00F7725C" w:rsidRPr="000D1B95" w:rsidRDefault="00F7725C" w:rsidP="00E72162">
            <w:pPr>
              <w:rPr>
                <w:rFonts w:cstheme="minorHAnsi"/>
                <w:sz w:val="22"/>
                <w:szCs w:val="22"/>
              </w:rPr>
            </w:pPr>
            <w:r w:rsidRPr="000D1B95">
              <w:rPr>
                <w:rFonts w:cstheme="minorHAnsi"/>
                <w:sz w:val="22"/>
                <w:szCs w:val="22"/>
              </w:rPr>
              <w:t>5-10 years</w:t>
            </w:r>
          </w:p>
        </w:tc>
        <w:tc>
          <w:tcPr>
            <w:tcW w:w="2700" w:type="dxa"/>
          </w:tcPr>
          <w:p w14:paraId="0F8EA5D2" w14:textId="77777777" w:rsidR="00F7725C" w:rsidRPr="000D1B95" w:rsidRDefault="00F7725C" w:rsidP="00E72162">
            <w:pPr>
              <w:jc w:val="center"/>
              <w:rPr>
                <w:rFonts w:cstheme="minorHAnsi"/>
                <w:sz w:val="22"/>
                <w:szCs w:val="22"/>
              </w:rPr>
            </w:pPr>
            <w:r w:rsidRPr="000D1B95">
              <w:rPr>
                <w:rFonts w:cstheme="minorHAnsi"/>
                <w:sz w:val="22"/>
                <w:szCs w:val="22"/>
              </w:rPr>
              <w:t>12</w:t>
            </w:r>
          </w:p>
        </w:tc>
        <w:tc>
          <w:tcPr>
            <w:tcW w:w="2700" w:type="dxa"/>
          </w:tcPr>
          <w:p w14:paraId="6E7C19EA" w14:textId="77777777" w:rsidR="00F7725C" w:rsidRPr="000D1B95" w:rsidRDefault="00F7725C" w:rsidP="00E72162">
            <w:pPr>
              <w:jc w:val="center"/>
              <w:rPr>
                <w:rFonts w:cstheme="minorHAnsi"/>
                <w:sz w:val="22"/>
                <w:szCs w:val="22"/>
              </w:rPr>
            </w:pPr>
            <w:r>
              <w:rPr>
                <w:rFonts w:cstheme="minorHAnsi"/>
                <w:sz w:val="22"/>
                <w:szCs w:val="22"/>
              </w:rPr>
              <w:t>34.3%</w:t>
            </w:r>
          </w:p>
        </w:tc>
      </w:tr>
      <w:tr w:rsidR="00F7725C" w:rsidRPr="000D1B95" w14:paraId="5D6C9803" w14:textId="77777777" w:rsidTr="00E72162">
        <w:trPr>
          <w:jc w:val="center"/>
        </w:trPr>
        <w:tc>
          <w:tcPr>
            <w:tcW w:w="3150" w:type="dxa"/>
          </w:tcPr>
          <w:p w14:paraId="224C1EEC" w14:textId="77777777" w:rsidR="00F7725C" w:rsidRPr="000D1B95" w:rsidRDefault="00F7725C" w:rsidP="00E72162">
            <w:pPr>
              <w:rPr>
                <w:rFonts w:cstheme="minorHAnsi"/>
                <w:sz w:val="22"/>
                <w:szCs w:val="22"/>
              </w:rPr>
            </w:pPr>
            <w:r w:rsidRPr="000D1B95">
              <w:rPr>
                <w:rFonts w:cstheme="minorHAnsi"/>
                <w:sz w:val="22"/>
                <w:szCs w:val="22"/>
              </w:rPr>
              <w:t>&gt;10 years</w:t>
            </w:r>
          </w:p>
        </w:tc>
        <w:tc>
          <w:tcPr>
            <w:tcW w:w="2700" w:type="dxa"/>
          </w:tcPr>
          <w:p w14:paraId="5D4B03B9" w14:textId="77777777" w:rsidR="00F7725C" w:rsidRPr="000D1B95" w:rsidRDefault="00F7725C" w:rsidP="00E72162">
            <w:pPr>
              <w:jc w:val="center"/>
              <w:rPr>
                <w:rFonts w:cstheme="minorHAnsi"/>
                <w:sz w:val="22"/>
                <w:szCs w:val="22"/>
              </w:rPr>
            </w:pPr>
            <w:r w:rsidRPr="000D1B95">
              <w:rPr>
                <w:rFonts w:cstheme="minorHAnsi"/>
                <w:sz w:val="22"/>
                <w:szCs w:val="22"/>
              </w:rPr>
              <w:t>8</w:t>
            </w:r>
          </w:p>
        </w:tc>
        <w:tc>
          <w:tcPr>
            <w:tcW w:w="2700" w:type="dxa"/>
          </w:tcPr>
          <w:p w14:paraId="21DAAEB2" w14:textId="77777777" w:rsidR="00F7725C" w:rsidRPr="000D1B95" w:rsidRDefault="00F7725C" w:rsidP="00E72162">
            <w:pPr>
              <w:jc w:val="center"/>
              <w:rPr>
                <w:rFonts w:cstheme="minorHAnsi"/>
                <w:sz w:val="22"/>
                <w:szCs w:val="22"/>
              </w:rPr>
            </w:pPr>
            <w:r>
              <w:rPr>
                <w:rFonts w:cstheme="minorHAnsi"/>
                <w:sz w:val="22"/>
                <w:szCs w:val="22"/>
              </w:rPr>
              <w:t>22.9%</w:t>
            </w:r>
          </w:p>
        </w:tc>
      </w:tr>
      <w:tr w:rsidR="00F7725C" w:rsidRPr="000D1B95" w14:paraId="72986650" w14:textId="77777777" w:rsidTr="00E72162">
        <w:trPr>
          <w:jc w:val="center"/>
        </w:trPr>
        <w:tc>
          <w:tcPr>
            <w:tcW w:w="3150" w:type="dxa"/>
          </w:tcPr>
          <w:p w14:paraId="2A109185" w14:textId="77777777" w:rsidR="00F7725C" w:rsidRPr="000D1B95" w:rsidRDefault="00F7725C" w:rsidP="00E72162">
            <w:pPr>
              <w:rPr>
                <w:rFonts w:cstheme="minorHAnsi"/>
                <w:sz w:val="22"/>
                <w:szCs w:val="22"/>
              </w:rPr>
            </w:pPr>
            <w:r w:rsidRPr="000D1B95">
              <w:rPr>
                <w:rFonts w:cstheme="minorHAnsi"/>
                <w:sz w:val="22"/>
                <w:szCs w:val="22"/>
              </w:rPr>
              <w:t>Did not answer/remember</w:t>
            </w:r>
          </w:p>
        </w:tc>
        <w:tc>
          <w:tcPr>
            <w:tcW w:w="2700" w:type="dxa"/>
          </w:tcPr>
          <w:p w14:paraId="58AB5A68" w14:textId="77777777" w:rsidR="00F7725C" w:rsidRPr="000D1B95" w:rsidRDefault="00F7725C" w:rsidP="00E72162">
            <w:pPr>
              <w:jc w:val="center"/>
              <w:rPr>
                <w:rFonts w:cstheme="minorHAnsi"/>
                <w:sz w:val="22"/>
                <w:szCs w:val="22"/>
              </w:rPr>
            </w:pPr>
            <w:r w:rsidRPr="000D1B95">
              <w:rPr>
                <w:rFonts w:cstheme="minorHAnsi"/>
                <w:sz w:val="22"/>
                <w:szCs w:val="22"/>
              </w:rPr>
              <w:t>10</w:t>
            </w:r>
          </w:p>
        </w:tc>
        <w:tc>
          <w:tcPr>
            <w:tcW w:w="2700" w:type="dxa"/>
          </w:tcPr>
          <w:p w14:paraId="40B81F5F" w14:textId="77777777" w:rsidR="00F7725C" w:rsidRPr="000D1B95" w:rsidRDefault="00F7725C" w:rsidP="00E72162">
            <w:pPr>
              <w:jc w:val="center"/>
              <w:rPr>
                <w:rFonts w:cstheme="minorHAnsi"/>
                <w:sz w:val="22"/>
                <w:szCs w:val="22"/>
              </w:rPr>
            </w:pPr>
            <w:r>
              <w:rPr>
                <w:rFonts w:cstheme="minorHAnsi"/>
                <w:sz w:val="22"/>
                <w:szCs w:val="22"/>
              </w:rPr>
              <w:t>28.5%</w:t>
            </w:r>
          </w:p>
        </w:tc>
      </w:tr>
      <w:tr w:rsidR="00F7725C" w:rsidRPr="000D1B95" w14:paraId="2BE06BE7" w14:textId="77777777" w:rsidTr="00E72162">
        <w:trPr>
          <w:jc w:val="center"/>
        </w:trPr>
        <w:tc>
          <w:tcPr>
            <w:tcW w:w="3150" w:type="dxa"/>
          </w:tcPr>
          <w:p w14:paraId="5B99ECFE" w14:textId="77777777" w:rsidR="00F7725C" w:rsidRPr="000D1B95" w:rsidRDefault="00F7725C" w:rsidP="00E72162">
            <w:pPr>
              <w:rPr>
                <w:rFonts w:cstheme="minorHAnsi"/>
                <w:sz w:val="22"/>
                <w:szCs w:val="22"/>
              </w:rPr>
            </w:pPr>
            <w:r w:rsidRPr="000D1B95">
              <w:rPr>
                <w:rFonts w:cstheme="minorHAnsi"/>
                <w:sz w:val="22"/>
                <w:szCs w:val="22"/>
              </w:rPr>
              <w:t>Total</w:t>
            </w:r>
          </w:p>
        </w:tc>
        <w:tc>
          <w:tcPr>
            <w:tcW w:w="2700" w:type="dxa"/>
          </w:tcPr>
          <w:p w14:paraId="3B25B5B3" w14:textId="77777777" w:rsidR="00F7725C" w:rsidRPr="000D1B95" w:rsidRDefault="00F7725C" w:rsidP="00E72162">
            <w:pPr>
              <w:jc w:val="center"/>
              <w:rPr>
                <w:rFonts w:cstheme="minorHAnsi"/>
                <w:sz w:val="22"/>
                <w:szCs w:val="22"/>
              </w:rPr>
            </w:pPr>
            <w:r w:rsidRPr="000D1B95">
              <w:rPr>
                <w:rFonts w:cstheme="minorHAnsi"/>
                <w:sz w:val="22"/>
                <w:szCs w:val="22"/>
              </w:rPr>
              <w:t>35</w:t>
            </w:r>
          </w:p>
        </w:tc>
        <w:tc>
          <w:tcPr>
            <w:tcW w:w="2700" w:type="dxa"/>
          </w:tcPr>
          <w:p w14:paraId="30B85D4F" w14:textId="77777777" w:rsidR="00F7725C" w:rsidRPr="000D1B95" w:rsidRDefault="00F7725C" w:rsidP="00E72162">
            <w:pPr>
              <w:jc w:val="center"/>
              <w:rPr>
                <w:rFonts w:cstheme="minorHAnsi"/>
                <w:sz w:val="22"/>
                <w:szCs w:val="22"/>
              </w:rPr>
            </w:pPr>
            <w:r>
              <w:rPr>
                <w:rFonts w:cstheme="minorHAnsi"/>
                <w:sz w:val="22"/>
                <w:szCs w:val="22"/>
              </w:rPr>
              <w:t>100%</w:t>
            </w:r>
          </w:p>
        </w:tc>
      </w:tr>
    </w:tbl>
    <w:p w14:paraId="01AE28EB" w14:textId="77777777" w:rsidR="00A32A0E" w:rsidRDefault="00A32A0E" w:rsidP="00A32A0E">
      <w:pPr>
        <w:rPr>
          <w:rFonts w:cstheme="minorHAnsi"/>
          <w:sz w:val="22"/>
          <w:szCs w:val="22"/>
        </w:rPr>
      </w:pPr>
    </w:p>
    <w:p w14:paraId="11645E65" w14:textId="77777777" w:rsidR="00A32A0E" w:rsidRPr="00A17C4D" w:rsidRDefault="00A32A0E" w:rsidP="00A17C4D">
      <w:pPr>
        <w:spacing w:after="120"/>
        <w:rPr>
          <w:b/>
          <w:bCs/>
          <w:i/>
          <w:iCs/>
          <w:color w:val="6A7F0F"/>
          <w:highlight w:val="white"/>
        </w:rPr>
      </w:pPr>
      <w:r w:rsidRPr="00A17C4D">
        <w:rPr>
          <w:b/>
          <w:bCs/>
          <w:i/>
          <w:iCs/>
          <w:color w:val="6A7F0F"/>
          <w:highlight w:val="white"/>
        </w:rPr>
        <w:t>Limitations of Data</w:t>
      </w:r>
    </w:p>
    <w:p w14:paraId="6BF7F1C5" w14:textId="77777777" w:rsidR="00323FC9" w:rsidRPr="00B26F41" w:rsidRDefault="00323FC9" w:rsidP="00323FC9">
      <w:pPr>
        <w:rPr>
          <w:rFonts w:cstheme="minorHAnsi"/>
          <w:sz w:val="22"/>
          <w:szCs w:val="22"/>
        </w:rPr>
      </w:pPr>
      <w:r>
        <w:rPr>
          <w:rFonts w:cstheme="minorHAnsi"/>
          <w:sz w:val="22"/>
          <w:szCs w:val="22"/>
        </w:rPr>
        <w:t xml:space="preserve">Findings </w:t>
      </w:r>
      <w:r w:rsidRPr="00B26F41">
        <w:rPr>
          <w:rFonts w:cstheme="minorHAnsi"/>
          <w:sz w:val="22"/>
          <w:szCs w:val="22"/>
        </w:rPr>
        <w:t>are limited by the number of service users who participated in each focus group, as well as the individual contexts of those service users. While each CCBHC was asked to identify a list of potential participants based on specific criteria, the evaluation team was not made aware of how closely each clinic adhered to those criteria. Additionally, there is the potential for sampling bias in the identification of service users for recruitment</w:t>
      </w:r>
      <w:r>
        <w:rPr>
          <w:rFonts w:cstheme="minorHAnsi"/>
          <w:sz w:val="22"/>
          <w:szCs w:val="22"/>
        </w:rPr>
        <w:t>,</w:t>
      </w:r>
      <w:r w:rsidRPr="00B26F41">
        <w:rPr>
          <w:rFonts w:cstheme="minorHAnsi"/>
          <w:sz w:val="22"/>
          <w:szCs w:val="22"/>
        </w:rPr>
        <w:t xml:space="preserve"> as clinics could have potentially selected service users known to have positive experiences while excluding service users with negative experiences (or those who le</w:t>
      </w:r>
      <w:r>
        <w:rPr>
          <w:rFonts w:cstheme="minorHAnsi"/>
          <w:sz w:val="22"/>
          <w:szCs w:val="22"/>
        </w:rPr>
        <w:t>ft services at</w:t>
      </w:r>
      <w:r w:rsidRPr="00B26F41">
        <w:rPr>
          <w:rFonts w:cstheme="minorHAnsi"/>
          <w:sz w:val="22"/>
          <w:szCs w:val="22"/>
        </w:rPr>
        <w:t xml:space="preserve"> the CCBHC). </w:t>
      </w:r>
      <w:r>
        <w:rPr>
          <w:rFonts w:cstheme="minorHAnsi"/>
          <w:sz w:val="22"/>
          <w:szCs w:val="22"/>
        </w:rPr>
        <w:t xml:space="preserve">However, </w:t>
      </w:r>
      <w:r w:rsidRPr="00B26F41">
        <w:rPr>
          <w:rFonts w:cstheme="minorHAnsi"/>
          <w:sz w:val="22"/>
          <w:szCs w:val="22"/>
        </w:rPr>
        <w:t>most of the service users provided honest and candid feedback that encompassed experiences that were both positive and suggested room for improvement</w:t>
      </w:r>
      <w:r>
        <w:rPr>
          <w:rFonts w:cstheme="minorHAnsi"/>
          <w:sz w:val="22"/>
          <w:szCs w:val="22"/>
        </w:rPr>
        <w:t>s</w:t>
      </w:r>
      <w:r w:rsidRPr="00B26F41">
        <w:rPr>
          <w:rFonts w:cstheme="minorHAnsi"/>
          <w:sz w:val="22"/>
          <w:szCs w:val="22"/>
        </w:rPr>
        <w:t xml:space="preserve">. </w:t>
      </w:r>
    </w:p>
    <w:p w14:paraId="2202FB8B" w14:textId="77777777" w:rsidR="00323FC9" w:rsidRDefault="00323FC9" w:rsidP="00323FC9"/>
    <w:p w14:paraId="6778C967" w14:textId="77777777" w:rsidR="00323FC9" w:rsidRPr="002D003A" w:rsidRDefault="00323FC9" w:rsidP="00323FC9">
      <w:pPr>
        <w:rPr>
          <w:rFonts w:cstheme="minorHAnsi"/>
          <w:sz w:val="22"/>
          <w:szCs w:val="22"/>
        </w:rPr>
      </w:pPr>
      <w:r w:rsidRPr="00B26F41">
        <w:rPr>
          <w:rFonts w:cstheme="minorHAnsi"/>
          <w:sz w:val="22"/>
          <w:szCs w:val="22"/>
        </w:rPr>
        <w:t xml:space="preserve">Subpopulations represented by the service users in attendance included </w:t>
      </w:r>
      <w:r>
        <w:rPr>
          <w:rFonts w:cstheme="minorHAnsi"/>
          <w:sz w:val="22"/>
          <w:szCs w:val="22"/>
        </w:rPr>
        <w:t xml:space="preserve">(self-identified) </w:t>
      </w:r>
      <w:r w:rsidRPr="00B26F41">
        <w:rPr>
          <w:rFonts w:cstheme="minorHAnsi"/>
          <w:sz w:val="22"/>
          <w:szCs w:val="22"/>
        </w:rPr>
        <w:t xml:space="preserve">two members of the LGBTQ+ community, one service user of </w:t>
      </w:r>
      <w:r>
        <w:rPr>
          <w:rFonts w:cstheme="minorHAnsi"/>
          <w:sz w:val="22"/>
          <w:szCs w:val="22"/>
        </w:rPr>
        <w:t>American Indian/Alaskan Native</w:t>
      </w:r>
      <w:r w:rsidRPr="00B26F41">
        <w:rPr>
          <w:rFonts w:cstheme="minorHAnsi"/>
          <w:sz w:val="22"/>
          <w:szCs w:val="22"/>
        </w:rPr>
        <w:t xml:space="preserve"> descent, and one veteran of the </w:t>
      </w:r>
      <w:r>
        <w:rPr>
          <w:rFonts w:cstheme="minorHAnsi"/>
          <w:sz w:val="22"/>
          <w:szCs w:val="22"/>
        </w:rPr>
        <w:t>U.S.</w:t>
      </w:r>
      <w:r w:rsidRPr="00B26F41">
        <w:rPr>
          <w:rFonts w:cstheme="minorHAnsi"/>
          <w:sz w:val="22"/>
          <w:szCs w:val="22"/>
        </w:rPr>
        <w:t xml:space="preserve"> armed services; data on participant demographics is limited to only those service users who chose to self-identify. Only one of the service users who completed the online survey provided information on their identity. </w:t>
      </w:r>
      <w:r>
        <w:rPr>
          <w:rFonts w:cstheme="minorHAnsi"/>
          <w:sz w:val="22"/>
          <w:szCs w:val="22"/>
        </w:rPr>
        <w:t>In addition, w</w:t>
      </w:r>
      <w:r w:rsidRPr="000D1B95">
        <w:rPr>
          <w:rFonts w:cstheme="minorHAnsi"/>
          <w:color w:val="000000"/>
          <w:sz w:val="22"/>
          <w:szCs w:val="22"/>
        </w:rPr>
        <w:t>hile several service users who cared for children who received services through the CCBHC were recruited across multiple clinics to participate in the focus groups and survey, none attended. Therefore</w:t>
      </w:r>
      <w:r>
        <w:rPr>
          <w:rFonts w:cstheme="minorHAnsi"/>
          <w:color w:val="000000"/>
          <w:sz w:val="22"/>
          <w:szCs w:val="22"/>
        </w:rPr>
        <w:t>,</w:t>
      </w:r>
      <w:r w:rsidRPr="000D1B95">
        <w:rPr>
          <w:rFonts w:cstheme="minorHAnsi"/>
          <w:color w:val="000000"/>
          <w:sz w:val="22"/>
          <w:szCs w:val="22"/>
        </w:rPr>
        <w:t xml:space="preserve"> these results cannot speak to the experiences of those service users.</w:t>
      </w:r>
      <w:r>
        <w:rPr>
          <w:rFonts w:cstheme="minorHAnsi"/>
          <w:sz w:val="22"/>
          <w:szCs w:val="22"/>
        </w:rPr>
        <w:t xml:space="preserve"> Finally, t</w:t>
      </w:r>
      <w:r w:rsidRPr="00842DC8">
        <w:rPr>
          <w:rFonts w:cstheme="minorHAnsi"/>
          <w:sz w:val="22"/>
          <w:szCs w:val="22"/>
        </w:rPr>
        <w:t>he majority of service users who participated in a focus group resided in rural service areas</w:t>
      </w:r>
      <w:r>
        <w:rPr>
          <w:rFonts w:cstheme="minorHAnsi"/>
          <w:sz w:val="22"/>
          <w:szCs w:val="22"/>
        </w:rPr>
        <w:t>;</w:t>
      </w:r>
      <w:r w:rsidRPr="00842DC8">
        <w:rPr>
          <w:rFonts w:cstheme="minorHAnsi"/>
          <w:sz w:val="22"/>
          <w:szCs w:val="22"/>
        </w:rPr>
        <w:t xml:space="preserve"> therefore</w:t>
      </w:r>
      <w:r>
        <w:rPr>
          <w:rFonts w:cstheme="minorHAnsi"/>
          <w:sz w:val="22"/>
          <w:szCs w:val="22"/>
        </w:rPr>
        <w:t>,</w:t>
      </w:r>
      <w:r w:rsidRPr="00842DC8">
        <w:rPr>
          <w:rFonts w:cstheme="minorHAnsi"/>
          <w:sz w:val="22"/>
          <w:szCs w:val="22"/>
        </w:rPr>
        <w:t xml:space="preserve"> there is limited evidence to establish whether service users located in urban areas had different experiences than those in rural areas. </w:t>
      </w:r>
    </w:p>
    <w:p w14:paraId="1FD36051" w14:textId="77777777" w:rsidR="00323FC9" w:rsidRDefault="00323FC9" w:rsidP="00323FC9">
      <w:pPr>
        <w:rPr>
          <w:rFonts w:cstheme="minorHAnsi"/>
          <w:sz w:val="22"/>
          <w:szCs w:val="22"/>
        </w:rPr>
      </w:pPr>
    </w:p>
    <w:p w14:paraId="23AC3882" w14:textId="186982E7" w:rsidR="00A32A0E" w:rsidRPr="00B26F41" w:rsidRDefault="00323FC9" w:rsidP="00A32A0E">
      <w:pPr>
        <w:rPr>
          <w:rFonts w:cstheme="minorHAnsi"/>
          <w:sz w:val="22"/>
          <w:szCs w:val="22"/>
        </w:rPr>
      </w:pPr>
      <w:r w:rsidRPr="00B26F41">
        <w:rPr>
          <w:rFonts w:cstheme="minorHAnsi"/>
          <w:sz w:val="22"/>
          <w:szCs w:val="22"/>
        </w:rPr>
        <w:t xml:space="preserve">Future evaluations may benefit from longer recruitment periods, multiple opportunities for data collection (as timing constraints meant that only a single focus group could be held per CCBHC), and coordinated recruitment efforts </w:t>
      </w:r>
      <w:r>
        <w:rPr>
          <w:rFonts w:cstheme="minorHAnsi"/>
          <w:sz w:val="22"/>
          <w:szCs w:val="22"/>
        </w:rPr>
        <w:t xml:space="preserve">among CCBHC administrators, advocates, </w:t>
      </w:r>
      <w:r w:rsidRPr="00B26F41">
        <w:rPr>
          <w:rFonts w:cstheme="minorHAnsi"/>
          <w:sz w:val="22"/>
          <w:szCs w:val="22"/>
        </w:rPr>
        <w:t>and community partners</w:t>
      </w:r>
      <w:r>
        <w:rPr>
          <w:rFonts w:cstheme="minorHAnsi"/>
          <w:sz w:val="22"/>
          <w:szCs w:val="22"/>
        </w:rPr>
        <w:t xml:space="preserve"> </w:t>
      </w:r>
      <w:r w:rsidRPr="00B26F41">
        <w:rPr>
          <w:rFonts w:cstheme="minorHAnsi"/>
          <w:sz w:val="22"/>
          <w:szCs w:val="22"/>
        </w:rPr>
        <w:t xml:space="preserve">to ensure sufficient and appropriate outreach is conducted to include these important community perspectives. </w:t>
      </w:r>
      <w:r>
        <w:rPr>
          <w:rFonts w:cstheme="minorHAnsi"/>
          <w:sz w:val="22"/>
          <w:szCs w:val="22"/>
        </w:rPr>
        <w:t>Future CCBHC evaluation using a community-based participatory research approach could engage service users in evaluating the impact of the CCBHC on individual and community health and identify strategies to guide the development of culturally and linguistically responsive outreach and services.</w:t>
      </w:r>
    </w:p>
    <w:p w14:paraId="21009F35" w14:textId="77777777" w:rsidR="00A32A0E" w:rsidRDefault="00A32A0E" w:rsidP="00A32A0E">
      <w:pPr>
        <w:rPr>
          <w:rFonts w:cstheme="minorHAnsi"/>
          <w:sz w:val="22"/>
          <w:szCs w:val="22"/>
        </w:rPr>
      </w:pPr>
    </w:p>
    <w:p w14:paraId="2FE86EC6" w14:textId="77777777" w:rsidR="00A32A0E" w:rsidRPr="00A17C4D" w:rsidRDefault="00A32A0E" w:rsidP="00A17C4D">
      <w:pPr>
        <w:spacing w:after="120"/>
        <w:rPr>
          <w:b/>
          <w:bCs/>
          <w:i/>
          <w:iCs/>
          <w:color w:val="6A7F0F"/>
          <w:highlight w:val="white"/>
        </w:rPr>
      </w:pPr>
      <w:r w:rsidRPr="00A17C4D">
        <w:rPr>
          <w:b/>
          <w:bCs/>
          <w:i/>
          <w:iCs/>
          <w:color w:val="6A7F0F"/>
          <w:highlight w:val="white"/>
        </w:rPr>
        <w:t>Findings</w:t>
      </w:r>
    </w:p>
    <w:p w14:paraId="02EE7674" w14:textId="4EBDB2BB" w:rsidR="00A32A0E" w:rsidRDefault="00A32A0E" w:rsidP="00A32A0E">
      <w:pPr>
        <w:rPr>
          <w:rFonts w:cstheme="minorHAnsi"/>
          <w:sz w:val="22"/>
          <w:szCs w:val="22"/>
        </w:rPr>
      </w:pPr>
      <w:r>
        <w:rPr>
          <w:rFonts w:cstheme="minorHAnsi"/>
          <w:sz w:val="22"/>
          <w:szCs w:val="22"/>
        </w:rPr>
        <w:t>The following themes arose emerged from the focus groups with service users</w:t>
      </w:r>
      <w:r w:rsidR="007061A7">
        <w:rPr>
          <w:rFonts w:cstheme="minorHAnsi"/>
          <w:sz w:val="22"/>
          <w:szCs w:val="22"/>
        </w:rPr>
        <w:t>, and are discussed below</w:t>
      </w:r>
      <w:r>
        <w:rPr>
          <w:rFonts w:cstheme="minorHAnsi"/>
          <w:sz w:val="22"/>
          <w:szCs w:val="22"/>
        </w:rPr>
        <w:t>:</w:t>
      </w:r>
    </w:p>
    <w:p w14:paraId="1142EF6C" w14:textId="53BE5AE6" w:rsidR="00A32A0E" w:rsidRPr="003C4429" w:rsidRDefault="00A32A0E">
      <w:pPr>
        <w:pStyle w:val="ListParagraph"/>
        <w:numPr>
          <w:ilvl w:val="0"/>
          <w:numId w:val="40"/>
        </w:numPr>
        <w:rPr>
          <w:rFonts w:cstheme="minorHAnsi"/>
          <w:sz w:val="22"/>
          <w:szCs w:val="22"/>
        </w:rPr>
      </w:pPr>
      <w:r w:rsidRPr="003C4429">
        <w:rPr>
          <w:rFonts w:cstheme="minorHAnsi"/>
          <w:sz w:val="22"/>
          <w:szCs w:val="22"/>
        </w:rPr>
        <w:t xml:space="preserve">Timely </w:t>
      </w:r>
      <w:r>
        <w:rPr>
          <w:rFonts w:cstheme="minorHAnsi"/>
          <w:sz w:val="22"/>
          <w:szCs w:val="22"/>
        </w:rPr>
        <w:t>and</w:t>
      </w:r>
      <w:r w:rsidRPr="003C4429">
        <w:rPr>
          <w:rFonts w:cstheme="minorHAnsi"/>
          <w:sz w:val="22"/>
          <w:szCs w:val="22"/>
        </w:rPr>
        <w:t xml:space="preserve"> </w:t>
      </w:r>
      <w:r w:rsidR="007061A7">
        <w:rPr>
          <w:rFonts w:cstheme="minorHAnsi"/>
          <w:sz w:val="22"/>
          <w:szCs w:val="22"/>
        </w:rPr>
        <w:t>a</w:t>
      </w:r>
      <w:r w:rsidRPr="003C4429">
        <w:rPr>
          <w:rFonts w:cstheme="minorHAnsi"/>
          <w:sz w:val="22"/>
          <w:szCs w:val="22"/>
        </w:rPr>
        <w:t xml:space="preserve">ccessible </w:t>
      </w:r>
      <w:r w:rsidR="007061A7">
        <w:rPr>
          <w:rFonts w:cstheme="minorHAnsi"/>
          <w:sz w:val="22"/>
          <w:szCs w:val="22"/>
        </w:rPr>
        <w:t>c</w:t>
      </w:r>
      <w:r w:rsidRPr="003C4429">
        <w:rPr>
          <w:rFonts w:cstheme="minorHAnsi"/>
          <w:sz w:val="22"/>
          <w:szCs w:val="22"/>
        </w:rPr>
        <w:t>are</w:t>
      </w:r>
    </w:p>
    <w:p w14:paraId="4FE7CD50" w14:textId="39E1E702" w:rsidR="00A32A0E" w:rsidRPr="003C4429" w:rsidRDefault="00A32A0E">
      <w:pPr>
        <w:pStyle w:val="ListParagraph"/>
        <w:numPr>
          <w:ilvl w:val="0"/>
          <w:numId w:val="40"/>
        </w:numPr>
        <w:rPr>
          <w:rFonts w:cstheme="minorHAnsi"/>
          <w:sz w:val="22"/>
          <w:szCs w:val="22"/>
        </w:rPr>
      </w:pPr>
      <w:r w:rsidRPr="003C4429">
        <w:rPr>
          <w:rFonts w:cstheme="minorHAnsi"/>
          <w:sz w:val="22"/>
          <w:szCs w:val="22"/>
        </w:rPr>
        <w:t>Person-</w:t>
      </w:r>
      <w:r w:rsidR="007061A7">
        <w:rPr>
          <w:rFonts w:cstheme="minorHAnsi"/>
          <w:sz w:val="22"/>
          <w:szCs w:val="22"/>
        </w:rPr>
        <w:t>c</w:t>
      </w:r>
      <w:r w:rsidRPr="003C4429">
        <w:rPr>
          <w:rFonts w:cstheme="minorHAnsi"/>
          <w:sz w:val="22"/>
          <w:szCs w:val="22"/>
        </w:rPr>
        <w:t xml:space="preserve">entered </w:t>
      </w:r>
      <w:r w:rsidR="007061A7">
        <w:rPr>
          <w:rFonts w:cstheme="minorHAnsi"/>
          <w:sz w:val="22"/>
          <w:szCs w:val="22"/>
        </w:rPr>
        <w:t>c</w:t>
      </w:r>
      <w:r w:rsidRPr="003C4429">
        <w:rPr>
          <w:rFonts w:cstheme="minorHAnsi"/>
          <w:sz w:val="22"/>
          <w:szCs w:val="22"/>
        </w:rPr>
        <w:t>are</w:t>
      </w:r>
    </w:p>
    <w:p w14:paraId="78CA5AA0" w14:textId="5B0B7641" w:rsidR="00A32A0E" w:rsidRPr="003C4429" w:rsidRDefault="00A32A0E">
      <w:pPr>
        <w:pStyle w:val="ListParagraph"/>
        <w:numPr>
          <w:ilvl w:val="0"/>
          <w:numId w:val="40"/>
        </w:numPr>
        <w:rPr>
          <w:rFonts w:cstheme="minorHAnsi"/>
          <w:sz w:val="22"/>
          <w:szCs w:val="22"/>
        </w:rPr>
      </w:pPr>
      <w:r w:rsidRPr="003C4429">
        <w:rPr>
          <w:rFonts w:cstheme="minorHAnsi"/>
          <w:sz w:val="22"/>
          <w:szCs w:val="22"/>
        </w:rPr>
        <w:t>Family-</w:t>
      </w:r>
      <w:r w:rsidR="007061A7">
        <w:rPr>
          <w:rFonts w:cstheme="minorHAnsi"/>
          <w:sz w:val="22"/>
          <w:szCs w:val="22"/>
        </w:rPr>
        <w:t>c</w:t>
      </w:r>
      <w:r w:rsidRPr="003C4429">
        <w:rPr>
          <w:rFonts w:cstheme="minorHAnsi"/>
          <w:sz w:val="22"/>
          <w:szCs w:val="22"/>
        </w:rPr>
        <w:t xml:space="preserve">entered </w:t>
      </w:r>
      <w:r w:rsidR="007061A7">
        <w:rPr>
          <w:rFonts w:cstheme="minorHAnsi"/>
          <w:sz w:val="22"/>
          <w:szCs w:val="22"/>
        </w:rPr>
        <w:t>c</w:t>
      </w:r>
      <w:r w:rsidRPr="003C4429">
        <w:rPr>
          <w:rFonts w:cstheme="minorHAnsi"/>
          <w:sz w:val="22"/>
          <w:szCs w:val="22"/>
        </w:rPr>
        <w:t>are</w:t>
      </w:r>
    </w:p>
    <w:p w14:paraId="0603A477" w14:textId="15A7C6EC" w:rsidR="00A32A0E" w:rsidRPr="003C4429" w:rsidRDefault="00A32A0E">
      <w:pPr>
        <w:pStyle w:val="ListParagraph"/>
        <w:numPr>
          <w:ilvl w:val="0"/>
          <w:numId w:val="40"/>
        </w:numPr>
        <w:rPr>
          <w:rFonts w:cstheme="minorHAnsi"/>
          <w:sz w:val="22"/>
          <w:szCs w:val="22"/>
        </w:rPr>
      </w:pPr>
      <w:r w:rsidRPr="003C4429">
        <w:rPr>
          <w:rFonts w:cstheme="minorHAnsi"/>
          <w:sz w:val="22"/>
          <w:szCs w:val="22"/>
        </w:rPr>
        <w:t xml:space="preserve">Community </w:t>
      </w:r>
      <w:r w:rsidR="007061A7">
        <w:rPr>
          <w:rFonts w:cstheme="minorHAnsi"/>
          <w:sz w:val="22"/>
          <w:szCs w:val="22"/>
        </w:rPr>
        <w:t>n</w:t>
      </w:r>
      <w:r w:rsidRPr="003C4429">
        <w:rPr>
          <w:rFonts w:cstheme="minorHAnsi"/>
          <w:sz w:val="22"/>
          <w:szCs w:val="22"/>
        </w:rPr>
        <w:t xml:space="preserve">eeds, </w:t>
      </w:r>
      <w:r w:rsidR="007061A7">
        <w:rPr>
          <w:rFonts w:cstheme="minorHAnsi"/>
          <w:sz w:val="22"/>
          <w:szCs w:val="22"/>
        </w:rPr>
        <w:t>g</w:t>
      </w:r>
      <w:r w:rsidRPr="003C4429">
        <w:rPr>
          <w:rFonts w:cstheme="minorHAnsi"/>
          <w:sz w:val="22"/>
          <w:szCs w:val="22"/>
        </w:rPr>
        <w:t xml:space="preserve">aps in CCBHC </w:t>
      </w:r>
      <w:r w:rsidR="007061A7">
        <w:rPr>
          <w:rFonts w:cstheme="minorHAnsi"/>
          <w:sz w:val="22"/>
          <w:szCs w:val="22"/>
        </w:rPr>
        <w:t>s</w:t>
      </w:r>
      <w:r w:rsidRPr="003C4429">
        <w:rPr>
          <w:rFonts w:cstheme="minorHAnsi"/>
          <w:sz w:val="22"/>
          <w:szCs w:val="22"/>
        </w:rPr>
        <w:t>ervices</w:t>
      </w:r>
      <w:r w:rsidR="00323FC9">
        <w:rPr>
          <w:rFonts w:cstheme="minorHAnsi"/>
          <w:sz w:val="22"/>
          <w:szCs w:val="22"/>
        </w:rPr>
        <w:t>,</w:t>
      </w:r>
      <w:r w:rsidRPr="003C4429">
        <w:rPr>
          <w:rFonts w:cstheme="minorHAnsi"/>
          <w:sz w:val="22"/>
          <w:szCs w:val="22"/>
        </w:rPr>
        <w:t xml:space="preserve"> </w:t>
      </w:r>
      <w:r>
        <w:rPr>
          <w:rFonts w:cstheme="minorHAnsi"/>
          <w:sz w:val="22"/>
          <w:szCs w:val="22"/>
        </w:rPr>
        <w:t>and</w:t>
      </w:r>
      <w:r w:rsidRPr="003C4429">
        <w:rPr>
          <w:rFonts w:cstheme="minorHAnsi"/>
          <w:sz w:val="22"/>
          <w:szCs w:val="22"/>
        </w:rPr>
        <w:t xml:space="preserve"> </w:t>
      </w:r>
      <w:r w:rsidR="007061A7">
        <w:rPr>
          <w:rFonts w:cstheme="minorHAnsi"/>
          <w:sz w:val="22"/>
          <w:szCs w:val="22"/>
        </w:rPr>
        <w:t>s</w:t>
      </w:r>
      <w:r w:rsidRPr="003C4429">
        <w:rPr>
          <w:rFonts w:cstheme="minorHAnsi"/>
          <w:sz w:val="22"/>
          <w:szCs w:val="22"/>
        </w:rPr>
        <w:t xml:space="preserve">ervice </w:t>
      </w:r>
      <w:r w:rsidR="007061A7">
        <w:rPr>
          <w:rFonts w:cstheme="minorHAnsi"/>
          <w:sz w:val="22"/>
          <w:szCs w:val="22"/>
        </w:rPr>
        <w:t>u</w:t>
      </w:r>
      <w:r w:rsidRPr="003C4429">
        <w:rPr>
          <w:rFonts w:cstheme="minorHAnsi"/>
          <w:sz w:val="22"/>
          <w:szCs w:val="22"/>
        </w:rPr>
        <w:t xml:space="preserve">ser </w:t>
      </w:r>
      <w:r w:rsidR="007061A7">
        <w:rPr>
          <w:rFonts w:cstheme="minorHAnsi"/>
          <w:sz w:val="22"/>
          <w:szCs w:val="22"/>
        </w:rPr>
        <w:t>r</w:t>
      </w:r>
      <w:r w:rsidRPr="003C4429">
        <w:rPr>
          <w:rFonts w:cstheme="minorHAnsi"/>
          <w:sz w:val="22"/>
          <w:szCs w:val="22"/>
        </w:rPr>
        <w:t>ecommendations</w:t>
      </w:r>
    </w:p>
    <w:p w14:paraId="54C911EA" w14:textId="1615EF03" w:rsidR="00A32A0E" w:rsidRPr="003C4429" w:rsidRDefault="00A32A0E">
      <w:pPr>
        <w:pStyle w:val="ListParagraph"/>
        <w:numPr>
          <w:ilvl w:val="0"/>
          <w:numId w:val="40"/>
        </w:numPr>
        <w:rPr>
          <w:rFonts w:cstheme="minorHAnsi"/>
          <w:sz w:val="22"/>
          <w:szCs w:val="22"/>
        </w:rPr>
      </w:pPr>
      <w:r w:rsidRPr="003C4429">
        <w:rPr>
          <w:rFonts w:cstheme="minorHAnsi"/>
          <w:sz w:val="22"/>
          <w:szCs w:val="22"/>
        </w:rPr>
        <w:t xml:space="preserve">Meaning of the CCBHC to </w:t>
      </w:r>
      <w:r w:rsidR="007061A7">
        <w:rPr>
          <w:rFonts w:cstheme="minorHAnsi"/>
          <w:sz w:val="22"/>
          <w:szCs w:val="22"/>
        </w:rPr>
        <w:t>s</w:t>
      </w:r>
      <w:r w:rsidRPr="003C4429">
        <w:rPr>
          <w:rFonts w:cstheme="minorHAnsi"/>
          <w:sz w:val="22"/>
          <w:szCs w:val="22"/>
        </w:rPr>
        <w:t xml:space="preserve">ervice </w:t>
      </w:r>
      <w:r w:rsidR="007061A7">
        <w:rPr>
          <w:rFonts w:cstheme="minorHAnsi"/>
          <w:sz w:val="22"/>
          <w:szCs w:val="22"/>
        </w:rPr>
        <w:t>u</w:t>
      </w:r>
      <w:r w:rsidRPr="003C4429">
        <w:rPr>
          <w:rFonts w:cstheme="minorHAnsi"/>
          <w:sz w:val="22"/>
          <w:szCs w:val="22"/>
        </w:rPr>
        <w:t xml:space="preserve">sers </w:t>
      </w:r>
    </w:p>
    <w:p w14:paraId="40C1300D" w14:textId="7C79291B" w:rsidR="00A32A0E" w:rsidRPr="003C4429" w:rsidRDefault="00A32A0E">
      <w:pPr>
        <w:pStyle w:val="ListParagraph"/>
        <w:numPr>
          <w:ilvl w:val="0"/>
          <w:numId w:val="40"/>
        </w:numPr>
        <w:rPr>
          <w:rFonts w:cstheme="minorHAnsi"/>
          <w:sz w:val="22"/>
          <w:szCs w:val="22"/>
        </w:rPr>
      </w:pPr>
      <w:r w:rsidRPr="003C4429">
        <w:rPr>
          <w:rFonts w:cstheme="minorHAnsi"/>
          <w:sz w:val="22"/>
          <w:szCs w:val="22"/>
        </w:rPr>
        <w:t xml:space="preserve">Integration </w:t>
      </w:r>
      <w:r w:rsidR="007061A7">
        <w:rPr>
          <w:rFonts w:cstheme="minorHAnsi"/>
          <w:sz w:val="22"/>
          <w:szCs w:val="22"/>
        </w:rPr>
        <w:t>and c</w:t>
      </w:r>
      <w:r w:rsidRPr="003C4429">
        <w:rPr>
          <w:rFonts w:cstheme="minorHAnsi"/>
          <w:sz w:val="22"/>
          <w:szCs w:val="22"/>
        </w:rPr>
        <w:t xml:space="preserve">oordination of </w:t>
      </w:r>
      <w:r w:rsidR="007061A7">
        <w:rPr>
          <w:rFonts w:cstheme="minorHAnsi"/>
          <w:sz w:val="22"/>
          <w:szCs w:val="22"/>
        </w:rPr>
        <w:t>c</w:t>
      </w:r>
      <w:r w:rsidRPr="003C4429">
        <w:rPr>
          <w:rFonts w:cstheme="minorHAnsi"/>
          <w:sz w:val="22"/>
          <w:szCs w:val="22"/>
        </w:rPr>
        <w:t>are</w:t>
      </w:r>
    </w:p>
    <w:p w14:paraId="4E5D27BB" w14:textId="77777777" w:rsidR="00A32A0E" w:rsidRDefault="00A32A0E" w:rsidP="00A32A0E">
      <w:pPr>
        <w:pStyle w:val="ListParagraph"/>
        <w:ind w:left="1440"/>
        <w:rPr>
          <w:rStyle w:val="Hyperlink"/>
          <w:rFonts w:cstheme="minorHAnsi"/>
          <w:color w:val="000000" w:themeColor="text1"/>
          <w:sz w:val="22"/>
          <w:szCs w:val="22"/>
        </w:rPr>
      </w:pPr>
    </w:p>
    <w:p w14:paraId="66CA15EF" w14:textId="31E3C75A" w:rsidR="00A32A0E" w:rsidRPr="00000D4B" w:rsidRDefault="00A32A0E" w:rsidP="00A32A0E">
      <w:pPr>
        <w:spacing w:after="120"/>
        <w:rPr>
          <w:rFonts w:cstheme="minorHAnsi"/>
          <w:b/>
          <w:bCs/>
          <w:color w:val="6A7F0F"/>
        </w:rPr>
      </w:pPr>
      <w:bookmarkStart w:id="73" w:name="_Timely_&amp;_Accessible"/>
      <w:bookmarkEnd w:id="73"/>
      <w:r w:rsidRPr="00000D4B">
        <w:rPr>
          <w:rFonts w:cstheme="minorHAnsi"/>
          <w:b/>
          <w:bCs/>
          <w:color w:val="6A7F0F"/>
        </w:rPr>
        <w:t>Timely and Accessible Care</w:t>
      </w:r>
    </w:p>
    <w:p w14:paraId="179AA75F" w14:textId="77777777" w:rsidR="00323FC9" w:rsidRPr="000D1B95" w:rsidRDefault="00323FC9" w:rsidP="00323FC9">
      <w:pPr>
        <w:rPr>
          <w:rFonts w:cstheme="minorHAnsi"/>
          <w:sz w:val="22"/>
          <w:szCs w:val="22"/>
        </w:rPr>
      </w:pPr>
      <w:r>
        <w:rPr>
          <w:rFonts w:cstheme="minorHAnsi"/>
          <w:sz w:val="22"/>
          <w:szCs w:val="22"/>
        </w:rPr>
        <w:t xml:space="preserve">Most service users described the care </w:t>
      </w:r>
      <w:r w:rsidRPr="000D1B95">
        <w:rPr>
          <w:rFonts w:cstheme="minorHAnsi"/>
          <w:sz w:val="22"/>
          <w:szCs w:val="22"/>
        </w:rPr>
        <w:t xml:space="preserve">they received from their CCBHC as both timely and accessible. Service users noted that they were generally able to contact their CCBHC without difficulty and </w:t>
      </w:r>
      <w:r>
        <w:rPr>
          <w:rFonts w:cstheme="minorHAnsi"/>
          <w:sz w:val="22"/>
          <w:szCs w:val="22"/>
        </w:rPr>
        <w:t xml:space="preserve">that they </w:t>
      </w:r>
      <w:r w:rsidRPr="000D1B95">
        <w:rPr>
          <w:rFonts w:cstheme="minorHAnsi"/>
          <w:sz w:val="22"/>
          <w:szCs w:val="22"/>
        </w:rPr>
        <w:t>were able to access services at times when they needed them. Nearly all service users expressed that their clinic was responsive to their</w:t>
      </w:r>
      <w:r>
        <w:rPr>
          <w:rFonts w:cstheme="minorHAnsi"/>
          <w:sz w:val="22"/>
          <w:szCs w:val="22"/>
        </w:rPr>
        <w:t xml:space="preserve"> individual</w:t>
      </w:r>
      <w:r w:rsidRPr="000D1B95">
        <w:rPr>
          <w:rFonts w:cstheme="minorHAnsi"/>
          <w:sz w:val="22"/>
          <w:szCs w:val="22"/>
        </w:rPr>
        <w:t xml:space="preserve"> needs</w:t>
      </w:r>
      <w:r>
        <w:rPr>
          <w:rFonts w:cstheme="minorHAnsi"/>
          <w:sz w:val="22"/>
          <w:szCs w:val="22"/>
        </w:rPr>
        <w:t>;</w:t>
      </w:r>
      <w:r w:rsidRPr="000D1B95">
        <w:rPr>
          <w:rFonts w:cstheme="minorHAnsi"/>
          <w:sz w:val="22"/>
          <w:szCs w:val="22"/>
        </w:rPr>
        <w:t xml:space="preserve"> however</w:t>
      </w:r>
      <w:r>
        <w:rPr>
          <w:rFonts w:cstheme="minorHAnsi"/>
          <w:sz w:val="22"/>
          <w:szCs w:val="22"/>
        </w:rPr>
        <w:t>,</w:t>
      </w:r>
      <w:r w:rsidRPr="000D1B95">
        <w:rPr>
          <w:rFonts w:cstheme="minorHAnsi"/>
          <w:sz w:val="22"/>
          <w:szCs w:val="22"/>
        </w:rPr>
        <w:t xml:space="preserve"> some noted that there could be delays in scheduling </w:t>
      </w:r>
      <w:r>
        <w:rPr>
          <w:rFonts w:cstheme="minorHAnsi"/>
          <w:sz w:val="22"/>
          <w:szCs w:val="22"/>
        </w:rPr>
        <w:t>follow-up</w:t>
      </w:r>
      <w:r w:rsidRPr="000D1B95">
        <w:rPr>
          <w:rFonts w:cstheme="minorHAnsi"/>
          <w:sz w:val="22"/>
          <w:szCs w:val="22"/>
        </w:rPr>
        <w:t xml:space="preserve"> care or rescheduling missed appointments.</w:t>
      </w:r>
    </w:p>
    <w:p w14:paraId="72E011CB" w14:textId="77777777" w:rsidR="00A32A0E" w:rsidRDefault="00A32A0E" w:rsidP="00A32A0E">
      <w:pPr>
        <w:ind w:left="720"/>
        <w:rPr>
          <w:rFonts w:cstheme="minorHAnsi"/>
          <w:i/>
          <w:sz w:val="22"/>
          <w:szCs w:val="22"/>
        </w:rPr>
      </w:pPr>
    </w:p>
    <w:p w14:paraId="4B20D20B" w14:textId="0A18C23B" w:rsidR="00A32A0E" w:rsidRPr="000D1B95" w:rsidRDefault="00A32A0E" w:rsidP="00A32A0E">
      <w:pPr>
        <w:ind w:left="720"/>
        <w:rPr>
          <w:rFonts w:cstheme="minorHAnsi"/>
          <w:i/>
          <w:sz w:val="22"/>
          <w:szCs w:val="22"/>
        </w:rPr>
      </w:pPr>
      <w:r w:rsidRPr="000D1B95">
        <w:rPr>
          <w:rFonts w:cstheme="minorHAnsi"/>
          <w:i/>
          <w:sz w:val="22"/>
          <w:szCs w:val="22"/>
        </w:rPr>
        <w:t xml:space="preserve">Care has been easy to access and they have made it easier to get that access in a variety of ways. I am always able to schedule my next appointment at the end of my current, and can call if an emergency arises. I have found the staff to be really helpful in both getting me to where I need to be and follow up. </w:t>
      </w:r>
      <w:r w:rsidRPr="003C4429">
        <w:rPr>
          <w:rFonts w:cstheme="minorHAnsi"/>
          <w:iCs/>
          <w:sz w:val="22"/>
          <w:szCs w:val="22"/>
        </w:rPr>
        <w:t>(Service User 28)</w:t>
      </w:r>
    </w:p>
    <w:p w14:paraId="4526CFD4" w14:textId="77777777" w:rsidR="00A32A0E" w:rsidRPr="000D1B95" w:rsidRDefault="00A32A0E" w:rsidP="00A32A0E">
      <w:pPr>
        <w:ind w:left="720" w:firstLine="720"/>
        <w:rPr>
          <w:rFonts w:cstheme="minorHAnsi"/>
          <w:i/>
          <w:sz w:val="22"/>
          <w:szCs w:val="22"/>
        </w:rPr>
      </w:pPr>
    </w:p>
    <w:p w14:paraId="7CFFDE11"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[They are timely] </w:t>
      </w:r>
      <w:r>
        <w:rPr>
          <w:rFonts w:cstheme="minorHAnsi"/>
          <w:i/>
          <w:sz w:val="22"/>
          <w:szCs w:val="22"/>
        </w:rPr>
        <w:t>b</w:t>
      </w:r>
      <w:r w:rsidRPr="000D1B95">
        <w:rPr>
          <w:rFonts w:cstheme="minorHAnsi"/>
          <w:i/>
          <w:sz w:val="22"/>
          <w:szCs w:val="22"/>
        </w:rPr>
        <w:t xml:space="preserve">oth in crisis and in standard care. My crisis was immediate, I got help immediately and they helped me through that. Throughout my regular care I've had needs to come in and they've been very accessible. </w:t>
      </w:r>
      <w:r w:rsidRPr="003C4429">
        <w:rPr>
          <w:rFonts w:cstheme="minorHAnsi"/>
          <w:iCs/>
          <w:sz w:val="22"/>
          <w:szCs w:val="22"/>
        </w:rPr>
        <w:t>(Service User 11)</w:t>
      </w:r>
    </w:p>
    <w:p w14:paraId="7EF71B26" w14:textId="77777777" w:rsidR="00A32A0E" w:rsidRPr="000D1B95" w:rsidRDefault="00A32A0E" w:rsidP="00A32A0E">
      <w:pPr>
        <w:ind w:left="720" w:firstLine="720"/>
        <w:rPr>
          <w:rFonts w:cstheme="minorHAnsi"/>
          <w:i/>
          <w:sz w:val="22"/>
          <w:szCs w:val="22"/>
        </w:rPr>
      </w:pPr>
    </w:p>
    <w:p w14:paraId="68D96D13"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They're an absolute team of all-stars in all areas, there is no doubt that they have got it fine-tuned. Every week I get plenty of contact and support and am able to go deep and find what it is that is partially causing my mental illness. </w:t>
      </w:r>
      <w:r w:rsidRPr="003C4429">
        <w:rPr>
          <w:rFonts w:cstheme="minorHAnsi"/>
          <w:iCs/>
          <w:sz w:val="22"/>
          <w:szCs w:val="22"/>
        </w:rPr>
        <w:t>(Service User 16)</w:t>
      </w:r>
    </w:p>
    <w:p w14:paraId="783A5DDF" w14:textId="77777777" w:rsidR="00A32A0E" w:rsidRPr="000D1B95" w:rsidRDefault="00A32A0E" w:rsidP="00A32A0E">
      <w:pPr>
        <w:ind w:left="720" w:firstLine="720"/>
        <w:rPr>
          <w:rFonts w:cstheme="minorHAnsi"/>
          <w:i/>
          <w:sz w:val="22"/>
          <w:szCs w:val="22"/>
        </w:rPr>
      </w:pPr>
    </w:p>
    <w:p w14:paraId="72302A65" w14:textId="77777777" w:rsidR="00A32A0E" w:rsidRPr="003C4429" w:rsidRDefault="00A32A0E" w:rsidP="00A32A0E">
      <w:pPr>
        <w:ind w:left="720"/>
        <w:rPr>
          <w:rFonts w:cstheme="minorHAnsi"/>
          <w:iCs/>
          <w:sz w:val="22"/>
          <w:szCs w:val="22"/>
        </w:rPr>
      </w:pPr>
      <w:r w:rsidRPr="000D1B95">
        <w:rPr>
          <w:rFonts w:cstheme="minorHAnsi"/>
          <w:i/>
          <w:sz w:val="22"/>
          <w:szCs w:val="22"/>
        </w:rPr>
        <w:t xml:space="preserve">I try to sit in the lobby almost daily and I've done that for many years now because of personal safety reasons. I do get a lot of service. Up until COVID I would see my therapist every day because they would come in and check in on me. Even now, I have the ability to contact my counselor when I need to. I have a very extraordinary treatment team around me where I can contact them when I need to and I have almost instantaneous contact with them. </w:t>
      </w:r>
      <w:r w:rsidRPr="003C4429">
        <w:rPr>
          <w:rFonts w:cstheme="minorHAnsi"/>
          <w:iCs/>
          <w:sz w:val="22"/>
          <w:szCs w:val="22"/>
        </w:rPr>
        <w:t>(Service User 21)</w:t>
      </w:r>
    </w:p>
    <w:p w14:paraId="3CD76498" w14:textId="77777777" w:rsidR="00A32A0E" w:rsidRPr="000D1B95" w:rsidRDefault="00A32A0E" w:rsidP="00A32A0E">
      <w:pPr>
        <w:ind w:left="720" w:firstLine="720"/>
        <w:rPr>
          <w:rFonts w:cstheme="minorHAnsi"/>
          <w:i/>
          <w:sz w:val="22"/>
          <w:szCs w:val="22"/>
        </w:rPr>
      </w:pPr>
    </w:p>
    <w:p w14:paraId="1C6FA2EE" w14:textId="77777777" w:rsidR="00323FC9" w:rsidRPr="000D1B95" w:rsidRDefault="00323FC9" w:rsidP="00323FC9">
      <w:pPr>
        <w:rPr>
          <w:rFonts w:cstheme="minorHAnsi"/>
          <w:sz w:val="22"/>
          <w:szCs w:val="22"/>
        </w:rPr>
      </w:pPr>
      <w:r w:rsidRPr="000D1B95">
        <w:rPr>
          <w:rFonts w:cstheme="minorHAnsi"/>
          <w:sz w:val="22"/>
          <w:szCs w:val="22"/>
        </w:rPr>
        <w:t>Overall</w:t>
      </w:r>
      <w:r>
        <w:rPr>
          <w:rFonts w:cstheme="minorHAnsi"/>
          <w:sz w:val="22"/>
          <w:szCs w:val="22"/>
        </w:rPr>
        <w:t>,</w:t>
      </w:r>
      <w:r w:rsidRPr="000D1B95">
        <w:rPr>
          <w:rFonts w:cstheme="minorHAnsi"/>
          <w:sz w:val="22"/>
          <w:szCs w:val="22"/>
        </w:rPr>
        <w:t xml:space="preserve"> service users described few limitations or barriers </w:t>
      </w:r>
      <w:r>
        <w:rPr>
          <w:rFonts w:cstheme="minorHAnsi"/>
          <w:sz w:val="22"/>
          <w:szCs w:val="22"/>
        </w:rPr>
        <w:t>related to</w:t>
      </w:r>
      <w:r w:rsidRPr="000D1B95">
        <w:rPr>
          <w:rFonts w:cstheme="minorHAnsi"/>
          <w:sz w:val="22"/>
          <w:szCs w:val="22"/>
        </w:rPr>
        <w:t xml:space="preserve"> their CCBHC that kept them from being able to access care. Many described their CCBHC as having connected them with resources that were critical in facilitating </w:t>
      </w:r>
      <w:r>
        <w:rPr>
          <w:rFonts w:cstheme="minorHAnsi"/>
          <w:sz w:val="22"/>
          <w:szCs w:val="22"/>
        </w:rPr>
        <w:t xml:space="preserve">the </w:t>
      </w:r>
      <w:r w:rsidRPr="000D1B95">
        <w:rPr>
          <w:rFonts w:cstheme="minorHAnsi"/>
          <w:sz w:val="22"/>
          <w:szCs w:val="22"/>
        </w:rPr>
        <w:t xml:space="preserve">accessibility of services, including clinic-provided assistance with enrolling in the Oregon Health Plan (OHP), transportation resources, translation services, as well as housing assistance or other social services needed to support service users in accessing care. </w:t>
      </w:r>
    </w:p>
    <w:p w14:paraId="2C2B8C80" w14:textId="77777777" w:rsidR="00A32A0E" w:rsidRDefault="00A32A0E" w:rsidP="00A32A0E">
      <w:pPr>
        <w:ind w:left="720"/>
        <w:rPr>
          <w:rFonts w:cstheme="minorHAnsi"/>
          <w:i/>
          <w:sz w:val="22"/>
          <w:szCs w:val="22"/>
        </w:rPr>
      </w:pPr>
    </w:p>
    <w:p w14:paraId="27340DFC" w14:textId="1DB9E192" w:rsidR="00A32A0E" w:rsidRPr="000D1B95" w:rsidRDefault="00A32A0E" w:rsidP="00A32A0E">
      <w:pPr>
        <w:ind w:left="720"/>
        <w:rPr>
          <w:rFonts w:cstheme="minorHAnsi"/>
          <w:i/>
          <w:sz w:val="22"/>
          <w:szCs w:val="22"/>
        </w:rPr>
      </w:pPr>
      <w:r w:rsidRPr="000D1B95">
        <w:rPr>
          <w:rFonts w:cstheme="minorHAnsi"/>
          <w:i/>
          <w:sz w:val="22"/>
          <w:szCs w:val="22"/>
        </w:rPr>
        <w:t>I've never had any trouble receiving timely and efficient care at this clinic. I feel my time here has been very well spent and has even helped connect me with a number of invaluable other services, such as Developmental Disability Services and Vocational Rehabilitation. My mood and general disposition ha</w:t>
      </w:r>
      <w:r>
        <w:rPr>
          <w:rFonts w:cstheme="minorHAnsi"/>
          <w:i/>
          <w:sz w:val="22"/>
          <w:szCs w:val="22"/>
        </w:rPr>
        <w:t>ve</w:t>
      </w:r>
      <w:r w:rsidRPr="000D1B95">
        <w:rPr>
          <w:rFonts w:cstheme="minorHAnsi"/>
          <w:i/>
          <w:sz w:val="22"/>
          <w:szCs w:val="22"/>
        </w:rPr>
        <w:t xml:space="preserve"> greatly improved since I've started receiving services here. I have no complaints. </w:t>
      </w:r>
      <w:r w:rsidRPr="003C4429">
        <w:rPr>
          <w:rFonts w:cstheme="minorHAnsi"/>
          <w:iCs/>
          <w:sz w:val="22"/>
          <w:szCs w:val="22"/>
        </w:rPr>
        <w:t>(Service User 35)</w:t>
      </w:r>
    </w:p>
    <w:p w14:paraId="13094528" w14:textId="77777777" w:rsidR="00A32A0E" w:rsidRPr="000D1B95" w:rsidRDefault="00A32A0E" w:rsidP="00A32A0E">
      <w:pPr>
        <w:rPr>
          <w:rFonts w:cstheme="minorHAnsi"/>
          <w:i/>
          <w:sz w:val="22"/>
          <w:szCs w:val="22"/>
        </w:rPr>
      </w:pPr>
    </w:p>
    <w:p w14:paraId="65AEC361"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They have a little program for low income folks and they have a </w:t>
      </w:r>
      <w:r>
        <w:rPr>
          <w:rFonts w:cstheme="minorHAnsi"/>
          <w:i/>
          <w:sz w:val="22"/>
          <w:szCs w:val="22"/>
        </w:rPr>
        <w:t xml:space="preserve">person </w:t>
      </w:r>
      <w:r w:rsidRPr="000D1B95">
        <w:rPr>
          <w:rFonts w:cstheme="minorHAnsi"/>
          <w:i/>
          <w:sz w:val="22"/>
          <w:szCs w:val="22"/>
        </w:rPr>
        <w:t xml:space="preserve">who does all the Oregon Health Plan stuff for free. That's how I got started here, they set me up [with OHP]. I had no income so I got to come here for free. They are also adamant about making sure that you find and click with the right person here. </w:t>
      </w:r>
      <w:r w:rsidRPr="003C4429">
        <w:rPr>
          <w:rFonts w:cstheme="minorHAnsi"/>
          <w:iCs/>
          <w:sz w:val="22"/>
          <w:szCs w:val="22"/>
        </w:rPr>
        <w:t>(Service User 25)</w:t>
      </w:r>
    </w:p>
    <w:p w14:paraId="7C8A54C0" w14:textId="77777777" w:rsidR="00A32A0E" w:rsidRPr="000D1B95" w:rsidRDefault="00A32A0E" w:rsidP="00A32A0E">
      <w:pPr>
        <w:ind w:left="720" w:firstLine="720"/>
        <w:rPr>
          <w:rFonts w:cstheme="minorHAnsi"/>
          <w:i/>
          <w:sz w:val="22"/>
          <w:szCs w:val="22"/>
        </w:rPr>
      </w:pPr>
    </w:p>
    <w:p w14:paraId="61E234E5" w14:textId="77777777" w:rsidR="00A32A0E" w:rsidRPr="000D1B95" w:rsidRDefault="00A32A0E" w:rsidP="00A32A0E">
      <w:pPr>
        <w:ind w:left="720"/>
        <w:rPr>
          <w:rFonts w:cstheme="minorHAnsi"/>
          <w:i/>
          <w:sz w:val="22"/>
          <w:szCs w:val="22"/>
        </w:rPr>
      </w:pPr>
      <w:r w:rsidRPr="000D1B95">
        <w:rPr>
          <w:rFonts w:cstheme="minorHAnsi"/>
          <w:i/>
          <w:sz w:val="22"/>
          <w:szCs w:val="22"/>
        </w:rPr>
        <w:t xml:space="preserve">My partner is deaf and so they arrange for an interpreter to come in during those appointments. That is very helpful and I appreciate it a lot. Not only do they care for me but they also think of my family as well. </w:t>
      </w:r>
      <w:r w:rsidRPr="003C4429">
        <w:rPr>
          <w:rFonts w:cstheme="minorHAnsi"/>
          <w:iCs/>
          <w:sz w:val="22"/>
          <w:szCs w:val="22"/>
        </w:rPr>
        <w:t>(Service User 09)</w:t>
      </w:r>
    </w:p>
    <w:p w14:paraId="3E142BCE" w14:textId="77777777" w:rsidR="00A32A0E" w:rsidRPr="000D1B95" w:rsidRDefault="00A32A0E" w:rsidP="00A32A0E">
      <w:pPr>
        <w:rPr>
          <w:rFonts w:cstheme="minorHAnsi"/>
          <w:sz w:val="22"/>
          <w:szCs w:val="22"/>
        </w:rPr>
      </w:pPr>
    </w:p>
    <w:p w14:paraId="26E145EB" w14:textId="77777777" w:rsidR="00A32A0E" w:rsidRPr="003C4429" w:rsidRDefault="00A32A0E" w:rsidP="00A32A0E">
      <w:pPr>
        <w:ind w:left="720"/>
        <w:rPr>
          <w:rFonts w:cstheme="minorHAnsi"/>
          <w:iCs/>
          <w:sz w:val="22"/>
          <w:szCs w:val="22"/>
        </w:rPr>
      </w:pPr>
      <w:r w:rsidRPr="000D1B95">
        <w:rPr>
          <w:rFonts w:cstheme="minorHAnsi"/>
          <w:i/>
          <w:sz w:val="22"/>
          <w:szCs w:val="22"/>
        </w:rPr>
        <w:t>I didn't know any resources and they were very good about making sure I knew where the clinic was, how to get there. I don't drive and I have never driven, so I began using the bus service. Being an older senior, they helped me figure out how to get hooked up with the bus service and things like tha</w:t>
      </w:r>
      <w:r>
        <w:rPr>
          <w:rFonts w:cstheme="minorHAnsi"/>
          <w:i/>
          <w:sz w:val="22"/>
          <w:szCs w:val="22"/>
        </w:rPr>
        <w:t xml:space="preserve">t. </w:t>
      </w:r>
      <w:r w:rsidRPr="003C4429">
        <w:rPr>
          <w:rFonts w:cstheme="minorHAnsi"/>
          <w:iCs/>
          <w:sz w:val="22"/>
          <w:szCs w:val="22"/>
        </w:rPr>
        <w:t>(Service User 03)</w:t>
      </w:r>
    </w:p>
    <w:p w14:paraId="2B44182C" w14:textId="77777777" w:rsidR="00A32A0E" w:rsidRPr="000D1B95" w:rsidRDefault="00A32A0E" w:rsidP="00A32A0E">
      <w:pPr>
        <w:ind w:left="720" w:firstLine="720"/>
        <w:rPr>
          <w:rFonts w:cstheme="minorHAnsi"/>
          <w:sz w:val="22"/>
          <w:szCs w:val="22"/>
        </w:rPr>
      </w:pPr>
    </w:p>
    <w:p w14:paraId="7B2E981E" w14:textId="77777777" w:rsidR="00323FC9" w:rsidRPr="000D1B95" w:rsidRDefault="00323FC9" w:rsidP="00323FC9">
      <w:pPr>
        <w:rPr>
          <w:rFonts w:cstheme="minorHAnsi"/>
          <w:sz w:val="22"/>
          <w:szCs w:val="22"/>
        </w:rPr>
      </w:pPr>
      <w:r w:rsidRPr="000D1B95">
        <w:rPr>
          <w:rFonts w:cstheme="minorHAnsi"/>
          <w:sz w:val="22"/>
          <w:szCs w:val="22"/>
        </w:rPr>
        <w:t>While most service users reported receiving the care that they needed at the time that they needed it, this experience was not universal and varied among CCBHC</w:t>
      </w:r>
      <w:r>
        <w:rPr>
          <w:rFonts w:cstheme="minorHAnsi"/>
          <w:sz w:val="22"/>
          <w:szCs w:val="22"/>
        </w:rPr>
        <w:t>s</w:t>
      </w:r>
      <w:r w:rsidRPr="000D1B95">
        <w:rPr>
          <w:rFonts w:cstheme="minorHAnsi"/>
          <w:sz w:val="22"/>
          <w:szCs w:val="22"/>
        </w:rPr>
        <w:t xml:space="preserve"> and individual service users. Some service users reported that timeliness and accessibility of care had changed over time</w:t>
      </w:r>
      <w:r>
        <w:rPr>
          <w:rFonts w:cstheme="minorHAnsi"/>
          <w:sz w:val="22"/>
          <w:szCs w:val="22"/>
        </w:rPr>
        <w:t>;</w:t>
      </w:r>
      <w:r w:rsidRPr="000D1B95">
        <w:rPr>
          <w:rFonts w:cstheme="minorHAnsi"/>
          <w:sz w:val="22"/>
          <w:szCs w:val="22"/>
        </w:rPr>
        <w:t xml:space="preserve"> these changes varied by CCBHC. Some service users noted that </w:t>
      </w:r>
      <w:r>
        <w:rPr>
          <w:rFonts w:cstheme="minorHAnsi"/>
          <w:sz w:val="22"/>
          <w:szCs w:val="22"/>
        </w:rPr>
        <w:t>the</w:t>
      </w:r>
      <w:r w:rsidRPr="000D1B95">
        <w:rPr>
          <w:rFonts w:cstheme="minorHAnsi"/>
          <w:sz w:val="22"/>
          <w:szCs w:val="22"/>
        </w:rPr>
        <w:t xml:space="preserve"> ability to schedule appointments when needed had become more difficult in recent years due to COVID-19-related workforce challenges and staff</w:t>
      </w:r>
      <w:r>
        <w:rPr>
          <w:rFonts w:cstheme="minorHAnsi"/>
          <w:sz w:val="22"/>
          <w:szCs w:val="22"/>
        </w:rPr>
        <w:t xml:space="preserve"> </w:t>
      </w:r>
      <w:r w:rsidRPr="000D1B95">
        <w:rPr>
          <w:rFonts w:cstheme="minorHAnsi"/>
          <w:sz w:val="22"/>
          <w:szCs w:val="22"/>
        </w:rPr>
        <w:t xml:space="preserve">turnover, while others </w:t>
      </w:r>
      <w:r>
        <w:rPr>
          <w:rFonts w:cstheme="minorHAnsi"/>
          <w:sz w:val="22"/>
          <w:szCs w:val="22"/>
        </w:rPr>
        <w:t>said</w:t>
      </w:r>
      <w:r w:rsidRPr="000D1B95">
        <w:rPr>
          <w:rFonts w:cstheme="minorHAnsi"/>
          <w:sz w:val="22"/>
          <w:szCs w:val="22"/>
        </w:rPr>
        <w:t xml:space="preserve"> that scheduling had become more reliable since the CCBHC demonstration began. </w:t>
      </w:r>
    </w:p>
    <w:p w14:paraId="16E98720" w14:textId="77777777" w:rsidR="00A32A0E" w:rsidRDefault="00A32A0E" w:rsidP="00A32A0E">
      <w:pPr>
        <w:ind w:left="720"/>
        <w:rPr>
          <w:rFonts w:cstheme="minorHAnsi"/>
          <w:i/>
          <w:sz w:val="22"/>
          <w:szCs w:val="22"/>
        </w:rPr>
      </w:pPr>
    </w:p>
    <w:p w14:paraId="7703D9EC" w14:textId="0C7245B9" w:rsidR="00A32A0E" w:rsidRPr="000D1B95" w:rsidRDefault="00A32A0E" w:rsidP="00A32A0E">
      <w:pPr>
        <w:ind w:left="720"/>
        <w:rPr>
          <w:rFonts w:cstheme="minorHAnsi"/>
          <w:i/>
          <w:sz w:val="22"/>
          <w:szCs w:val="22"/>
        </w:rPr>
      </w:pPr>
      <w:r w:rsidRPr="000D1B95">
        <w:rPr>
          <w:rFonts w:cstheme="minorHAnsi"/>
          <w:i/>
          <w:sz w:val="22"/>
          <w:szCs w:val="22"/>
        </w:rPr>
        <w:t xml:space="preserve">When I first started coming to this clinic many years ago it was very trying to get an appointment, the resources were not plentiful and the counselors wouldn't stay long. It was very difficult to get appointments, let alone appointments with a counselor that was familiar with the LGBTQ+ community. I had one counselor, she was very good at her job but she left to go someplace else and it was a long time before I finally got back into the counseling cycle here. Now I go twice a month, at least, and I find it has gotten a little more accessible within the past year or so, as far as appointments are concerned. </w:t>
      </w:r>
      <w:r w:rsidRPr="003C4429">
        <w:rPr>
          <w:rFonts w:cstheme="minorHAnsi"/>
          <w:iCs/>
          <w:sz w:val="22"/>
          <w:szCs w:val="22"/>
        </w:rPr>
        <w:t>(Service User 24)</w:t>
      </w:r>
      <w:r w:rsidRPr="000D1B95">
        <w:rPr>
          <w:rFonts w:cstheme="minorHAnsi"/>
          <w:i/>
          <w:sz w:val="22"/>
          <w:szCs w:val="22"/>
        </w:rPr>
        <w:tab/>
      </w:r>
    </w:p>
    <w:p w14:paraId="69CC1B8F" w14:textId="77777777" w:rsidR="00A32A0E" w:rsidRPr="000D1B95" w:rsidRDefault="00A32A0E" w:rsidP="00A32A0E">
      <w:pPr>
        <w:ind w:firstLine="720"/>
        <w:rPr>
          <w:rFonts w:cstheme="minorHAnsi"/>
          <w:sz w:val="22"/>
          <w:szCs w:val="22"/>
        </w:rPr>
      </w:pPr>
    </w:p>
    <w:p w14:paraId="0D18E0C3" w14:textId="77777777" w:rsidR="00323FC9" w:rsidRPr="000D1B95" w:rsidRDefault="00323FC9" w:rsidP="00323FC9">
      <w:pPr>
        <w:rPr>
          <w:rFonts w:cstheme="minorHAnsi"/>
          <w:sz w:val="22"/>
          <w:szCs w:val="22"/>
        </w:rPr>
      </w:pPr>
      <w:r w:rsidRPr="000D1B95">
        <w:rPr>
          <w:rFonts w:cstheme="minorHAnsi"/>
          <w:sz w:val="22"/>
          <w:szCs w:val="22"/>
        </w:rPr>
        <w:t xml:space="preserve">Service users who needed support between regularly scheduled appointments described different experiences obtaining between-appointment support, depending on the clinic and </w:t>
      </w:r>
      <w:r>
        <w:rPr>
          <w:rFonts w:cstheme="minorHAnsi"/>
          <w:sz w:val="22"/>
          <w:szCs w:val="22"/>
        </w:rPr>
        <w:t xml:space="preserve">the </w:t>
      </w:r>
      <w:r w:rsidRPr="000D1B95">
        <w:rPr>
          <w:rFonts w:cstheme="minorHAnsi"/>
          <w:sz w:val="22"/>
          <w:szCs w:val="22"/>
        </w:rPr>
        <w:t>relationship between the service user and their counselor. The majority of service users were pleased with their ability to contact their providers between regular</w:t>
      </w:r>
      <w:r>
        <w:rPr>
          <w:rFonts w:cstheme="minorHAnsi"/>
          <w:sz w:val="22"/>
          <w:szCs w:val="22"/>
        </w:rPr>
        <w:t>ly</w:t>
      </w:r>
      <w:r w:rsidRPr="000D1B95">
        <w:rPr>
          <w:rFonts w:cstheme="minorHAnsi"/>
          <w:sz w:val="22"/>
          <w:szCs w:val="22"/>
        </w:rPr>
        <w:t xml:space="preserve"> scheduled appointments</w:t>
      </w:r>
      <w:r>
        <w:rPr>
          <w:rFonts w:cstheme="minorHAnsi"/>
          <w:sz w:val="22"/>
          <w:szCs w:val="22"/>
        </w:rPr>
        <w:t>,</w:t>
      </w:r>
      <w:r w:rsidRPr="000D1B95">
        <w:rPr>
          <w:rFonts w:cstheme="minorHAnsi"/>
          <w:sz w:val="22"/>
          <w:szCs w:val="22"/>
        </w:rPr>
        <w:t xml:space="preserve"> as needed</w:t>
      </w:r>
      <w:r>
        <w:rPr>
          <w:rFonts w:cstheme="minorHAnsi"/>
          <w:sz w:val="22"/>
          <w:szCs w:val="22"/>
        </w:rPr>
        <w:t>,</w:t>
      </w:r>
      <w:r w:rsidRPr="000D1B95">
        <w:rPr>
          <w:rFonts w:cstheme="minorHAnsi"/>
          <w:sz w:val="22"/>
          <w:szCs w:val="22"/>
        </w:rPr>
        <w:t xml:space="preserve"> </w:t>
      </w:r>
      <w:r>
        <w:rPr>
          <w:rFonts w:cstheme="minorHAnsi"/>
          <w:sz w:val="22"/>
          <w:szCs w:val="22"/>
        </w:rPr>
        <w:t>for</w:t>
      </w:r>
      <w:r w:rsidRPr="000D1B95">
        <w:rPr>
          <w:rFonts w:cstheme="minorHAnsi"/>
          <w:sz w:val="22"/>
          <w:szCs w:val="22"/>
        </w:rPr>
        <w:t xml:space="preserve"> support in working through issues </w:t>
      </w:r>
      <w:r>
        <w:rPr>
          <w:rFonts w:cstheme="minorHAnsi"/>
          <w:sz w:val="22"/>
          <w:szCs w:val="22"/>
        </w:rPr>
        <w:t>as they arose</w:t>
      </w:r>
      <w:r w:rsidRPr="000D1B95">
        <w:rPr>
          <w:rFonts w:cstheme="minorHAnsi"/>
          <w:sz w:val="22"/>
          <w:szCs w:val="22"/>
        </w:rPr>
        <w:t xml:space="preserve">. </w:t>
      </w:r>
      <w:r>
        <w:rPr>
          <w:rFonts w:cstheme="minorHAnsi"/>
          <w:sz w:val="22"/>
          <w:szCs w:val="22"/>
        </w:rPr>
        <w:t>However, s</w:t>
      </w:r>
      <w:r w:rsidRPr="000D1B95">
        <w:rPr>
          <w:rFonts w:cstheme="minorHAnsi"/>
          <w:sz w:val="22"/>
          <w:szCs w:val="22"/>
        </w:rPr>
        <w:t>ome service users expressed that they were not always able to contact their providers between appointments and,</w:t>
      </w:r>
      <w:r>
        <w:rPr>
          <w:rFonts w:cstheme="minorHAnsi"/>
          <w:sz w:val="22"/>
          <w:szCs w:val="22"/>
        </w:rPr>
        <w:t xml:space="preserve"> while they could turn to after-</w:t>
      </w:r>
      <w:r w:rsidRPr="000D1B95">
        <w:rPr>
          <w:rFonts w:cstheme="minorHAnsi"/>
          <w:sz w:val="22"/>
          <w:szCs w:val="22"/>
        </w:rPr>
        <w:t xml:space="preserve">hours or crisis services, they would have preferred talking to someone already familiar with </w:t>
      </w:r>
      <w:r>
        <w:rPr>
          <w:rFonts w:cstheme="minorHAnsi"/>
          <w:sz w:val="22"/>
          <w:szCs w:val="22"/>
        </w:rPr>
        <w:t xml:space="preserve">them and </w:t>
      </w:r>
      <w:r w:rsidRPr="000D1B95">
        <w:rPr>
          <w:rFonts w:cstheme="minorHAnsi"/>
          <w:sz w:val="22"/>
          <w:szCs w:val="22"/>
        </w:rPr>
        <w:t xml:space="preserve">their case. </w:t>
      </w:r>
    </w:p>
    <w:p w14:paraId="7C48B5C5" w14:textId="77777777" w:rsidR="00A32A0E" w:rsidRDefault="00A32A0E" w:rsidP="00A32A0E">
      <w:pPr>
        <w:ind w:left="720"/>
        <w:rPr>
          <w:rFonts w:cstheme="minorHAnsi"/>
          <w:i/>
          <w:sz w:val="22"/>
          <w:szCs w:val="22"/>
        </w:rPr>
      </w:pPr>
    </w:p>
    <w:p w14:paraId="74058D4B" w14:textId="11C6376B" w:rsidR="00A32A0E" w:rsidRPr="003C4429" w:rsidRDefault="00A32A0E" w:rsidP="00A32A0E">
      <w:pPr>
        <w:ind w:left="720"/>
        <w:rPr>
          <w:rFonts w:cstheme="minorHAnsi"/>
          <w:iCs/>
          <w:sz w:val="22"/>
          <w:szCs w:val="22"/>
        </w:rPr>
      </w:pPr>
      <w:r w:rsidRPr="000D1B95">
        <w:rPr>
          <w:rFonts w:cstheme="minorHAnsi"/>
          <w:i/>
          <w:sz w:val="22"/>
          <w:szCs w:val="22"/>
        </w:rPr>
        <w:t xml:space="preserve">Care has been available when I need it. Sometimes the wait between appointments is longer than intended, but I can always reach out to my team in between scheduled visits if I need support. Most consistent and patient-friendly mental health services I've ever used. </w:t>
      </w:r>
      <w:r w:rsidRPr="003C4429">
        <w:rPr>
          <w:rFonts w:cstheme="minorHAnsi"/>
          <w:iCs/>
          <w:sz w:val="22"/>
          <w:szCs w:val="22"/>
        </w:rPr>
        <w:t xml:space="preserve">(Service User 32) </w:t>
      </w:r>
    </w:p>
    <w:p w14:paraId="140A64EB" w14:textId="77777777" w:rsidR="00A32A0E" w:rsidRPr="000D1B95" w:rsidRDefault="00A32A0E" w:rsidP="00A32A0E">
      <w:pPr>
        <w:ind w:left="720" w:firstLine="720"/>
        <w:rPr>
          <w:rFonts w:cstheme="minorHAnsi"/>
          <w:i/>
          <w:sz w:val="22"/>
          <w:szCs w:val="22"/>
        </w:rPr>
      </w:pPr>
    </w:p>
    <w:p w14:paraId="6DCE49C9" w14:textId="4FDF5434" w:rsidR="00A32A0E" w:rsidRDefault="00A32A0E" w:rsidP="00A32A0E">
      <w:pPr>
        <w:ind w:left="720"/>
        <w:rPr>
          <w:rFonts w:cstheme="minorHAnsi"/>
          <w:iCs/>
          <w:sz w:val="22"/>
          <w:szCs w:val="22"/>
        </w:rPr>
      </w:pPr>
      <w:r w:rsidRPr="000D1B95">
        <w:rPr>
          <w:rFonts w:cstheme="minorHAnsi"/>
          <w:i/>
          <w:sz w:val="22"/>
          <w:szCs w:val="22"/>
        </w:rPr>
        <w:t xml:space="preserve">When I've called and I've needed to talk to someone, they've gotten me someone, or they've provided the </w:t>
      </w:r>
      <w:r>
        <w:rPr>
          <w:rFonts w:cstheme="minorHAnsi"/>
          <w:i/>
          <w:sz w:val="22"/>
          <w:szCs w:val="22"/>
        </w:rPr>
        <w:t>after-hours</w:t>
      </w:r>
      <w:r w:rsidRPr="000D1B95">
        <w:rPr>
          <w:rFonts w:cstheme="minorHAnsi"/>
          <w:i/>
          <w:sz w:val="22"/>
          <w:szCs w:val="22"/>
        </w:rPr>
        <w:t xml:space="preserve"> number. Those people are super compassionate when you need them, but there's only so much that people who don't know about your particular case can do. They're just trying to help you in that moment. </w:t>
      </w:r>
      <w:r w:rsidRPr="003C4429">
        <w:rPr>
          <w:rFonts w:cstheme="minorHAnsi"/>
          <w:iCs/>
          <w:sz w:val="22"/>
          <w:szCs w:val="22"/>
        </w:rPr>
        <w:t>(Service User 05)</w:t>
      </w:r>
    </w:p>
    <w:p w14:paraId="45AE3DB6" w14:textId="77777777" w:rsidR="001271ED" w:rsidRPr="000D1B95" w:rsidRDefault="001271ED" w:rsidP="00A32A0E">
      <w:pPr>
        <w:ind w:left="720"/>
        <w:rPr>
          <w:rFonts w:cstheme="minorHAnsi"/>
          <w:i/>
          <w:sz w:val="22"/>
          <w:szCs w:val="22"/>
        </w:rPr>
      </w:pPr>
    </w:p>
    <w:p w14:paraId="1DF189A0"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They’re pretty good about having someone there for you. If you text them or if you call, they're not busy. If they are busy, it might take a minute for them to reply to a text, but somebody's always right on it. </w:t>
      </w:r>
      <w:r w:rsidRPr="003C4429">
        <w:rPr>
          <w:rFonts w:cstheme="minorHAnsi"/>
          <w:iCs/>
          <w:sz w:val="22"/>
          <w:szCs w:val="22"/>
        </w:rPr>
        <w:t>(Service User 18)</w:t>
      </w:r>
    </w:p>
    <w:p w14:paraId="56397E4A" w14:textId="77777777" w:rsidR="00A32A0E" w:rsidRPr="000D1B95" w:rsidRDefault="00A32A0E" w:rsidP="00A32A0E">
      <w:pPr>
        <w:ind w:left="720" w:firstLine="720"/>
        <w:rPr>
          <w:rFonts w:cstheme="minorHAnsi"/>
          <w:i/>
          <w:sz w:val="22"/>
          <w:szCs w:val="22"/>
        </w:rPr>
      </w:pPr>
    </w:p>
    <w:p w14:paraId="76AEBB70" w14:textId="77777777" w:rsidR="00A32A0E" w:rsidRPr="000D1B95" w:rsidRDefault="00A32A0E" w:rsidP="00A32A0E">
      <w:pPr>
        <w:ind w:left="720"/>
        <w:rPr>
          <w:rFonts w:cstheme="minorHAnsi"/>
          <w:i/>
          <w:sz w:val="22"/>
          <w:szCs w:val="22"/>
        </w:rPr>
      </w:pPr>
      <w:r w:rsidRPr="000D1B95">
        <w:rPr>
          <w:rFonts w:cstheme="minorHAnsi"/>
          <w:i/>
          <w:sz w:val="22"/>
          <w:szCs w:val="22"/>
        </w:rPr>
        <w:t xml:space="preserve">My therapy appointment was the next day, but I really needed it that day. I texted my therapist and I said, "Hey, I'm going through it. I need to talk to you." She set up a time that same day and we talked. She helped me get through it, and it was great. </w:t>
      </w:r>
      <w:r w:rsidRPr="003C4429">
        <w:rPr>
          <w:rFonts w:cstheme="minorHAnsi"/>
          <w:iCs/>
          <w:sz w:val="22"/>
          <w:szCs w:val="22"/>
        </w:rPr>
        <w:t>(Service User 09)</w:t>
      </w:r>
    </w:p>
    <w:p w14:paraId="2859C0BC" w14:textId="77777777" w:rsidR="00A32A0E" w:rsidRPr="000D1B95" w:rsidRDefault="00A32A0E" w:rsidP="00A32A0E">
      <w:pPr>
        <w:ind w:left="720" w:firstLine="720"/>
        <w:rPr>
          <w:rFonts w:cstheme="minorHAnsi"/>
          <w:i/>
          <w:sz w:val="22"/>
          <w:szCs w:val="22"/>
        </w:rPr>
      </w:pPr>
    </w:p>
    <w:p w14:paraId="1643A851"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 accessibility has improved greatly over time at this facility. There were times when I would go with one appointment every two months and that wasn't cutting it. It wasn't crisis management team time, but it was "I need a counselor right now." And that's improved greatly. </w:t>
      </w:r>
      <w:r w:rsidRPr="003C4429">
        <w:rPr>
          <w:rFonts w:cstheme="minorHAnsi"/>
          <w:iCs/>
          <w:sz w:val="22"/>
          <w:szCs w:val="22"/>
        </w:rPr>
        <w:t>(Service User 24)</w:t>
      </w:r>
    </w:p>
    <w:p w14:paraId="3C9CF1DC" w14:textId="77777777" w:rsidR="00A32A0E" w:rsidRPr="000D1B95" w:rsidRDefault="00A32A0E" w:rsidP="00A32A0E">
      <w:pPr>
        <w:ind w:left="720" w:firstLine="720"/>
        <w:rPr>
          <w:rFonts w:cstheme="minorHAnsi"/>
          <w:i/>
          <w:sz w:val="22"/>
          <w:szCs w:val="22"/>
        </w:rPr>
      </w:pPr>
    </w:p>
    <w:p w14:paraId="28B30379" w14:textId="49A1832B" w:rsidR="00323FC9" w:rsidRPr="000D1B95" w:rsidRDefault="00323FC9" w:rsidP="00323FC9">
      <w:pPr>
        <w:rPr>
          <w:rFonts w:cstheme="minorHAnsi"/>
          <w:sz w:val="22"/>
          <w:szCs w:val="22"/>
        </w:rPr>
      </w:pPr>
      <w:r>
        <w:rPr>
          <w:rFonts w:cstheme="minorHAnsi"/>
          <w:sz w:val="22"/>
          <w:szCs w:val="22"/>
        </w:rPr>
        <w:t>T</w:t>
      </w:r>
      <w:r w:rsidRPr="000D1B95">
        <w:rPr>
          <w:rFonts w:cstheme="minorHAnsi"/>
          <w:sz w:val="22"/>
          <w:szCs w:val="22"/>
        </w:rPr>
        <w:t>he general sentiment among service users was that care from the</w:t>
      </w:r>
      <w:r>
        <w:rPr>
          <w:rFonts w:cstheme="minorHAnsi"/>
          <w:sz w:val="22"/>
          <w:szCs w:val="22"/>
        </w:rPr>
        <w:t>ir</w:t>
      </w:r>
      <w:r w:rsidRPr="000D1B95">
        <w:rPr>
          <w:rFonts w:cstheme="minorHAnsi"/>
          <w:sz w:val="22"/>
          <w:szCs w:val="22"/>
        </w:rPr>
        <w:t xml:space="preserve"> CCBHC</w:t>
      </w:r>
      <w:r>
        <w:rPr>
          <w:rFonts w:cstheme="minorHAnsi"/>
          <w:sz w:val="22"/>
          <w:szCs w:val="22"/>
        </w:rPr>
        <w:t xml:space="preserve"> </w:t>
      </w:r>
      <w:r w:rsidRPr="000D1B95">
        <w:rPr>
          <w:rFonts w:cstheme="minorHAnsi"/>
          <w:sz w:val="22"/>
          <w:szCs w:val="22"/>
        </w:rPr>
        <w:t>was both timely and accessible</w:t>
      </w:r>
      <w:r>
        <w:rPr>
          <w:rFonts w:cstheme="minorHAnsi"/>
          <w:sz w:val="22"/>
          <w:szCs w:val="22"/>
        </w:rPr>
        <w:t>; however,</w:t>
      </w:r>
      <w:r w:rsidRPr="000D1B95">
        <w:rPr>
          <w:rFonts w:cstheme="minorHAnsi"/>
          <w:sz w:val="22"/>
          <w:szCs w:val="22"/>
        </w:rPr>
        <w:t xml:space="preserve"> some service users reported that their ability to be seen quickly </w:t>
      </w:r>
      <w:r>
        <w:rPr>
          <w:rFonts w:cstheme="minorHAnsi"/>
          <w:sz w:val="22"/>
          <w:szCs w:val="22"/>
        </w:rPr>
        <w:t>was</w:t>
      </w:r>
      <w:r w:rsidRPr="000D1B95">
        <w:rPr>
          <w:rFonts w:cstheme="minorHAnsi"/>
          <w:sz w:val="22"/>
          <w:szCs w:val="22"/>
        </w:rPr>
        <w:t xml:space="preserve"> limited by workforce-related challenges, such as staff turnover and/or high provider caseloads, both of which contributed to challenges in scheduling. Some of these service users described challenges in scheduling appointments with the frequency needed to meet their individual needs and/or frustrations with establishing care with a new provider in response to a staff departure. Some of these service users noted that their CCBHC </w:t>
      </w:r>
      <w:r>
        <w:rPr>
          <w:rFonts w:cstheme="minorHAnsi"/>
          <w:sz w:val="22"/>
          <w:szCs w:val="22"/>
        </w:rPr>
        <w:t>did well</w:t>
      </w:r>
      <w:r w:rsidRPr="000D1B95">
        <w:rPr>
          <w:rFonts w:cstheme="minorHAnsi"/>
          <w:sz w:val="22"/>
          <w:szCs w:val="22"/>
        </w:rPr>
        <w:t xml:space="preserve"> at working around scheduling challenges, either coordinating a quick phone or text </w:t>
      </w:r>
      <w:r>
        <w:rPr>
          <w:rFonts w:cstheme="minorHAnsi"/>
          <w:sz w:val="22"/>
          <w:szCs w:val="22"/>
        </w:rPr>
        <w:t>check-in</w:t>
      </w:r>
      <w:r w:rsidRPr="000D1B95">
        <w:rPr>
          <w:rFonts w:cstheme="minorHAnsi"/>
          <w:sz w:val="22"/>
          <w:szCs w:val="22"/>
        </w:rPr>
        <w:t xml:space="preserve"> with their counselor between appointments or connecting them with a group meeting or similar service</w:t>
      </w:r>
      <w:r>
        <w:rPr>
          <w:rFonts w:cstheme="minorHAnsi"/>
          <w:sz w:val="22"/>
          <w:szCs w:val="22"/>
        </w:rPr>
        <w:t xml:space="preserve"> in the interim</w:t>
      </w:r>
      <w:r w:rsidRPr="000D1B95">
        <w:rPr>
          <w:rFonts w:cstheme="minorHAnsi"/>
          <w:sz w:val="22"/>
          <w:szCs w:val="22"/>
        </w:rPr>
        <w:t xml:space="preserve">. </w:t>
      </w:r>
      <w:r>
        <w:rPr>
          <w:rFonts w:cstheme="minorHAnsi"/>
          <w:sz w:val="22"/>
          <w:szCs w:val="22"/>
        </w:rPr>
        <w:t>O</w:t>
      </w:r>
      <w:r w:rsidRPr="000D1B95">
        <w:rPr>
          <w:rFonts w:cstheme="minorHAnsi"/>
          <w:sz w:val="22"/>
          <w:szCs w:val="22"/>
        </w:rPr>
        <w:t>thers expressed ongoing frustration</w:t>
      </w:r>
      <w:r>
        <w:rPr>
          <w:rFonts w:cstheme="minorHAnsi"/>
          <w:sz w:val="22"/>
          <w:szCs w:val="22"/>
        </w:rPr>
        <w:t>s</w:t>
      </w:r>
      <w:r w:rsidRPr="000D1B95">
        <w:rPr>
          <w:rFonts w:cstheme="minorHAnsi"/>
          <w:sz w:val="22"/>
          <w:szCs w:val="22"/>
        </w:rPr>
        <w:t>, particularly if they were told that the delay in care was the result of staffing issues without being provided an alternat</w:t>
      </w:r>
      <w:r>
        <w:rPr>
          <w:rFonts w:cstheme="minorHAnsi"/>
          <w:sz w:val="22"/>
          <w:szCs w:val="22"/>
        </w:rPr>
        <w:t>iv</w:t>
      </w:r>
      <w:r w:rsidRPr="000D1B95">
        <w:rPr>
          <w:rFonts w:cstheme="minorHAnsi"/>
          <w:sz w:val="22"/>
          <w:szCs w:val="22"/>
        </w:rPr>
        <w:t xml:space="preserve">e solution. For service users who </w:t>
      </w:r>
      <w:r w:rsidR="007061A7">
        <w:rPr>
          <w:rFonts w:cstheme="minorHAnsi"/>
          <w:sz w:val="22"/>
          <w:szCs w:val="22"/>
        </w:rPr>
        <w:t>felt</w:t>
      </w:r>
      <w:r w:rsidRPr="000D1B95">
        <w:rPr>
          <w:rFonts w:cstheme="minorHAnsi"/>
          <w:sz w:val="22"/>
          <w:szCs w:val="22"/>
        </w:rPr>
        <w:t xml:space="preserve"> that their needs were </w:t>
      </w:r>
      <w:r w:rsidR="007061A7">
        <w:rPr>
          <w:rFonts w:cstheme="minorHAnsi"/>
          <w:sz w:val="22"/>
          <w:szCs w:val="22"/>
        </w:rPr>
        <w:t xml:space="preserve">not </w:t>
      </w:r>
      <w:r w:rsidRPr="000D1B95">
        <w:rPr>
          <w:rFonts w:cstheme="minorHAnsi"/>
          <w:sz w:val="22"/>
          <w:szCs w:val="22"/>
        </w:rPr>
        <w:t>being met, the inability to obtain an appointment with a provider and/or lack of a consistent provider familiar with their case could exacerbate ongoing personal challenges. These challenges appl</w:t>
      </w:r>
      <w:r>
        <w:rPr>
          <w:rFonts w:cstheme="minorHAnsi"/>
          <w:sz w:val="22"/>
          <w:szCs w:val="22"/>
        </w:rPr>
        <w:t>ied</w:t>
      </w:r>
      <w:r w:rsidRPr="000D1B95">
        <w:rPr>
          <w:rFonts w:cstheme="minorHAnsi"/>
          <w:sz w:val="22"/>
          <w:szCs w:val="22"/>
        </w:rPr>
        <w:t xml:space="preserve"> </w:t>
      </w:r>
      <w:r>
        <w:rPr>
          <w:rFonts w:cstheme="minorHAnsi"/>
          <w:sz w:val="22"/>
          <w:szCs w:val="22"/>
        </w:rPr>
        <w:t>more often</w:t>
      </w:r>
      <w:r w:rsidRPr="000D1B95">
        <w:rPr>
          <w:rFonts w:cstheme="minorHAnsi"/>
          <w:sz w:val="22"/>
          <w:szCs w:val="22"/>
        </w:rPr>
        <w:t xml:space="preserve"> to </w:t>
      </w:r>
      <w:r w:rsidR="007061A7">
        <w:rPr>
          <w:rFonts w:cstheme="minorHAnsi"/>
          <w:sz w:val="22"/>
          <w:szCs w:val="22"/>
        </w:rPr>
        <w:t xml:space="preserve">urban </w:t>
      </w:r>
      <w:r w:rsidRPr="000D1B95">
        <w:rPr>
          <w:rFonts w:cstheme="minorHAnsi"/>
          <w:sz w:val="22"/>
          <w:szCs w:val="22"/>
        </w:rPr>
        <w:t>service users.</w:t>
      </w:r>
    </w:p>
    <w:p w14:paraId="22CC46D6" w14:textId="77777777" w:rsidR="00A32A0E" w:rsidRDefault="00A32A0E" w:rsidP="00A32A0E">
      <w:pPr>
        <w:ind w:left="720"/>
        <w:rPr>
          <w:rFonts w:cstheme="minorHAnsi"/>
          <w:i/>
          <w:sz w:val="22"/>
          <w:szCs w:val="22"/>
        </w:rPr>
      </w:pPr>
    </w:p>
    <w:p w14:paraId="0A7FC196" w14:textId="472D6815" w:rsidR="00A32A0E" w:rsidRPr="000D1B95" w:rsidRDefault="00A32A0E" w:rsidP="00A32A0E">
      <w:pPr>
        <w:ind w:left="720"/>
        <w:rPr>
          <w:rFonts w:cstheme="minorHAnsi"/>
          <w:i/>
          <w:sz w:val="22"/>
          <w:szCs w:val="22"/>
        </w:rPr>
      </w:pPr>
      <w:r>
        <w:rPr>
          <w:rFonts w:cstheme="minorHAnsi"/>
          <w:i/>
          <w:sz w:val="22"/>
          <w:szCs w:val="22"/>
        </w:rPr>
        <w:t xml:space="preserve">Someone </w:t>
      </w:r>
      <w:r w:rsidRPr="000D1B95">
        <w:rPr>
          <w:rFonts w:cstheme="minorHAnsi"/>
          <w:i/>
          <w:sz w:val="22"/>
          <w:szCs w:val="22"/>
        </w:rPr>
        <w:t>has always been able to contact me reasonably quickly, so I've never felt like I fell through the cracks. I have to admit that there have been a couple of times when I wasn't able to get in to see someone, but somebody has always reached out via phone, so I've been lucky that way. It's always been handled very quickly</w:t>
      </w:r>
      <w:r w:rsidR="001271ED">
        <w:rPr>
          <w:rFonts w:cstheme="minorHAnsi"/>
          <w:i/>
          <w:sz w:val="22"/>
          <w:szCs w:val="22"/>
        </w:rPr>
        <w:t>;</w:t>
      </w:r>
      <w:r w:rsidRPr="000D1B95">
        <w:rPr>
          <w:rFonts w:cstheme="minorHAnsi"/>
          <w:i/>
          <w:sz w:val="22"/>
          <w:szCs w:val="22"/>
        </w:rPr>
        <w:t xml:space="preserve"> I’ve never had to be referred out to another clinic or go to my primary care physician in lieu of being seen here. I've never experienced them failing to get me seen or have someone return my calls. </w:t>
      </w:r>
      <w:r w:rsidRPr="000C77E0">
        <w:rPr>
          <w:rFonts w:cstheme="minorHAnsi"/>
          <w:iCs/>
          <w:sz w:val="22"/>
          <w:szCs w:val="22"/>
        </w:rPr>
        <w:t>(Service User 03)</w:t>
      </w:r>
      <w:r w:rsidRPr="000D1B95">
        <w:rPr>
          <w:rFonts w:cstheme="minorHAnsi"/>
          <w:i/>
          <w:sz w:val="22"/>
          <w:szCs w:val="22"/>
        </w:rPr>
        <w:br/>
      </w:r>
    </w:p>
    <w:p w14:paraId="6232518F" w14:textId="77777777" w:rsidR="00A32A0E" w:rsidRPr="000D1B95" w:rsidRDefault="00A32A0E" w:rsidP="00A32A0E">
      <w:pPr>
        <w:ind w:left="720"/>
        <w:rPr>
          <w:rFonts w:cstheme="minorHAnsi"/>
          <w:i/>
          <w:sz w:val="22"/>
          <w:szCs w:val="22"/>
        </w:rPr>
      </w:pPr>
      <w:r w:rsidRPr="000D1B95">
        <w:rPr>
          <w:rFonts w:cstheme="minorHAnsi"/>
          <w:i/>
          <w:sz w:val="22"/>
          <w:szCs w:val="22"/>
        </w:rPr>
        <w:t xml:space="preserve">Whenever I need something I'm able to call in and get help right away, whether it's a crisis or not. The only thing that I have found is that sometimes, and I know they're busy because they have a decent sized county to serve, sometimes when they say they're going to call me to check in on me, they forget to. </w:t>
      </w:r>
      <w:r w:rsidRPr="000C77E0">
        <w:rPr>
          <w:rFonts w:cstheme="minorHAnsi"/>
          <w:iCs/>
          <w:sz w:val="22"/>
          <w:szCs w:val="22"/>
        </w:rPr>
        <w:t>(Service User 25)</w:t>
      </w:r>
    </w:p>
    <w:p w14:paraId="3F6FD263" w14:textId="77777777" w:rsidR="00A32A0E" w:rsidRPr="000D1B95" w:rsidRDefault="00A32A0E" w:rsidP="00A32A0E">
      <w:pPr>
        <w:ind w:left="720" w:firstLine="720"/>
        <w:rPr>
          <w:rFonts w:cstheme="minorHAnsi"/>
          <w:sz w:val="22"/>
          <w:szCs w:val="22"/>
        </w:rPr>
      </w:pPr>
    </w:p>
    <w:p w14:paraId="3FE6E7F9" w14:textId="77777777" w:rsidR="00A32A0E" w:rsidRPr="000D1B95" w:rsidRDefault="00A32A0E" w:rsidP="00A32A0E">
      <w:pPr>
        <w:ind w:left="720"/>
        <w:rPr>
          <w:rFonts w:cstheme="minorHAnsi"/>
          <w:i/>
          <w:sz w:val="22"/>
          <w:szCs w:val="22"/>
        </w:rPr>
      </w:pPr>
      <w:r w:rsidRPr="000D1B95">
        <w:rPr>
          <w:rFonts w:cstheme="minorHAnsi"/>
          <w:i/>
          <w:sz w:val="22"/>
          <w:szCs w:val="22"/>
        </w:rPr>
        <w:t>I have found that there have been times that scheduling is such that I may be able to see my therapist perhaps once a month, and there have been times where, because of issues in my life, that felt too infrequent. I do have an arrangement with my therapist that if something were to come up</w:t>
      </w:r>
      <w:r>
        <w:rPr>
          <w:rFonts w:cstheme="minorHAnsi"/>
          <w:i/>
          <w:sz w:val="22"/>
          <w:szCs w:val="22"/>
        </w:rPr>
        <w:t>,</w:t>
      </w:r>
      <w:r w:rsidRPr="000D1B95">
        <w:rPr>
          <w:rFonts w:cstheme="minorHAnsi"/>
          <w:i/>
          <w:sz w:val="22"/>
          <w:szCs w:val="22"/>
        </w:rPr>
        <w:t xml:space="preserve"> I could give her a call or send her an email, and we've had a couple of spontaneous sessions over the phone over the past few years. The accessibility has always been pretty good, I've never felt blocked out or neglected; but the scheduling, I would say the timeliness does not always fit my preferences. </w:t>
      </w:r>
      <w:r w:rsidRPr="000C77E0">
        <w:rPr>
          <w:rFonts w:cstheme="minorHAnsi"/>
          <w:iCs/>
          <w:sz w:val="22"/>
          <w:szCs w:val="22"/>
        </w:rPr>
        <w:t>(Service User 23)</w:t>
      </w:r>
    </w:p>
    <w:p w14:paraId="185E044A" w14:textId="77777777" w:rsidR="00A32A0E" w:rsidRPr="000D1B95" w:rsidRDefault="00A32A0E" w:rsidP="00A32A0E">
      <w:pPr>
        <w:rPr>
          <w:rFonts w:cstheme="minorHAnsi"/>
          <w:i/>
          <w:sz w:val="22"/>
          <w:szCs w:val="22"/>
        </w:rPr>
      </w:pPr>
    </w:p>
    <w:p w14:paraId="69D753A3" w14:textId="77777777" w:rsidR="00A32A0E" w:rsidRPr="000D1B95" w:rsidRDefault="00A32A0E" w:rsidP="00A32A0E">
      <w:pPr>
        <w:ind w:left="720"/>
        <w:rPr>
          <w:rFonts w:cstheme="minorHAnsi"/>
          <w:i/>
          <w:sz w:val="22"/>
          <w:szCs w:val="22"/>
        </w:rPr>
      </w:pPr>
      <w:r w:rsidRPr="000D1B95">
        <w:rPr>
          <w:rFonts w:cstheme="minorHAnsi"/>
          <w:i/>
          <w:sz w:val="22"/>
          <w:szCs w:val="22"/>
        </w:rPr>
        <w:t xml:space="preserve">I do have a number to text to my therapist but I'm always told that they're understaffed and they're not always able to get back to me. Just a few incidences have happened like that, where I get told how understaffed they are. </w:t>
      </w:r>
      <w:r w:rsidRPr="000C77E0">
        <w:rPr>
          <w:rFonts w:cstheme="minorHAnsi"/>
          <w:iCs/>
          <w:sz w:val="22"/>
          <w:szCs w:val="22"/>
        </w:rPr>
        <w:t>(Service User 08)</w:t>
      </w:r>
    </w:p>
    <w:p w14:paraId="04B07C5E" w14:textId="77777777" w:rsidR="00A32A0E" w:rsidRPr="000D1B95" w:rsidRDefault="00A32A0E" w:rsidP="00A32A0E">
      <w:pPr>
        <w:ind w:left="720" w:firstLine="720"/>
        <w:rPr>
          <w:rFonts w:cstheme="minorHAnsi"/>
          <w:i/>
          <w:sz w:val="22"/>
          <w:szCs w:val="22"/>
        </w:rPr>
      </w:pPr>
    </w:p>
    <w:p w14:paraId="019FE810" w14:textId="77777777" w:rsidR="00A32A0E" w:rsidRPr="000D1B95" w:rsidRDefault="00A32A0E" w:rsidP="00A32A0E">
      <w:pPr>
        <w:ind w:left="720"/>
        <w:rPr>
          <w:rFonts w:cstheme="minorHAnsi"/>
          <w:i/>
          <w:sz w:val="22"/>
          <w:szCs w:val="22"/>
        </w:rPr>
      </w:pPr>
      <w:r w:rsidRPr="000D1B95">
        <w:rPr>
          <w:rFonts w:cstheme="minorHAnsi"/>
          <w:i/>
          <w:sz w:val="22"/>
          <w:szCs w:val="22"/>
        </w:rPr>
        <w:t xml:space="preserve">I'd meet with my counselor on the phone, and then there are times that she would call out and I wasn't aware of it. She ended up leaving and it was just really frustrating; I feel like the care I was getting was better than nothing, but it wasn't great. Now I have another person who I'm meeting with until a new counselor is hired. With the pandemic happening we lost a lot of people, and people move on different jobs, and well, that's good for them, but what about the clients that are here? </w:t>
      </w:r>
      <w:r w:rsidRPr="000C77E0">
        <w:rPr>
          <w:rFonts w:cstheme="minorHAnsi"/>
          <w:iCs/>
          <w:sz w:val="22"/>
          <w:szCs w:val="22"/>
        </w:rPr>
        <w:t>(Service User 04)</w:t>
      </w:r>
    </w:p>
    <w:p w14:paraId="6E964CFB" w14:textId="77777777" w:rsidR="00A32A0E" w:rsidRPr="000D1B95" w:rsidRDefault="00A32A0E" w:rsidP="00A32A0E">
      <w:pPr>
        <w:rPr>
          <w:rFonts w:cstheme="minorHAnsi"/>
          <w:sz w:val="22"/>
          <w:szCs w:val="22"/>
        </w:rPr>
      </w:pPr>
    </w:p>
    <w:p w14:paraId="1714289B" w14:textId="26BABF56" w:rsidR="00A32A0E" w:rsidRPr="00000D4B" w:rsidRDefault="00A32A0E" w:rsidP="00A32A0E">
      <w:pPr>
        <w:spacing w:after="120"/>
        <w:rPr>
          <w:rFonts w:cstheme="minorHAnsi"/>
          <w:b/>
          <w:bCs/>
          <w:color w:val="6A7F0F"/>
        </w:rPr>
      </w:pPr>
      <w:bookmarkStart w:id="74" w:name="_Person-Centered_Care"/>
      <w:bookmarkEnd w:id="74"/>
      <w:r w:rsidRPr="00000D4B">
        <w:rPr>
          <w:rFonts w:cstheme="minorHAnsi"/>
          <w:b/>
          <w:bCs/>
          <w:color w:val="6A7F0F"/>
        </w:rPr>
        <w:t>Person-Centered Care</w:t>
      </w:r>
    </w:p>
    <w:p w14:paraId="443D6CB3" w14:textId="5E61AEC8" w:rsidR="00323FC9" w:rsidRPr="000D1B95" w:rsidRDefault="00323FC9" w:rsidP="00323FC9">
      <w:pPr>
        <w:pStyle w:val="ListParagraph"/>
        <w:ind w:left="0"/>
        <w:rPr>
          <w:rFonts w:cstheme="minorHAnsi"/>
          <w:sz w:val="22"/>
          <w:szCs w:val="22"/>
        </w:rPr>
      </w:pPr>
      <w:r w:rsidRPr="00EA26DD">
        <w:rPr>
          <w:rFonts w:cstheme="minorHAnsi"/>
          <w:color w:val="000000" w:themeColor="text1"/>
          <w:sz w:val="22"/>
          <w:szCs w:val="22"/>
        </w:rPr>
        <w:t xml:space="preserve">The majority of service users reported feeling </w:t>
      </w:r>
      <w:r>
        <w:rPr>
          <w:rFonts w:cstheme="minorHAnsi"/>
          <w:color w:val="000000" w:themeColor="text1"/>
          <w:sz w:val="22"/>
          <w:szCs w:val="22"/>
        </w:rPr>
        <w:t>that</w:t>
      </w:r>
      <w:r w:rsidRPr="00EA26DD">
        <w:rPr>
          <w:rFonts w:cstheme="minorHAnsi"/>
          <w:color w:val="000000" w:themeColor="text1"/>
          <w:sz w:val="22"/>
          <w:szCs w:val="22"/>
        </w:rPr>
        <w:t xml:space="preserve"> the care they received through their CCBHC was person-centered. Person-centere</w:t>
      </w:r>
      <w:r w:rsidRPr="000D1B95">
        <w:rPr>
          <w:rFonts w:cstheme="minorHAnsi"/>
          <w:sz w:val="22"/>
          <w:szCs w:val="22"/>
        </w:rPr>
        <w:t xml:space="preserve">d care was described to service users as the CCBHC putting them at the center of their behavioral health care and treating service users as a person who is involved in decisions about their care. Service users generally associated person-centered care with their ability to make decisions about their treatment. For </w:t>
      </w:r>
      <w:r>
        <w:rPr>
          <w:rFonts w:cstheme="minorHAnsi"/>
          <w:sz w:val="22"/>
          <w:szCs w:val="22"/>
        </w:rPr>
        <w:t xml:space="preserve">most </w:t>
      </w:r>
      <w:r w:rsidRPr="000D1B95">
        <w:rPr>
          <w:rFonts w:cstheme="minorHAnsi"/>
          <w:sz w:val="22"/>
          <w:szCs w:val="22"/>
        </w:rPr>
        <w:t xml:space="preserve">service users, person-centered </w:t>
      </w:r>
      <w:r w:rsidR="00000D4B">
        <w:rPr>
          <w:rFonts w:cstheme="minorHAnsi"/>
          <w:sz w:val="22"/>
          <w:szCs w:val="22"/>
        </w:rPr>
        <w:t>care</w:t>
      </w:r>
      <w:r w:rsidRPr="000D1B95">
        <w:rPr>
          <w:rFonts w:cstheme="minorHAnsi"/>
          <w:sz w:val="22"/>
          <w:szCs w:val="22"/>
        </w:rPr>
        <w:t xml:space="preserve"> </w:t>
      </w:r>
      <w:r>
        <w:rPr>
          <w:rFonts w:cstheme="minorHAnsi"/>
          <w:sz w:val="22"/>
          <w:szCs w:val="22"/>
        </w:rPr>
        <w:t>required</w:t>
      </w:r>
      <w:r w:rsidRPr="000D1B95">
        <w:rPr>
          <w:rFonts w:cstheme="minorHAnsi"/>
          <w:sz w:val="22"/>
          <w:szCs w:val="22"/>
        </w:rPr>
        <w:t xml:space="preserve"> involvement in deciding whether to take medication </w:t>
      </w:r>
      <w:r>
        <w:rPr>
          <w:rFonts w:cstheme="minorHAnsi"/>
          <w:sz w:val="22"/>
          <w:szCs w:val="22"/>
        </w:rPr>
        <w:t xml:space="preserve">and in </w:t>
      </w:r>
      <w:r w:rsidRPr="000D1B95">
        <w:rPr>
          <w:rFonts w:cstheme="minorHAnsi"/>
          <w:sz w:val="22"/>
          <w:szCs w:val="22"/>
        </w:rPr>
        <w:t xml:space="preserve">determining which medications or services were right for them at </w:t>
      </w:r>
      <w:r>
        <w:rPr>
          <w:rFonts w:cstheme="minorHAnsi"/>
          <w:sz w:val="22"/>
          <w:szCs w:val="22"/>
        </w:rPr>
        <w:t>any</w:t>
      </w:r>
      <w:r w:rsidRPr="000D1B95">
        <w:rPr>
          <w:rFonts w:cstheme="minorHAnsi"/>
          <w:sz w:val="22"/>
          <w:szCs w:val="22"/>
        </w:rPr>
        <w:t xml:space="preserve"> particular time. Service users appreciated being able to drive their care decisions in a way that met their individual needs. Service users generally described feeling as though they were involved with and supported in making all decisions </w:t>
      </w:r>
      <w:r>
        <w:rPr>
          <w:rFonts w:cstheme="minorHAnsi"/>
          <w:sz w:val="22"/>
          <w:szCs w:val="22"/>
        </w:rPr>
        <w:t>with</w:t>
      </w:r>
      <w:r w:rsidRPr="000D1B95">
        <w:rPr>
          <w:rFonts w:cstheme="minorHAnsi"/>
          <w:sz w:val="22"/>
          <w:szCs w:val="22"/>
        </w:rPr>
        <w:t xml:space="preserve"> regard to their care, and that they were respected as autonomous individuals who were allowed to decide what was right for their own treatment</w:t>
      </w:r>
      <w:r>
        <w:rPr>
          <w:rFonts w:cstheme="minorHAnsi"/>
          <w:sz w:val="22"/>
          <w:szCs w:val="22"/>
        </w:rPr>
        <w:t>. They appreciated having an active role in their treatment plan</w:t>
      </w:r>
      <w:r w:rsidRPr="000D1B95">
        <w:rPr>
          <w:rFonts w:cstheme="minorHAnsi"/>
          <w:sz w:val="22"/>
          <w:szCs w:val="22"/>
        </w:rPr>
        <w:t>.</w:t>
      </w:r>
    </w:p>
    <w:p w14:paraId="30745941" w14:textId="77777777" w:rsidR="00A32A0E" w:rsidRDefault="00A32A0E" w:rsidP="00A32A0E">
      <w:pPr>
        <w:ind w:left="720"/>
        <w:rPr>
          <w:rFonts w:cstheme="minorHAnsi"/>
          <w:i/>
          <w:sz w:val="22"/>
          <w:szCs w:val="22"/>
        </w:rPr>
      </w:pPr>
    </w:p>
    <w:p w14:paraId="2711970D" w14:textId="34E78209" w:rsidR="00A32A0E" w:rsidRPr="000D1B95" w:rsidRDefault="00A32A0E" w:rsidP="00A32A0E">
      <w:pPr>
        <w:ind w:left="720"/>
        <w:rPr>
          <w:rFonts w:cstheme="minorHAnsi"/>
          <w:i/>
          <w:sz w:val="22"/>
          <w:szCs w:val="22"/>
        </w:rPr>
      </w:pPr>
      <w:r w:rsidRPr="000D1B95">
        <w:rPr>
          <w:rFonts w:cstheme="minorHAnsi"/>
          <w:i/>
          <w:sz w:val="22"/>
          <w:szCs w:val="22"/>
        </w:rPr>
        <w:t xml:space="preserve">I'm in control of my treatment, I decide, and this is the way it's been the entire time. I decide what I want to do, when I want to do it, with basically who I want to do it with, and start or stop something. I just started my medication just recently; I fought that for a long time and my prescriber was sitting on the sidelines, "Hey, when you're ready." That's the way it was the entire time. Even the substance abuse counseling, I probably could have graduated from the program some time ago, but she didn't say that I needed to and I haven't asked to, and that's okay. I get what I need from these groups. </w:t>
      </w:r>
      <w:r w:rsidRPr="00643A6B">
        <w:rPr>
          <w:rFonts w:cstheme="minorHAnsi"/>
          <w:iCs/>
          <w:sz w:val="22"/>
          <w:szCs w:val="22"/>
        </w:rPr>
        <w:t>(Service User 27)</w:t>
      </w:r>
    </w:p>
    <w:p w14:paraId="68DCA22A" w14:textId="77777777" w:rsidR="00A32A0E" w:rsidRPr="000D1B95" w:rsidRDefault="00A32A0E" w:rsidP="00A32A0E">
      <w:pPr>
        <w:pStyle w:val="ListParagraph"/>
        <w:ind w:left="0" w:firstLine="720"/>
        <w:rPr>
          <w:rFonts w:cstheme="minorHAnsi"/>
          <w:sz w:val="22"/>
          <w:szCs w:val="22"/>
        </w:rPr>
      </w:pPr>
    </w:p>
    <w:p w14:paraId="73461A4B" w14:textId="77777777" w:rsidR="00A32A0E" w:rsidRPr="000D1B95" w:rsidRDefault="00A32A0E" w:rsidP="00A32A0E">
      <w:pPr>
        <w:pStyle w:val="ListParagraph"/>
        <w:rPr>
          <w:rFonts w:cstheme="minorHAnsi"/>
          <w:i/>
          <w:sz w:val="22"/>
          <w:szCs w:val="22"/>
        </w:rPr>
      </w:pPr>
      <w:r w:rsidRPr="000D1B95">
        <w:rPr>
          <w:rFonts w:cstheme="minorHAnsi"/>
          <w:i/>
          <w:sz w:val="22"/>
          <w:szCs w:val="22"/>
        </w:rPr>
        <w:t xml:space="preserve">My therapist does a really good job of making sure that I am happy with my health plan, while always reminding me that we can shift the focus and try new ideas if I am not happy with the current plan. I have also noticed that the handouts and documents they send do acknowledge the person-centered idea, in that they acknowledge the thoughts or emotions and give tips on how to handle them, echoing that idea. </w:t>
      </w:r>
      <w:r w:rsidRPr="00643A6B">
        <w:rPr>
          <w:rFonts w:cstheme="minorHAnsi"/>
          <w:iCs/>
          <w:sz w:val="22"/>
          <w:szCs w:val="22"/>
        </w:rPr>
        <w:t>(Service User 28)</w:t>
      </w:r>
      <w:r w:rsidRPr="000D1B95">
        <w:rPr>
          <w:rFonts w:cstheme="minorHAnsi"/>
          <w:i/>
          <w:sz w:val="22"/>
          <w:szCs w:val="22"/>
        </w:rPr>
        <w:t xml:space="preserve"> </w:t>
      </w:r>
    </w:p>
    <w:p w14:paraId="636BA4CF" w14:textId="77777777" w:rsidR="00A32A0E" w:rsidRPr="000D1B95" w:rsidRDefault="00A32A0E" w:rsidP="00A32A0E">
      <w:pPr>
        <w:pStyle w:val="ListParagraph"/>
        <w:ind w:firstLine="720"/>
        <w:rPr>
          <w:rFonts w:cstheme="minorHAnsi"/>
          <w:i/>
          <w:sz w:val="22"/>
          <w:szCs w:val="22"/>
        </w:rPr>
      </w:pPr>
    </w:p>
    <w:p w14:paraId="339E72E4" w14:textId="77777777" w:rsidR="00A32A0E" w:rsidRPr="000D1B95" w:rsidRDefault="00A32A0E" w:rsidP="00A32A0E">
      <w:pPr>
        <w:pStyle w:val="ListParagraph"/>
        <w:rPr>
          <w:rFonts w:cstheme="minorHAnsi"/>
          <w:i/>
          <w:sz w:val="22"/>
          <w:szCs w:val="22"/>
        </w:rPr>
      </w:pPr>
      <w:r w:rsidRPr="000D1B95">
        <w:rPr>
          <w:rFonts w:cstheme="minorHAnsi"/>
          <w:i/>
          <w:sz w:val="22"/>
          <w:szCs w:val="22"/>
        </w:rPr>
        <w:t xml:space="preserve">My therapist told me, "I think you could probably benefit from this." But she put it as my choice, she's not forcing it upon me. I started working on my anxiety and I got a lot of input, that's one thing I appreciate about the care here, it's not that they're like, "Here, you have to do this." They give you the choice to decide about your own therapy and what you need, I really appreciate that. The transition [between my primary care physician and the CCBHC] was really nice and very supportive; every few months you get that check in with your therapist and then they reevaluate where you are and they give you really good input. They give you the choice of what you want and how your case is going to continue. That's how it's been for me from the beginning since I started. </w:t>
      </w:r>
      <w:r w:rsidRPr="00643A6B">
        <w:rPr>
          <w:rFonts w:cstheme="minorHAnsi"/>
          <w:iCs/>
          <w:sz w:val="22"/>
          <w:szCs w:val="22"/>
        </w:rPr>
        <w:t>(Service User 22)</w:t>
      </w:r>
      <w:r w:rsidRPr="000D1B95">
        <w:rPr>
          <w:rFonts w:cstheme="minorHAnsi"/>
          <w:i/>
          <w:sz w:val="22"/>
          <w:szCs w:val="22"/>
        </w:rPr>
        <w:t xml:space="preserve"> </w:t>
      </w:r>
    </w:p>
    <w:p w14:paraId="60AA5890" w14:textId="77777777" w:rsidR="00A32A0E" w:rsidRPr="000D1B95" w:rsidRDefault="00A32A0E" w:rsidP="00A32A0E">
      <w:pPr>
        <w:pStyle w:val="ListParagraph"/>
        <w:ind w:firstLine="720"/>
        <w:rPr>
          <w:rFonts w:cstheme="minorHAnsi"/>
          <w:i/>
          <w:sz w:val="22"/>
          <w:szCs w:val="22"/>
        </w:rPr>
      </w:pPr>
    </w:p>
    <w:p w14:paraId="02146DF3" w14:textId="77777777" w:rsidR="00A32A0E" w:rsidRPr="000D1B95" w:rsidRDefault="00A32A0E" w:rsidP="00A32A0E">
      <w:pPr>
        <w:pStyle w:val="ListParagraph"/>
        <w:rPr>
          <w:rFonts w:cstheme="minorHAnsi"/>
          <w:i/>
          <w:sz w:val="22"/>
          <w:szCs w:val="22"/>
        </w:rPr>
      </w:pPr>
      <w:r w:rsidRPr="000D1B95">
        <w:rPr>
          <w:rFonts w:cstheme="minorHAnsi"/>
          <w:i/>
          <w:sz w:val="22"/>
          <w:szCs w:val="22"/>
        </w:rPr>
        <w:t xml:space="preserve">They are great at letting you make your own decisions. There have been many times that my counselor has suggested something for me and I'm just like, "No, I don't want to. I'm not going to do that. I'm not going to want to go that route." And she says, "Okay, we will find alternatives." They've always worked with me on that. </w:t>
      </w:r>
      <w:r w:rsidRPr="00643A6B">
        <w:rPr>
          <w:rFonts w:cstheme="minorHAnsi"/>
          <w:iCs/>
          <w:sz w:val="22"/>
          <w:szCs w:val="22"/>
        </w:rPr>
        <w:t>(Service User 12)</w:t>
      </w:r>
    </w:p>
    <w:p w14:paraId="64CAAA63" w14:textId="77777777" w:rsidR="00A32A0E" w:rsidRPr="000D1B95" w:rsidRDefault="00A32A0E" w:rsidP="00A32A0E">
      <w:pPr>
        <w:rPr>
          <w:rFonts w:cstheme="minorHAnsi"/>
          <w:i/>
          <w:sz w:val="22"/>
          <w:szCs w:val="22"/>
        </w:rPr>
      </w:pPr>
    </w:p>
    <w:p w14:paraId="4DF79120" w14:textId="77777777" w:rsidR="00A32A0E" w:rsidRDefault="00A32A0E" w:rsidP="00A32A0E">
      <w:pPr>
        <w:pStyle w:val="ListParagraph"/>
        <w:rPr>
          <w:rFonts w:cstheme="minorHAnsi"/>
          <w:i/>
          <w:sz w:val="22"/>
          <w:szCs w:val="22"/>
        </w:rPr>
      </w:pPr>
      <w:r w:rsidRPr="000D1B95">
        <w:rPr>
          <w:rFonts w:cstheme="minorHAnsi"/>
          <w:i/>
          <w:sz w:val="22"/>
          <w:szCs w:val="22"/>
        </w:rPr>
        <w:t xml:space="preserve">I believe my care is person-centered as both my therapist and care navigator make sure to include me in all decisions and make sure I have autonomy and authority over my care and treatment plan. </w:t>
      </w:r>
      <w:r w:rsidRPr="00643A6B">
        <w:rPr>
          <w:rFonts w:cstheme="minorHAnsi"/>
          <w:iCs/>
          <w:sz w:val="22"/>
          <w:szCs w:val="22"/>
        </w:rPr>
        <w:t>(Service User 32)</w:t>
      </w:r>
      <w:r w:rsidRPr="000D1B95">
        <w:rPr>
          <w:rFonts w:cstheme="minorHAnsi"/>
          <w:i/>
          <w:sz w:val="22"/>
          <w:szCs w:val="22"/>
        </w:rPr>
        <w:t xml:space="preserve"> </w:t>
      </w:r>
    </w:p>
    <w:p w14:paraId="2D875E74" w14:textId="77777777" w:rsidR="00A32A0E" w:rsidRPr="000D1B95" w:rsidRDefault="00A32A0E" w:rsidP="00A32A0E">
      <w:pPr>
        <w:pStyle w:val="ListParagraph"/>
        <w:rPr>
          <w:rFonts w:cstheme="minorHAnsi"/>
          <w:i/>
          <w:sz w:val="22"/>
          <w:szCs w:val="22"/>
        </w:rPr>
      </w:pPr>
    </w:p>
    <w:p w14:paraId="3D3F5C36" w14:textId="77777777" w:rsidR="00A32A0E" w:rsidRPr="000D1B95" w:rsidRDefault="00A32A0E" w:rsidP="00A32A0E">
      <w:pPr>
        <w:pStyle w:val="ListParagraph"/>
        <w:rPr>
          <w:rFonts w:cstheme="minorHAnsi"/>
          <w:i/>
          <w:sz w:val="22"/>
          <w:szCs w:val="22"/>
        </w:rPr>
      </w:pPr>
      <w:r w:rsidRPr="000D1B95">
        <w:rPr>
          <w:rFonts w:cstheme="minorHAnsi"/>
          <w:i/>
          <w:sz w:val="22"/>
          <w:szCs w:val="22"/>
        </w:rPr>
        <w:t xml:space="preserve">As far as [CCBHC] goes, they've been very understanding and accepting [of my identity as an LGBTQ+ person], so I do appreciate that. I feel safe. That's important, when I have a counselor I can work with. </w:t>
      </w:r>
      <w:r w:rsidRPr="00643A6B">
        <w:rPr>
          <w:rFonts w:cstheme="minorHAnsi"/>
          <w:iCs/>
          <w:sz w:val="22"/>
          <w:szCs w:val="22"/>
        </w:rPr>
        <w:t>(Service User 05)</w:t>
      </w:r>
    </w:p>
    <w:p w14:paraId="42C155D0" w14:textId="77777777" w:rsidR="00A32A0E" w:rsidRPr="000D1B95" w:rsidRDefault="00A32A0E" w:rsidP="00A32A0E">
      <w:pPr>
        <w:pStyle w:val="ListParagraph"/>
        <w:ind w:left="0" w:firstLine="720"/>
        <w:rPr>
          <w:rFonts w:cstheme="minorHAnsi"/>
          <w:sz w:val="22"/>
          <w:szCs w:val="22"/>
        </w:rPr>
      </w:pPr>
    </w:p>
    <w:p w14:paraId="5C0D45C1" w14:textId="77777777" w:rsidR="00323FC9" w:rsidRPr="000D1B95" w:rsidRDefault="00323FC9" w:rsidP="00323FC9">
      <w:pPr>
        <w:pStyle w:val="ListParagraph"/>
        <w:ind w:left="0"/>
        <w:rPr>
          <w:rFonts w:cstheme="minorHAnsi"/>
          <w:sz w:val="22"/>
          <w:szCs w:val="22"/>
        </w:rPr>
      </w:pPr>
      <w:r w:rsidRPr="000D1B95">
        <w:rPr>
          <w:rFonts w:cstheme="minorHAnsi"/>
          <w:sz w:val="22"/>
          <w:szCs w:val="22"/>
        </w:rPr>
        <w:t xml:space="preserve">Another </w:t>
      </w:r>
      <w:r>
        <w:rPr>
          <w:rFonts w:cstheme="minorHAnsi"/>
          <w:sz w:val="22"/>
          <w:szCs w:val="22"/>
        </w:rPr>
        <w:t xml:space="preserve">frequent </w:t>
      </w:r>
      <w:r w:rsidRPr="000D1B95">
        <w:rPr>
          <w:rFonts w:cstheme="minorHAnsi"/>
          <w:sz w:val="22"/>
          <w:szCs w:val="22"/>
        </w:rPr>
        <w:t xml:space="preserve">theme when discussing person-centered care among service users was the strong connection that they felt to their CCBHC and care team. This connection was an </w:t>
      </w:r>
      <w:r>
        <w:rPr>
          <w:rFonts w:cstheme="minorHAnsi"/>
          <w:sz w:val="22"/>
          <w:szCs w:val="22"/>
        </w:rPr>
        <w:t>essential</w:t>
      </w:r>
      <w:r w:rsidRPr="000D1B95">
        <w:rPr>
          <w:rFonts w:cstheme="minorHAnsi"/>
          <w:sz w:val="22"/>
          <w:szCs w:val="22"/>
        </w:rPr>
        <w:t xml:space="preserve"> component of person-centered care</w:t>
      </w:r>
      <w:r>
        <w:rPr>
          <w:rFonts w:cstheme="minorHAnsi"/>
          <w:sz w:val="22"/>
          <w:szCs w:val="22"/>
        </w:rPr>
        <w:t xml:space="preserve"> and was</w:t>
      </w:r>
      <w:r w:rsidRPr="000D1B95">
        <w:rPr>
          <w:rFonts w:cstheme="minorHAnsi"/>
          <w:sz w:val="22"/>
          <w:szCs w:val="22"/>
        </w:rPr>
        <w:t xml:space="preserve"> important for service users who described feeling understood and cared for by CCBHC staff. Service users generally reported feeling respected as individuals, that their experiences were valued by CCBHC staff and that they were not being judged in their treatment. Additionally, many service users described the CCBHC as being flexible and willing to provide care in a way that best suited their individual needs. </w:t>
      </w:r>
    </w:p>
    <w:p w14:paraId="1DD9503A" w14:textId="77777777" w:rsidR="00A32A0E" w:rsidRDefault="00A32A0E" w:rsidP="00A32A0E">
      <w:pPr>
        <w:pStyle w:val="ListParagraph"/>
        <w:rPr>
          <w:rFonts w:cstheme="minorHAnsi"/>
          <w:i/>
          <w:sz w:val="22"/>
          <w:szCs w:val="22"/>
        </w:rPr>
      </w:pPr>
    </w:p>
    <w:p w14:paraId="7DF45BB0" w14:textId="77777777" w:rsidR="007061A7" w:rsidRPr="000D1B95" w:rsidRDefault="007061A7" w:rsidP="007061A7">
      <w:pPr>
        <w:pStyle w:val="ListParagraph"/>
        <w:rPr>
          <w:rFonts w:cstheme="minorHAnsi"/>
          <w:i/>
          <w:sz w:val="22"/>
          <w:szCs w:val="22"/>
        </w:rPr>
      </w:pPr>
      <w:r w:rsidRPr="000D1B95">
        <w:rPr>
          <w:rFonts w:cstheme="minorHAnsi"/>
          <w:i/>
          <w:sz w:val="22"/>
          <w:szCs w:val="22"/>
        </w:rPr>
        <w:t>They're just kind, first requesting whether or not they can use my first name and then using it constantly. Things like that set me at ease because the subculture I just came out of was racked with violence, racked with everything. People standing around me, things like that, coming into this place itself creates a lot of anxiety and I don't like being in here at all. But they're always kind, nice, helpful, anything that they can do.</w:t>
      </w:r>
      <w:r w:rsidRPr="000D1B95">
        <w:rPr>
          <w:rFonts w:cstheme="minorHAnsi"/>
          <w:sz w:val="22"/>
          <w:szCs w:val="22"/>
        </w:rPr>
        <w:t xml:space="preserve"> </w:t>
      </w:r>
      <w:r w:rsidRPr="000D1B95">
        <w:rPr>
          <w:rFonts w:cstheme="minorHAnsi"/>
          <w:i/>
          <w:sz w:val="22"/>
          <w:szCs w:val="22"/>
        </w:rPr>
        <w:t xml:space="preserve">There's nothing about my care that I don't like. Yes, they're going through the boiler plate forms that they have to, but they recognize that I don't want to be here. Nevertheless, they're still going through the processes that they need to go to make sure they can give the proper assessment back to whoever they need to give it to, and they do it pretty efficiently. </w:t>
      </w:r>
      <w:r w:rsidRPr="00643A6B">
        <w:rPr>
          <w:rFonts w:cstheme="minorHAnsi"/>
          <w:sz w:val="22"/>
          <w:szCs w:val="22"/>
        </w:rPr>
        <w:t>(Service User 02)</w:t>
      </w:r>
    </w:p>
    <w:p w14:paraId="02542246" w14:textId="77777777" w:rsidR="007061A7" w:rsidRDefault="007061A7" w:rsidP="007061A7">
      <w:pPr>
        <w:pStyle w:val="ListParagraph"/>
        <w:rPr>
          <w:rFonts w:cstheme="minorHAnsi"/>
          <w:i/>
          <w:sz w:val="22"/>
          <w:szCs w:val="22"/>
        </w:rPr>
      </w:pPr>
    </w:p>
    <w:p w14:paraId="7C0A7E5F" w14:textId="226E7390" w:rsidR="007061A7" w:rsidRDefault="007061A7" w:rsidP="007061A7">
      <w:pPr>
        <w:pStyle w:val="ListParagraph"/>
        <w:rPr>
          <w:rFonts w:cstheme="minorHAnsi"/>
          <w:iCs/>
          <w:sz w:val="22"/>
          <w:szCs w:val="22"/>
        </w:rPr>
      </w:pPr>
      <w:r w:rsidRPr="000D1B95">
        <w:rPr>
          <w:rFonts w:cstheme="minorHAnsi"/>
          <w:i/>
          <w:sz w:val="22"/>
          <w:szCs w:val="22"/>
        </w:rPr>
        <w:t xml:space="preserve">I have had to switch therapists multiple times but it has always been a really good fit, they're always very sweet and they get to know me. When they go there's another person and it's the same thing, they're very sweet and very understanding. They're there for me. I had a situation recently where I was just going through a really hard time and all of my care team was there for me; every single person I work with was very supportive. Any problem or issue I have, they are on it, they are ready to fix it. </w:t>
      </w:r>
      <w:r w:rsidRPr="00643A6B">
        <w:rPr>
          <w:rFonts w:cstheme="minorHAnsi"/>
          <w:iCs/>
          <w:sz w:val="22"/>
          <w:szCs w:val="22"/>
        </w:rPr>
        <w:t>(Service User 09)</w:t>
      </w:r>
    </w:p>
    <w:p w14:paraId="2523ADA0" w14:textId="77777777" w:rsidR="007061A7" w:rsidRPr="000D1B95" w:rsidRDefault="007061A7" w:rsidP="007061A7">
      <w:pPr>
        <w:pStyle w:val="ListParagraph"/>
        <w:rPr>
          <w:rFonts w:cstheme="minorHAnsi"/>
          <w:i/>
          <w:sz w:val="22"/>
          <w:szCs w:val="22"/>
        </w:rPr>
      </w:pPr>
    </w:p>
    <w:p w14:paraId="14E31DE4" w14:textId="6E0701B4" w:rsidR="00A32A0E" w:rsidRPr="000D1B95" w:rsidRDefault="00A32A0E" w:rsidP="00A32A0E">
      <w:pPr>
        <w:pStyle w:val="ListParagraph"/>
        <w:rPr>
          <w:rFonts w:cstheme="minorHAnsi"/>
          <w:i/>
          <w:sz w:val="22"/>
          <w:szCs w:val="22"/>
        </w:rPr>
      </w:pPr>
      <w:r w:rsidRPr="000D1B95">
        <w:rPr>
          <w:rFonts w:cstheme="minorHAnsi"/>
          <w:i/>
          <w:sz w:val="22"/>
          <w:szCs w:val="22"/>
        </w:rPr>
        <w:t xml:space="preserve">With my primary therapist here, I receive absolutely 110% full respect. I think that the degree of rapport is just exceptional, almost to the point where even if she wasn't a therapist this would be a person I would go and confide in and find comfort in just the...almost companionship. It exceeds what I consider clinical therapy. It is very respectful. </w:t>
      </w:r>
      <w:r w:rsidRPr="00643A6B">
        <w:rPr>
          <w:rFonts w:cstheme="minorHAnsi"/>
          <w:iCs/>
          <w:sz w:val="22"/>
          <w:szCs w:val="22"/>
        </w:rPr>
        <w:t>(Service User 23)</w:t>
      </w:r>
    </w:p>
    <w:p w14:paraId="67FE8233" w14:textId="77777777" w:rsidR="00A32A0E" w:rsidRPr="000D1B95" w:rsidRDefault="00A32A0E" w:rsidP="00A32A0E">
      <w:pPr>
        <w:pStyle w:val="ListParagraph"/>
        <w:ind w:left="630" w:firstLine="720"/>
        <w:rPr>
          <w:rFonts w:cstheme="minorHAnsi"/>
          <w:i/>
          <w:sz w:val="22"/>
          <w:szCs w:val="22"/>
        </w:rPr>
      </w:pPr>
    </w:p>
    <w:p w14:paraId="3A6E205E" w14:textId="4B0F98B0" w:rsidR="00323FC9" w:rsidRPr="000D1B95" w:rsidRDefault="00323FC9" w:rsidP="00323FC9">
      <w:pPr>
        <w:pStyle w:val="ListParagraph"/>
        <w:ind w:left="0"/>
        <w:rPr>
          <w:rFonts w:cstheme="minorHAnsi"/>
          <w:sz w:val="22"/>
          <w:szCs w:val="22"/>
        </w:rPr>
      </w:pPr>
      <w:r w:rsidRPr="000D1B95">
        <w:rPr>
          <w:rFonts w:cstheme="minorHAnsi"/>
          <w:sz w:val="22"/>
          <w:szCs w:val="22"/>
        </w:rPr>
        <w:t xml:space="preserve">While most service users </w:t>
      </w:r>
      <w:r w:rsidR="00000D4B">
        <w:rPr>
          <w:rFonts w:cstheme="minorHAnsi"/>
          <w:sz w:val="22"/>
          <w:szCs w:val="22"/>
        </w:rPr>
        <w:t>felt</w:t>
      </w:r>
      <w:r w:rsidRPr="000D1B95">
        <w:rPr>
          <w:rFonts w:cstheme="minorHAnsi"/>
          <w:sz w:val="22"/>
          <w:szCs w:val="22"/>
        </w:rPr>
        <w:t xml:space="preserve"> the care they received was person-centered, this sentiment was complicated for those who </w:t>
      </w:r>
      <w:r>
        <w:rPr>
          <w:rFonts w:cstheme="minorHAnsi"/>
          <w:sz w:val="22"/>
          <w:szCs w:val="22"/>
        </w:rPr>
        <w:t>noted</w:t>
      </w:r>
      <w:r w:rsidRPr="000D1B95">
        <w:rPr>
          <w:rFonts w:cstheme="minorHAnsi"/>
          <w:sz w:val="22"/>
          <w:szCs w:val="22"/>
        </w:rPr>
        <w:t xml:space="preserve"> being aware of workforce-related challenges at their CCBHC. Urban-located service users in particular expressed </w:t>
      </w:r>
      <w:r>
        <w:rPr>
          <w:rFonts w:cstheme="minorHAnsi"/>
          <w:sz w:val="22"/>
          <w:szCs w:val="22"/>
        </w:rPr>
        <w:t>experiencing f</w:t>
      </w:r>
      <w:r w:rsidRPr="000D1B95">
        <w:rPr>
          <w:rFonts w:cstheme="minorHAnsi"/>
          <w:sz w:val="22"/>
          <w:szCs w:val="22"/>
        </w:rPr>
        <w:t xml:space="preserve">rustration when members of their care team left the organization, requiring </w:t>
      </w:r>
      <w:r>
        <w:rPr>
          <w:rFonts w:cstheme="minorHAnsi"/>
          <w:sz w:val="22"/>
          <w:szCs w:val="22"/>
        </w:rPr>
        <w:t>them</w:t>
      </w:r>
      <w:r w:rsidRPr="000D1B95">
        <w:rPr>
          <w:rFonts w:cstheme="minorHAnsi"/>
          <w:sz w:val="22"/>
          <w:szCs w:val="22"/>
        </w:rPr>
        <w:t xml:space="preserve"> to </w:t>
      </w:r>
      <w:r>
        <w:rPr>
          <w:rFonts w:cstheme="minorHAnsi"/>
          <w:sz w:val="22"/>
          <w:szCs w:val="22"/>
        </w:rPr>
        <w:t xml:space="preserve">connect and communicate </w:t>
      </w:r>
      <w:r w:rsidRPr="000D1B95">
        <w:rPr>
          <w:rFonts w:cstheme="minorHAnsi"/>
          <w:sz w:val="22"/>
          <w:szCs w:val="22"/>
        </w:rPr>
        <w:t>with someone new to their case. These service users described the lack of continuity result</w:t>
      </w:r>
      <w:r>
        <w:rPr>
          <w:rFonts w:cstheme="minorHAnsi"/>
          <w:sz w:val="22"/>
          <w:szCs w:val="22"/>
        </w:rPr>
        <w:t xml:space="preserve">ing </w:t>
      </w:r>
      <w:r w:rsidRPr="000D1B95">
        <w:rPr>
          <w:rFonts w:cstheme="minorHAnsi"/>
          <w:sz w:val="22"/>
          <w:szCs w:val="22"/>
        </w:rPr>
        <w:t xml:space="preserve">in a feeling of reliving challenging moments from their past in order to catch these new team members up on historical events critical to their care with the clinic. Abrupt departures of CCBHC staff were especially difficult for these service users who felt unprepared and experienced a setback in trust as a result. This experience was mitigated for some if the departing counselor assured the service user that they would provide the incoming counselor with important details about their case, facilitating </w:t>
      </w:r>
      <w:r>
        <w:rPr>
          <w:rFonts w:cstheme="minorHAnsi"/>
          <w:sz w:val="22"/>
          <w:szCs w:val="22"/>
        </w:rPr>
        <w:t>an internal</w:t>
      </w:r>
      <w:r w:rsidRPr="000D1B95">
        <w:rPr>
          <w:rFonts w:cstheme="minorHAnsi"/>
          <w:sz w:val="22"/>
          <w:szCs w:val="22"/>
        </w:rPr>
        <w:t xml:space="preserve"> warm handoff. </w:t>
      </w:r>
    </w:p>
    <w:p w14:paraId="2DDF63DE" w14:textId="77777777" w:rsidR="00A32A0E" w:rsidRDefault="00A32A0E" w:rsidP="00A32A0E">
      <w:pPr>
        <w:ind w:left="720"/>
        <w:rPr>
          <w:rFonts w:cstheme="minorHAnsi"/>
          <w:i/>
          <w:sz w:val="22"/>
          <w:szCs w:val="22"/>
        </w:rPr>
      </w:pPr>
    </w:p>
    <w:p w14:paraId="7539F64F" w14:textId="6C3E5212" w:rsidR="00A32A0E" w:rsidRPr="00F72D29" w:rsidRDefault="00A32A0E" w:rsidP="00A32A0E">
      <w:pPr>
        <w:ind w:left="720"/>
        <w:rPr>
          <w:rFonts w:cstheme="minorHAnsi"/>
          <w:i/>
          <w:sz w:val="22"/>
          <w:szCs w:val="22"/>
        </w:rPr>
      </w:pPr>
      <w:r w:rsidRPr="00F72D29">
        <w:rPr>
          <w:rFonts w:cstheme="minorHAnsi"/>
          <w:i/>
          <w:sz w:val="22"/>
          <w:szCs w:val="22"/>
        </w:rPr>
        <w:t xml:space="preserve">That was one of my concerns with moving counselors. I wasn't getting the service, but I knew if I started with new counselor, it's back to square one. And when you make progress, you don't want to go back. </w:t>
      </w:r>
      <w:r w:rsidRPr="00643A6B">
        <w:rPr>
          <w:rFonts w:cstheme="minorHAnsi"/>
          <w:iCs/>
          <w:sz w:val="22"/>
          <w:szCs w:val="22"/>
        </w:rPr>
        <w:t>(Service User 05)</w:t>
      </w:r>
    </w:p>
    <w:p w14:paraId="4BAB3833" w14:textId="77777777" w:rsidR="00A32A0E" w:rsidRPr="000D1B95" w:rsidRDefault="00A32A0E" w:rsidP="00A32A0E">
      <w:pPr>
        <w:pStyle w:val="ListParagraph"/>
        <w:ind w:firstLine="720"/>
        <w:rPr>
          <w:rFonts w:cstheme="minorHAnsi"/>
          <w:i/>
          <w:sz w:val="22"/>
          <w:szCs w:val="22"/>
        </w:rPr>
      </w:pPr>
    </w:p>
    <w:p w14:paraId="0297CDFA" w14:textId="77777777" w:rsidR="00A32A0E" w:rsidRPr="00EA26DD" w:rsidRDefault="00A32A0E" w:rsidP="00A32A0E">
      <w:pPr>
        <w:pStyle w:val="ListParagraph"/>
        <w:rPr>
          <w:rFonts w:cstheme="minorHAnsi"/>
          <w:i/>
          <w:color w:val="000000" w:themeColor="text1"/>
          <w:sz w:val="22"/>
          <w:szCs w:val="22"/>
        </w:rPr>
      </w:pPr>
      <w:r w:rsidRPr="000D1B95">
        <w:rPr>
          <w:rFonts w:cstheme="minorHAnsi"/>
          <w:i/>
          <w:sz w:val="22"/>
          <w:szCs w:val="22"/>
        </w:rPr>
        <w:t xml:space="preserve">My past counselor made sure that he typed up [notes] so that I won't have to relive these episodes with my new counselor. I was really grateful that my new counselor actually did read the details, it made me feel a lot better. I was kind of relieved that I didn't have to go back and restart over again, because that's my thing, is to restart from square one every time someone leaves, it's like, "Okay, I have to start all over again. Please, I don't know how to repeat these same things that we just got cleared up." When people are leaving and you have to start over again with new staff my </w:t>
      </w:r>
      <w:r w:rsidRPr="00EA26DD">
        <w:rPr>
          <w:rFonts w:cstheme="minorHAnsi"/>
          <w:i/>
          <w:color w:val="000000" w:themeColor="text1"/>
          <w:sz w:val="22"/>
          <w:szCs w:val="22"/>
        </w:rPr>
        <w:t xml:space="preserve">anxiety just goes up, it's hard to connect. </w:t>
      </w:r>
      <w:r w:rsidRPr="00643A6B">
        <w:rPr>
          <w:rFonts w:cstheme="minorHAnsi"/>
          <w:iCs/>
          <w:color w:val="000000" w:themeColor="text1"/>
          <w:sz w:val="22"/>
          <w:szCs w:val="22"/>
        </w:rPr>
        <w:t>(Service User 07)</w:t>
      </w:r>
    </w:p>
    <w:p w14:paraId="14C5B44F" w14:textId="77777777" w:rsidR="00A32A0E" w:rsidRPr="00EA26DD" w:rsidRDefault="00A32A0E" w:rsidP="00A32A0E">
      <w:pPr>
        <w:rPr>
          <w:rFonts w:cstheme="minorHAnsi"/>
          <w:b/>
          <w:i/>
          <w:color w:val="000000" w:themeColor="text1"/>
          <w:sz w:val="22"/>
          <w:szCs w:val="22"/>
        </w:rPr>
      </w:pPr>
    </w:p>
    <w:p w14:paraId="7FA2EEEC" w14:textId="77777777" w:rsidR="00A32A0E" w:rsidRPr="00A32A0E" w:rsidRDefault="00A32A0E" w:rsidP="00A32A0E">
      <w:pPr>
        <w:spacing w:after="120"/>
        <w:rPr>
          <w:b/>
          <w:bCs/>
          <w:i/>
          <w:iCs/>
          <w:color w:val="6A7F0F"/>
          <w:sz w:val="22"/>
          <w:szCs w:val="22"/>
        </w:rPr>
      </w:pPr>
      <w:bookmarkStart w:id="75" w:name="_Service_Users_Receiving"/>
      <w:bookmarkStart w:id="76" w:name="_Person-Centered_Care_&amp;"/>
      <w:bookmarkEnd w:id="75"/>
      <w:bookmarkEnd w:id="76"/>
      <w:r w:rsidRPr="00A32A0E">
        <w:rPr>
          <w:b/>
          <w:bCs/>
          <w:i/>
          <w:iCs/>
          <w:color w:val="6A7F0F"/>
          <w:sz w:val="22"/>
          <w:szCs w:val="22"/>
        </w:rPr>
        <w:t>Person-Centered Care and Substance Use Disorder Treatment Services</w:t>
      </w:r>
    </w:p>
    <w:p w14:paraId="00A4763E" w14:textId="77777777" w:rsidR="00323FC9" w:rsidRDefault="00323FC9" w:rsidP="00323FC9">
      <w:pPr>
        <w:rPr>
          <w:rFonts w:cstheme="minorHAnsi"/>
          <w:sz w:val="22"/>
          <w:szCs w:val="22"/>
        </w:rPr>
      </w:pPr>
      <w:r w:rsidRPr="00EA26DD">
        <w:rPr>
          <w:rFonts w:cstheme="minorHAnsi"/>
          <w:color w:val="000000" w:themeColor="text1"/>
          <w:sz w:val="22"/>
          <w:szCs w:val="22"/>
        </w:rPr>
        <w:t xml:space="preserve">The </w:t>
      </w:r>
      <w:r>
        <w:rPr>
          <w:rFonts w:cstheme="minorHAnsi"/>
          <w:color w:val="000000" w:themeColor="text1"/>
          <w:sz w:val="22"/>
          <w:szCs w:val="22"/>
        </w:rPr>
        <w:t>experience</w:t>
      </w:r>
      <w:r w:rsidRPr="00EA26DD">
        <w:rPr>
          <w:rFonts w:cstheme="minorHAnsi"/>
          <w:color w:val="000000" w:themeColor="text1"/>
          <w:sz w:val="22"/>
          <w:szCs w:val="22"/>
        </w:rPr>
        <w:t xml:space="preserve"> </w:t>
      </w:r>
      <w:r w:rsidRPr="000D1B95">
        <w:rPr>
          <w:rFonts w:cstheme="minorHAnsi"/>
          <w:sz w:val="22"/>
          <w:szCs w:val="22"/>
        </w:rPr>
        <w:t xml:space="preserve">of person-centered care was not always shared by service users who were in substance use disorder </w:t>
      </w:r>
      <w:r>
        <w:rPr>
          <w:rFonts w:cstheme="minorHAnsi"/>
          <w:sz w:val="22"/>
          <w:szCs w:val="22"/>
        </w:rPr>
        <w:t>(</w:t>
      </w:r>
      <w:r w:rsidRPr="000D1B95">
        <w:rPr>
          <w:rFonts w:cstheme="minorHAnsi"/>
          <w:sz w:val="22"/>
          <w:szCs w:val="22"/>
        </w:rPr>
        <w:t>SUD</w:t>
      </w:r>
      <w:r>
        <w:rPr>
          <w:rFonts w:cstheme="minorHAnsi"/>
          <w:sz w:val="22"/>
          <w:szCs w:val="22"/>
        </w:rPr>
        <w:t>)</w:t>
      </w:r>
      <w:r w:rsidRPr="000D1B95">
        <w:rPr>
          <w:rFonts w:cstheme="minorHAnsi"/>
          <w:sz w:val="22"/>
          <w:szCs w:val="22"/>
        </w:rPr>
        <w:t xml:space="preserve"> recovery programs, particularly those who were actively involved with the legal system</w:t>
      </w:r>
      <w:r>
        <w:rPr>
          <w:rFonts w:cstheme="minorHAnsi"/>
          <w:sz w:val="22"/>
          <w:szCs w:val="22"/>
        </w:rPr>
        <w:t xml:space="preserve"> in connection with their treatment</w:t>
      </w:r>
      <w:r w:rsidRPr="000D1B95">
        <w:rPr>
          <w:rFonts w:cstheme="minorHAnsi"/>
          <w:sz w:val="22"/>
          <w:szCs w:val="22"/>
        </w:rPr>
        <w:t xml:space="preserve">. Some of these service users </w:t>
      </w:r>
      <w:r>
        <w:rPr>
          <w:rFonts w:cstheme="minorHAnsi"/>
          <w:sz w:val="22"/>
          <w:szCs w:val="22"/>
        </w:rPr>
        <w:t>felt</w:t>
      </w:r>
      <w:r w:rsidRPr="000D1B95">
        <w:rPr>
          <w:rFonts w:cstheme="minorHAnsi"/>
          <w:sz w:val="22"/>
          <w:szCs w:val="22"/>
        </w:rPr>
        <w:t xml:space="preserve"> they were without the same level of autonomy </w:t>
      </w:r>
      <w:r>
        <w:rPr>
          <w:rFonts w:cstheme="minorHAnsi"/>
          <w:sz w:val="22"/>
          <w:szCs w:val="22"/>
        </w:rPr>
        <w:t>with</w:t>
      </w:r>
      <w:r w:rsidRPr="000D1B95">
        <w:rPr>
          <w:rFonts w:cstheme="minorHAnsi"/>
          <w:sz w:val="22"/>
          <w:szCs w:val="22"/>
        </w:rPr>
        <w:t xml:space="preserve"> regard to directing their care plans, lacking decision-making power over medication usage and what CCBHC activities they would participate in</w:t>
      </w:r>
      <w:r>
        <w:rPr>
          <w:rFonts w:cstheme="minorHAnsi"/>
          <w:sz w:val="22"/>
          <w:szCs w:val="22"/>
        </w:rPr>
        <w:t>.</w:t>
      </w:r>
      <w:r w:rsidRPr="000D1B95">
        <w:rPr>
          <w:rFonts w:cstheme="minorHAnsi"/>
          <w:sz w:val="22"/>
          <w:szCs w:val="22"/>
        </w:rPr>
        <w:t xml:space="preserve"> </w:t>
      </w:r>
      <w:r>
        <w:rPr>
          <w:rFonts w:cstheme="minorHAnsi"/>
          <w:sz w:val="22"/>
          <w:szCs w:val="22"/>
        </w:rPr>
        <w:t>T</w:t>
      </w:r>
      <w:r w:rsidRPr="000D1B95">
        <w:rPr>
          <w:rFonts w:cstheme="minorHAnsi"/>
          <w:sz w:val="22"/>
          <w:szCs w:val="22"/>
        </w:rPr>
        <w:t>hese service users also acknowledged that their lack of autonomy was likely related to the terms of their SUD treatment</w:t>
      </w:r>
      <w:r>
        <w:rPr>
          <w:rFonts w:cstheme="minorHAnsi"/>
          <w:sz w:val="22"/>
          <w:szCs w:val="22"/>
        </w:rPr>
        <w:t>.</w:t>
      </w:r>
    </w:p>
    <w:p w14:paraId="4058D8B4" w14:textId="77777777" w:rsidR="00323FC9" w:rsidRPr="000D1B95" w:rsidRDefault="00323FC9" w:rsidP="00323FC9">
      <w:pPr>
        <w:rPr>
          <w:rFonts w:cstheme="minorHAnsi"/>
          <w:sz w:val="22"/>
          <w:szCs w:val="22"/>
        </w:rPr>
      </w:pPr>
    </w:p>
    <w:p w14:paraId="2B7E435D" w14:textId="62897F23" w:rsidR="00323FC9" w:rsidRPr="000D1B95" w:rsidRDefault="00323FC9" w:rsidP="00323FC9">
      <w:pPr>
        <w:rPr>
          <w:rFonts w:cstheme="minorHAnsi"/>
          <w:sz w:val="22"/>
          <w:szCs w:val="22"/>
        </w:rPr>
      </w:pPr>
      <w:r w:rsidRPr="000D1B95">
        <w:rPr>
          <w:rFonts w:cstheme="minorHAnsi"/>
          <w:sz w:val="22"/>
          <w:szCs w:val="22"/>
        </w:rPr>
        <w:t xml:space="preserve">Several service users </w:t>
      </w:r>
      <w:r>
        <w:rPr>
          <w:rFonts w:cstheme="minorHAnsi"/>
          <w:sz w:val="22"/>
          <w:szCs w:val="22"/>
        </w:rPr>
        <w:t>from</w:t>
      </w:r>
      <w:r w:rsidRPr="000D1B95">
        <w:rPr>
          <w:rFonts w:cstheme="minorHAnsi"/>
          <w:sz w:val="22"/>
          <w:szCs w:val="22"/>
        </w:rPr>
        <w:t xml:space="preserve"> different CCBHCs described the perception of differences between SUD-specific services and those that were strictly behavioral health </w:t>
      </w:r>
      <w:r>
        <w:rPr>
          <w:rFonts w:cstheme="minorHAnsi"/>
          <w:sz w:val="22"/>
          <w:szCs w:val="22"/>
        </w:rPr>
        <w:t xml:space="preserve">with regard to </w:t>
      </w:r>
      <w:r w:rsidRPr="000D1B95">
        <w:rPr>
          <w:rFonts w:cstheme="minorHAnsi"/>
          <w:sz w:val="22"/>
          <w:szCs w:val="22"/>
        </w:rPr>
        <w:t>care quality</w:t>
      </w:r>
      <w:r>
        <w:rPr>
          <w:rFonts w:cstheme="minorHAnsi"/>
          <w:sz w:val="22"/>
          <w:szCs w:val="22"/>
        </w:rPr>
        <w:t>,</w:t>
      </w:r>
      <w:r w:rsidRPr="000D1B95">
        <w:rPr>
          <w:rFonts w:cstheme="minorHAnsi"/>
          <w:sz w:val="22"/>
          <w:szCs w:val="22"/>
        </w:rPr>
        <w:t xml:space="preserve"> satisfaction, timeliness, and </w:t>
      </w:r>
      <w:r>
        <w:rPr>
          <w:rFonts w:cstheme="minorHAnsi"/>
          <w:sz w:val="22"/>
          <w:szCs w:val="22"/>
        </w:rPr>
        <w:t xml:space="preserve">the array of available </w:t>
      </w:r>
      <w:r w:rsidRPr="000D1B95">
        <w:rPr>
          <w:rFonts w:cstheme="minorHAnsi"/>
          <w:sz w:val="22"/>
          <w:szCs w:val="22"/>
        </w:rPr>
        <w:t xml:space="preserve">services. A few service users described stark differences in wait times for appointments depending on whether they were seeking care with a SUD counselor or a </w:t>
      </w:r>
      <w:r w:rsidR="001271ED">
        <w:rPr>
          <w:rFonts w:cstheme="minorHAnsi"/>
          <w:sz w:val="22"/>
          <w:szCs w:val="22"/>
        </w:rPr>
        <w:t xml:space="preserve">mental </w:t>
      </w:r>
      <w:r w:rsidRPr="000D1B95">
        <w:rPr>
          <w:rFonts w:cstheme="minorHAnsi"/>
          <w:sz w:val="22"/>
          <w:szCs w:val="22"/>
        </w:rPr>
        <w:t>health counselor; others described feeling as though the programs and activities in which they participated received fewer resources and less attention than those specific to SUD recovery.</w:t>
      </w:r>
    </w:p>
    <w:p w14:paraId="67F23CFE" w14:textId="77777777" w:rsidR="00777BE6" w:rsidRDefault="00777BE6" w:rsidP="00A32A0E">
      <w:pPr>
        <w:ind w:left="630"/>
        <w:rPr>
          <w:rFonts w:cstheme="minorHAnsi"/>
          <w:i/>
          <w:sz w:val="22"/>
          <w:szCs w:val="22"/>
        </w:rPr>
      </w:pPr>
    </w:p>
    <w:p w14:paraId="1B5FDE45" w14:textId="17AD21B1" w:rsidR="00A32A0E" w:rsidRPr="000D1B95" w:rsidRDefault="00A32A0E" w:rsidP="00A32A0E">
      <w:pPr>
        <w:ind w:left="630"/>
        <w:rPr>
          <w:rFonts w:cstheme="minorHAnsi"/>
          <w:i/>
          <w:sz w:val="22"/>
          <w:szCs w:val="22"/>
        </w:rPr>
      </w:pPr>
      <w:r w:rsidRPr="000D1B95">
        <w:rPr>
          <w:rFonts w:cstheme="minorHAnsi"/>
          <w:i/>
          <w:sz w:val="22"/>
          <w:szCs w:val="22"/>
        </w:rPr>
        <w:t>It can be a long wait to get in to see therapists and medication management. When I started services</w:t>
      </w:r>
      <w:r>
        <w:rPr>
          <w:rFonts w:cstheme="minorHAnsi"/>
          <w:i/>
          <w:sz w:val="22"/>
          <w:szCs w:val="22"/>
        </w:rPr>
        <w:t>,</w:t>
      </w:r>
      <w:r w:rsidRPr="000D1B95">
        <w:rPr>
          <w:rFonts w:cstheme="minorHAnsi"/>
          <w:i/>
          <w:sz w:val="22"/>
          <w:szCs w:val="22"/>
        </w:rPr>
        <w:t xml:space="preserve"> I waited about a month to get in to see someone, and then my counseling appointments were once a month because of how large the caseloads are. SUD treatment was quick, I started with a CADC [certified alcohol drug counselor] within a week. My SUD treatment counselor often gave me resources and support, but I did not feel very heard or supported by my mental health counselors or my med management doctor. The turnover for mental health counselors is high here, I went through 4 or 5 in just a couple of years. I ended up getting frustrated and transferring my services elsewhere the beginning of this year. My SUD counselors were amazing. They listened, and supported me. They got to know me and met me where I was at. They even sent emails to my med manager when I felt I was not being heard. I spent months telling my med manager that the medicine I was on was making me worse and she kept upping the dose. In treatment not taking my mental health medicine was viewed as serious as a relapse. I really struggled with being on meds that were making my mental health worse. </w:t>
      </w:r>
      <w:r w:rsidRPr="00643A6B">
        <w:rPr>
          <w:rFonts w:cstheme="minorHAnsi"/>
          <w:iCs/>
          <w:sz w:val="22"/>
          <w:szCs w:val="22"/>
        </w:rPr>
        <w:t>(Service User 34)</w:t>
      </w:r>
    </w:p>
    <w:p w14:paraId="47DEB437" w14:textId="77777777" w:rsidR="00A32A0E" w:rsidRPr="000D1B95" w:rsidRDefault="00A32A0E" w:rsidP="00A32A0E">
      <w:pPr>
        <w:ind w:left="630" w:firstLine="720"/>
        <w:rPr>
          <w:rFonts w:cstheme="minorHAnsi"/>
          <w:i/>
          <w:sz w:val="22"/>
          <w:szCs w:val="22"/>
        </w:rPr>
      </w:pPr>
    </w:p>
    <w:p w14:paraId="45B46FD5" w14:textId="51D42B44" w:rsidR="00A32A0E" w:rsidRDefault="00A32A0E" w:rsidP="00A32A0E">
      <w:pPr>
        <w:ind w:left="630"/>
        <w:rPr>
          <w:rFonts w:cstheme="minorHAnsi"/>
          <w:i/>
          <w:sz w:val="22"/>
          <w:szCs w:val="22"/>
        </w:rPr>
      </w:pPr>
      <w:r w:rsidRPr="000D1B95">
        <w:rPr>
          <w:rFonts w:cstheme="minorHAnsi"/>
          <w:i/>
          <w:sz w:val="22"/>
          <w:szCs w:val="22"/>
        </w:rPr>
        <w:t>They really try to meet people [in SUD treatment]</w:t>
      </w:r>
      <w:r>
        <w:rPr>
          <w:rFonts w:cstheme="minorHAnsi"/>
          <w:i/>
          <w:sz w:val="22"/>
          <w:szCs w:val="22"/>
        </w:rPr>
        <w:t xml:space="preserve"> </w:t>
      </w:r>
      <w:r w:rsidRPr="000D1B95">
        <w:rPr>
          <w:rFonts w:cstheme="minorHAnsi"/>
          <w:i/>
          <w:sz w:val="22"/>
          <w:szCs w:val="22"/>
        </w:rPr>
        <w:t>where they're at but I think that they fail to meet that mark a lot. When I was here</w:t>
      </w:r>
      <w:r w:rsidR="007061A7">
        <w:rPr>
          <w:rFonts w:cstheme="minorHAnsi"/>
          <w:i/>
          <w:sz w:val="22"/>
          <w:szCs w:val="22"/>
        </w:rPr>
        <w:t>,</w:t>
      </w:r>
      <w:r w:rsidRPr="000D1B95">
        <w:rPr>
          <w:rFonts w:cstheme="minorHAnsi"/>
          <w:i/>
          <w:sz w:val="22"/>
          <w:szCs w:val="22"/>
        </w:rPr>
        <w:t xml:space="preserve"> I felt that I never got any say in my treatment plan, I never had any say in what I was doing or when I thought I was done. They basically put me in everything they wanted to put me in and they didn't care what I felt. But that has changed since I've been in [program]. I don't come to [</w:t>
      </w:r>
      <w:r w:rsidR="007061A7">
        <w:rPr>
          <w:rFonts w:cstheme="minorHAnsi"/>
          <w:i/>
          <w:sz w:val="22"/>
          <w:szCs w:val="22"/>
        </w:rPr>
        <w:t>CCBHC</w:t>
      </w:r>
      <w:r w:rsidRPr="000D1B95">
        <w:rPr>
          <w:rFonts w:cstheme="minorHAnsi"/>
          <w:i/>
          <w:sz w:val="22"/>
          <w:szCs w:val="22"/>
        </w:rPr>
        <w:t>] anymore. All my counselors are there now and I absolutely love that program and I think that they're amazing</w:t>
      </w:r>
      <w:r w:rsidR="007061A7">
        <w:rPr>
          <w:rFonts w:cstheme="minorHAnsi"/>
          <w:i/>
          <w:sz w:val="22"/>
          <w:szCs w:val="22"/>
        </w:rPr>
        <w:t xml:space="preserve">; </w:t>
      </w:r>
      <w:r w:rsidRPr="000D1B95">
        <w:rPr>
          <w:rFonts w:cstheme="minorHAnsi"/>
          <w:i/>
          <w:sz w:val="22"/>
          <w:szCs w:val="22"/>
        </w:rPr>
        <w:t xml:space="preserve">it's all under [CCBHC]. </w:t>
      </w:r>
      <w:r w:rsidRPr="00643A6B">
        <w:rPr>
          <w:rFonts w:cstheme="minorHAnsi"/>
          <w:iCs/>
          <w:sz w:val="22"/>
          <w:szCs w:val="22"/>
        </w:rPr>
        <w:t>(Service User 13)</w:t>
      </w:r>
    </w:p>
    <w:p w14:paraId="36330DA7" w14:textId="77777777" w:rsidR="00A32A0E" w:rsidRDefault="00A32A0E" w:rsidP="00A32A0E">
      <w:pPr>
        <w:ind w:left="630"/>
        <w:rPr>
          <w:rFonts w:cstheme="minorHAnsi"/>
          <w:i/>
          <w:sz w:val="22"/>
          <w:szCs w:val="22"/>
        </w:rPr>
      </w:pPr>
    </w:p>
    <w:p w14:paraId="5F9FA040" w14:textId="77777777" w:rsidR="00A32A0E" w:rsidRDefault="00A32A0E" w:rsidP="00A32A0E">
      <w:pPr>
        <w:ind w:left="630"/>
        <w:rPr>
          <w:rFonts w:cstheme="minorHAnsi"/>
          <w:i/>
          <w:sz w:val="22"/>
          <w:szCs w:val="22"/>
        </w:rPr>
      </w:pPr>
      <w:r w:rsidRPr="000D1B95">
        <w:rPr>
          <w:rFonts w:cstheme="minorHAnsi"/>
          <w:i/>
          <w:sz w:val="22"/>
          <w:szCs w:val="22"/>
        </w:rPr>
        <w:t xml:space="preserve">I don't feel as if I need [strictly behavioral health] counseling right now, but with my drug and alcohol counselor I think that I do. I don't think that I should need counseling to get my medications, but I guess the law or the rule that have here. I would rather that I have more decision making about that. </w:t>
      </w:r>
      <w:r w:rsidRPr="00643A6B">
        <w:rPr>
          <w:rFonts w:cstheme="minorHAnsi"/>
          <w:iCs/>
          <w:sz w:val="22"/>
          <w:szCs w:val="22"/>
        </w:rPr>
        <w:t>(Service User 15)</w:t>
      </w:r>
    </w:p>
    <w:p w14:paraId="09D39643" w14:textId="77777777" w:rsidR="00A32A0E" w:rsidRDefault="00A32A0E" w:rsidP="00A32A0E">
      <w:pPr>
        <w:rPr>
          <w:rFonts w:cstheme="minorHAnsi"/>
          <w:i/>
          <w:sz w:val="22"/>
          <w:szCs w:val="22"/>
        </w:rPr>
      </w:pPr>
    </w:p>
    <w:p w14:paraId="311AC1A3" w14:textId="2B149C2D" w:rsidR="00323FC9" w:rsidRDefault="00323FC9" w:rsidP="00323FC9">
      <w:pPr>
        <w:rPr>
          <w:rFonts w:eastAsia="Calibri" w:cstheme="minorHAnsi"/>
          <w:sz w:val="22"/>
          <w:szCs w:val="22"/>
        </w:rPr>
      </w:pPr>
      <w:r>
        <w:rPr>
          <w:rFonts w:eastAsia="Calibri" w:cstheme="minorHAnsi"/>
          <w:sz w:val="22"/>
          <w:szCs w:val="22"/>
        </w:rPr>
        <w:t>Some service users expressed concerns that funding for CCBHC programs and services was not always allocated evenly across behavioral health and SUD services. These service users described a perception that more clinic resources, particularly funding, were directed to SUD-specific services, while behavioral health services received comparatively less investment and/or attention.</w:t>
      </w:r>
      <w:r>
        <w:rPr>
          <w:rFonts w:cstheme="minorHAnsi"/>
          <w:sz w:val="22"/>
          <w:szCs w:val="22"/>
        </w:rPr>
        <w:t xml:space="preserve"> </w:t>
      </w:r>
      <w:r>
        <w:rPr>
          <w:rFonts w:eastAsia="Calibri" w:cstheme="minorHAnsi"/>
          <w:sz w:val="22"/>
          <w:szCs w:val="22"/>
        </w:rPr>
        <w:t xml:space="preserve">This </w:t>
      </w:r>
      <w:r w:rsidR="007061A7">
        <w:rPr>
          <w:rFonts w:eastAsia="Calibri" w:cstheme="minorHAnsi"/>
          <w:sz w:val="22"/>
          <w:szCs w:val="22"/>
        </w:rPr>
        <w:t>opinion</w:t>
      </w:r>
      <w:r>
        <w:rPr>
          <w:rFonts w:eastAsia="Calibri" w:cstheme="minorHAnsi"/>
          <w:sz w:val="22"/>
          <w:szCs w:val="22"/>
        </w:rPr>
        <w:t xml:space="preserve"> was understood by other service users who attended the same focus group and received SUD services. This concern was identified in a single focus group attended by service users who did and did not access SUD-specific services; this diversity of perspectives facilitated an organic discussion that </w:t>
      </w:r>
      <w:r w:rsidR="007061A7">
        <w:rPr>
          <w:rFonts w:eastAsia="Calibri" w:cstheme="minorHAnsi"/>
          <w:sz w:val="22"/>
          <w:szCs w:val="22"/>
        </w:rPr>
        <w:t xml:space="preserve">did </w:t>
      </w:r>
      <w:r>
        <w:rPr>
          <w:rFonts w:eastAsia="Calibri" w:cstheme="minorHAnsi"/>
          <w:sz w:val="22"/>
          <w:szCs w:val="22"/>
        </w:rPr>
        <w:t xml:space="preserve">not occur at other CCBHC sites. These concerns cannot be generalized across all CCBHCs and warrant further exploration. </w:t>
      </w:r>
    </w:p>
    <w:p w14:paraId="3D819CDD" w14:textId="77777777" w:rsidR="007061A7" w:rsidRDefault="007061A7" w:rsidP="00A32A0E">
      <w:pPr>
        <w:ind w:left="630"/>
        <w:rPr>
          <w:rFonts w:eastAsia="Calibri" w:cstheme="minorHAnsi"/>
          <w:sz w:val="22"/>
          <w:szCs w:val="22"/>
        </w:rPr>
      </w:pPr>
    </w:p>
    <w:p w14:paraId="2B32FD64" w14:textId="44CE683C" w:rsidR="00A32A0E" w:rsidRPr="001700D8" w:rsidRDefault="00A32A0E" w:rsidP="00A32A0E">
      <w:pPr>
        <w:ind w:left="630"/>
        <w:rPr>
          <w:rFonts w:cstheme="minorHAnsi"/>
          <w:iCs/>
          <w:sz w:val="22"/>
          <w:szCs w:val="22"/>
        </w:rPr>
      </w:pPr>
      <w:r w:rsidRPr="000D1B95">
        <w:rPr>
          <w:rFonts w:cstheme="minorHAnsi"/>
          <w:i/>
          <w:sz w:val="22"/>
          <w:szCs w:val="22"/>
        </w:rPr>
        <w:t xml:space="preserve">It just feels like the dual diagnosis side gets better treatment. That's what it feels like. They had better care, better services, more options available to them, better counselors. </w:t>
      </w:r>
      <w:r w:rsidRPr="001700D8">
        <w:rPr>
          <w:rFonts w:cstheme="minorHAnsi"/>
          <w:iCs/>
          <w:sz w:val="22"/>
          <w:szCs w:val="22"/>
        </w:rPr>
        <w:t>(Service User 11)</w:t>
      </w:r>
    </w:p>
    <w:p w14:paraId="5E2FA70A" w14:textId="77777777" w:rsidR="00A32A0E" w:rsidRDefault="00A32A0E" w:rsidP="00A32A0E">
      <w:pPr>
        <w:ind w:left="630"/>
        <w:rPr>
          <w:rFonts w:cstheme="minorHAnsi"/>
          <w:i/>
          <w:sz w:val="22"/>
          <w:szCs w:val="22"/>
        </w:rPr>
      </w:pPr>
    </w:p>
    <w:p w14:paraId="65280FEF" w14:textId="77777777" w:rsidR="00A32A0E" w:rsidRPr="0048537F" w:rsidRDefault="00A32A0E" w:rsidP="00A32A0E">
      <w:pPr>
        <w:ind w:left="630"/>
        <w:rPr>
          <w:rFonts w:cstheme="minorHAnsi"/>
          <w:i/>
          <w:sz w:val="22"/>
          <w:szCs w:val="22"/>
        </w:rPr>
      </w:pPr>
      <w:r w:rsidRPr="008976A2">
        <w:rPr>
          <w:rFonts w:cstheme="minorHAnsi"/>
          <w:i/>
          <w:sz w:val="22"/>
          <w:szCs w:val="22"/>
        </w:rPr>
        <w:t>Well, I know we have said multiple times over the years that we feel like most of the resources go into the dual-diagnosis</w:t>
      </w:r>
      <w:r>
        <w:rPr>
          <w:rFonts w:cstheme="minorHAnsi"/>
          <w:sz w:val="22"/>
          <w:szCs w:val="22"/>
        </w:rPr>
        <w:t>. (Service User 12)</w:t>
      </w:r>
    </w:p>
    <w:p w14:paraId="4CF833D7" w14:textId="77777777" w:rsidR="00A32A0E" w:rsidRPr="00EA26DD" w:rsidRDefault="00A32A0E" w:rsidP="00A32A0E">
      <w:pPr>
        <w:ind w:left="630" w:firstLine="720"/>
        <w:rPr>
          <w:rFonts w:cstheme="minorHAnsi"/>
          <w:i/>
          <w:sz w:val="22"/>
          <w:szCs w:val="22"/>
        </w:rPr>
      </w:pPr>
    </w:p>
    <w:p w14:paraId="68E9AE26" w14:textId="0BBE1A49" w:rsidR="00A32A0E" w:rsidRPr="00000D4B" w:rsidRDefault="00A32A0E" w:rsidP="00A32A0E">
      <w:pPr>
        <w:spacing w:after="120"/>
        <w:rPr>
          <w:rFonts w:cstheme="minorHAnsi"/>
          <w:b/>
          <w:bCs/>
          <w:color w:val="6A7F0F"/>
        </w:rPr>
      </w:pPr>
      <w:bookmarkStart w:id="77" w:name="_Family-centered_care"/>
      <w:bookmarkEnd w:id="77"/>
      <w:r w:rsidRPr="00000D4B">
        <w:rPr>
          <w:rFonts w:cstheme="minorHAnsi"/>
          <w:b/>
          <w:bCs/>
          <w:color w:val="6A7F0F"/>
        </w:rPr>
        <w:t xml:space="preserve">Family-Centered Care </w:t>
      </w:r>
    </w:p>
    <w:p w14:paraId="634EC6C3" w14:textId="77777777" w:rsidR="00323FC9" w:rsidRPr="000D1B95" w:rsidRDefault="00323FC9" w:rsidP="00323FC9">
      <w:pPr>
        <w:rPr>
          <w:rFonts w:cstheme="minorHAnsi"/>
          <w:sz w:val="22"/>
          <w:szCs w:val="22"/>
        </w:rPr>
      </w:pPr>
      <w:r w:rsidRPr="000D1B95">
        <w:rPr>
          <w:rFonts w:cstheme="minorHAnsi"/>
          <w:sz w:val="22"/>
          <w:szCs w:val="22"/>
        </w:rPr>
        <w:t xml:space="preserve">The majority of service users reported that they had little to no family involvement in their care through the CCBHC. </w:t>
      </w:r>
      <w:r>
        <w:rPr>
          <w:rFonts w:cstheme="minorHAnsi"/>
          <w:sz w:val="22"/>
          <w:szCs w:val="22"/>
        </w:rPr>
        <w:t>M</w:t>
      </w:r>
      <w:r w:rsidRPr="000D1B95">
        <w:rPr>
          <w:rFonts w:cstheme="minorHAnsi"/>
          <w:sz w:val="22"/>
          <w:szCs w:val="22"/>
        </w:rPr>
        <w:t xml:space="preserve">ost </w:t>
      </w:r>
      <w:r>
        <w:rPr>
          <w:rFonts w:cstheme="minorHAnsi"/>
          <w:sz w:val="22"/>
          <w:szCs w:val="22"/>
        </w:rPr>
        <w:t>indicated</w:t>
      </w:r>
      <w:r w:rsidRPr="000D1B95">
        <w:rPr>
          <w:rFonts w:cstheme="minorHAnsi"/>
          <w:sz w:val="22"/>
          <w:szCs w:val="22"/>
        </w:rPr>
        <w:t xml:space="preserve"> they felt that their CCBHC would be respectful of their decision to include family in their care plan in the future but that doing so was not a priority at this time</w:t>
      </w:r>
      <w:r>
        <w:rPr>
          <w:rFonts w:cstheme="minorHAnsi"/>
          <w:sz w:val="22"/>
          <w:szCs w:val="22"/>
        </w:rPr>
        <w:t xml:space="preserve"> and was a matter of personal choice</w:t>
      </w:r>
      <w:r w:rsidRPr="000D1B95">
        <w:rPr>
          <w:rFonts w:cstheme="minorHAnsi"/>
          <w:sz w:val="22"/>
          <w:szCs w:val="22"/>
        </w:rPr>
        <w:t xml:space="preserve">. For those service users who did </w:t>
      </w:r>
      <w:r>
        <w:rPr>
          <w:rFonts w:cstheme="minorHAnsi"/>
          <w:sz w:val="22"/>
          <w:szCs w:val="22"/>
        </w:rPr>
        <w:t>report</w:t>
      </w:r>
      <w:r w:rsidRPr="000D1B95">
        <w:rPr>
          <w:rFonts w:cstheme="minorHAnsi"/>
          <w:sz w:val="22"/>
          <w:szCs w:val="22"/>
        </w:rPr>
        <w:t xml:space="preserve"> family involvement in their care, they </w:t>
      </w:r>
      <w:r>
        <w:rPr>
          <w:rFonts w:cstheme="minorHAnsi"/>
          <w:sz w:val="22"/>
          <w:szCs w:val="22"/>
        </w:rPr>
        <w:t>felt that</w:t>
      </w:r>
      <w:r w:rsidRPr="000D1B95">
        <w:rPr>
          <w:rFonts w:cstheme="minorHAnsi"/>
          <w:sz w:val="22"/>
          <w:szCs w:val="22"/>
        </w:rPr>
        <w:t xml:space="preserve"> the CCBHC</w:t>
      </w:r>
      <w:r>
        <w:rPr>
          <w:rFonts w:cstheme="minorHAnsi"/>
          <w:sz w:val="22"/>
          <w:szCs w:val="22"/>
        </w:rPr>
        <w:t xml:space="preserve"> and their care team were</w:t>
      </w:r>
      <w:r w:rsidRPr="000D1B95">
        <w:rPr>
          <w:rFonts w:cstheme="minorHAnsi"/>
          <w:sz w:val="22"/>
          <w:szCs w:val="22"/>
        </w:rPr>
        <w:t xml:space="preserve"> respect</w:t>
      </w:r>
      <w:r>
        <w:rPr>
          <w:rFonts w:cstheme="minorHAnsi"/>
          <w:sz w:val="22"/>
          <w:szCs w:val="22"/>
        </w:rPr>
        <w:t>ful of</w:t>
      </w:r>
      <w:r w:rsidRPr="000D1B95">
        <w:rPr>
          <w:rFonts w:cstheme="minorHAnsi"/>
          <w:sz w:val="22"/>
          <w:szCs w:val="22"/>
        </w:rPr>
        <w:t xml:space="preserve"> their decision to involve family members and took steps to see that they were included in keeping with the wishes of the service user. No service users indicated that a lack of family involvement in their care was due to actions of their CCBHC, </w:t>
      </w:r>
      <w:r>
        <w:rPr>
          <w:rFonts w:cstheme="minorHAnsi"/>
          <w:sz w:val="22"/>
          <w:szCs w:val="22"/>
        </w:rPr>
        <w:t xml:space="preserve">but </w:t>
      </w:r>
      <w:r w:rsidRPr="000D1B95">
        <w:rPr>
          <w:rFonts w:cstheme="minorHAnsi"/>
          <w:sz w:val="22"/>
          <w:szCs w:val="22"/>
        </w:rPr>
        <w:t>rather that their lack of family involvement was a personal choice. A few service users described their CCBHC as suggesting that they involve family members in their care</w:t>
      </w:r>
      <w:r>
        <w:rPr>
          <w:rFonts w:cstheme="minorHAnsi"/>
          <w:sz w:val="22"/>
          <w:szCs w:val="22"/>
        </w:rPr>
        <w:t>;</w:t>
      </w:r>
      <w:r w:rsidRPr="000D1B95">
        <w:rPr>
          <w:rFonts w:cstheme="minorHAnsi"/>
          <w:sz w:val="22"/>
          <w:szCs w:val="22"/>
        </w:rPr>
        <w:t xml:space="preserve"> this </w:t>
      </w:r>
      <w:r>
        <w:rPr>
          <w:rFonts w:cstheme="minorHAnsi"/>
          <w:sz w:val="22"/>
          <w:szCs w:val="22"/>
        </w:rPr>
        <w:t>suggestion was</w:t>
      </w:r>
      <w:r w:rsidRPr="000D1B95">
        <w:rPr>
          <w:rFonts w:cstheme="minorHAnsi"/>
          <w:sz w:val="22"/>
          <w:szCs w:val="22"/>
        </w:rPr>
        <w:t xml:space="preserve"> approached in a way that was respectful</w:t>
      </w:r>
      <w:r>
        <w:rPr>
          <w:rFonts w:cstheme="minorHAnsi"/>
          <w:sz w:val="22"/>
          <w:szCs w:val="22"/>
        </w:rPr>
        <w:t xml:space="preserve"> of the wishes of the service user</w:t>
      </w:r>
      <w:r w:rsidRPr="000D1B95">
        <w:rPr>
          <w:rFonts w:cstheme="minorHAnsi"/>
          <w:sz w:val="22"/>
          <w:szCs w:val="22"/>
        </w:rPr>
        <w:t xml:space="preserve">. </w:t>
      </w:r>
    </w:p>
    <w:p w14:paraId="602C2086" w14:textId="77777777" w:rsidR="00323FC9" w:rsidRDefault="00323FC9" w:rsidP="00323FC9">
      <w:pPr>
        <w:rPr>
          <w:rFonts w:cstheme="minorHAnsi"/>
          <w:sz w:val="22"/>
          <w:szCs w:val="22"/>
        </w:rPr>
      </w:pPr>
    </w:p>
    <w:p w14:paraId="17E88DEC" w14:textId="77777777" w:rsidR="00323FC9" w:rsidRPr="000D1B95" w:rsidRDefault="00323FC9" w:rsidP="00323FC9">
      <w:pPr>
        <w:rPr>
          <w:rFonts w:cstheme="minorHAnsi"/>
          <w:sz w:val="22"/>
          <w:szCs w:val="22"/>
        </w:rPr>
      </w:pPr>
      <w:r w:rsidRPr="000D1B95">
        <w:rPr>
          <w:rFonts w:cstheme="minorHAnsi"/>
          <w:sz w:val="22"/>
          <w:szCs w:val="22"/>
        </w:rPr>
        <w:t xml:space="preserve">In discussing whether CCBHC services were family-centered, </w:t>
      </w:r>
      <w:r>
        <w:rPr>
          <w:rFonts w:cstheme="minorHAnsi"/>
          <w:sz w:val="22"/>
          <w:szCs w:val="22"/>
        </w:rPr>
        <w:t>participants</w:t>
      </w:r>
      <w:r w:rsidRPr="000D1B95">
        <w:rPr>
          <w:rFonts w:cstheme="minorHAnsi"/>
          <w:sz w:val="22"/>
          <w:szCs w:val="22"/>
        </w:rPr>
        <w:t xml:space="preserve"> were asked whether the CCBHC respected the beliefs, cultures, and traditions of each service user’s family. Very few service users elaborated on this aspect of family</w:t>
      </w:r>
      <w:r>
        <w:rPr>
          <w:rFonts w:cstheme="minorHAnsi"/>
          <w:sz w:val="22"/>
          <w:szCs w:val="22"/>
        </w:rPr>
        <w:t>-</w:t>
      </w:r>
      <w:r w:rsidRPr="000D1B95">
        <w:rPr>
          <w:rFonts w:cstheme="minorHAnsi"/>
          <w:sz w:val="22"/>
          <w:szCs w:val="22"/>
        </w:rPr>
        <w:t xml:space="preserve">centered care, aside from expressing that they did not have the need for family-centered care in that way. </w:t>
      </w:r>
    </w:p>
    <w:p w14:paraId="47BFCF0B" w14:textId="77777777" w:rsidR="00777BE6" w:rsidRDefault="00777BE6" w:rsidP="00A32A0E">
      <w:pPr>
        <w:ind w:left="720"/>
        <w:rPr>
          <w:rFonts w:cstheme="minorHAnsi"/>
          <w:i/>
          <w:sz w:val="22"/>
          <w:szCs w:val="22"/>
        </w:rPr>
      </w:pPr>
    </w:p>
    <w:p w14:paraId="5EA19FB1" w14:textId="531AD73B" w:rsidR="00A32A0E" w:rsidRPr="000D1B95" w:rsidRDefault="00A32A0E" w:rsidP="00A32A0E">
      <w:pPr>
        <w:ind w:left="720"/>
        <w:rPr>
          <w:rFonts w:cstheme="minorHAnsi"/>
          <w:i/>
          <w:sz w:val="22"/>
          <w:szCs w:val="22"/>
        </w:rPr>
      </w:pPr>
      <w:r w:rsidRPr="000D1B95">
        <w:rPr>
          <w:rFonts w:cstheme="minorHAnsi"/>
          <w:i/>
          <w:sz w:val="22"/>
          <w:szCs w:val="22"/>
        </w:rPr>
        <w:t xml:space="preserve">My care is not super family centered, but that is by my choice as a lot of the reasoning behind why I sought therapy was to deal with familial issues. </w:t>
      </w:r>
      <w:r w:rsidRPr="006166AC">
        <w:rPr>
          <w:rFonts w:cstheme="minorHAnsi"/>
          <w:iCs/>
          <w:sz w:val="22"/>
          <w:szCs w:val="22"/>
        </w:rPr>
        <w:t>(Service User 28)</w:t>
      </w:r>
    </w:p>
    <w:p w14:paraId="79783BB7" w14:textId="77777777" w:rsidR="00A32A0E" w:rsidRPr="000D1B95" w:rsidRDefault="00A32A0E" w:rsidP="00A32A0E">
      <w:pPr>
        <w:ind w:left="720" w:firstLine="720"/>
        <w:rPr>
          <w:rFonts w:cstheme="minorHAnsi"/>
          <w:i/>
          <w:sz w:val="22"/>
          <w:szCs w:val="22"/>
        </w:rPr>
      </w:pPr>
    </w:p>
    <w:p w14:paraId="1497C356" w14:textId="77777777" w:rsidR="00A32A0E" w:rsidRPr="000D1B95" w:rsidRDefault="00A32A0E" w:rsidP="00A32A0E">
      <w:pPr>
        <w:ind w:left="720"/>
        <w:rPr>
          <w:rFonts w:cstheme="minorHAnsi"/>
          <w:i/>
          <w:sz w:val="22"/>
          <w:szCs w:val="22"/>
        </w:rPr>
      </w:pPr>
      <w:r w:rsidRPr="000D1B95">
        <w:rPr>
          <w:rFonts w:cstheme="minorHAnsi"/>
          <w:i/>
          <w:sz w:val="22"/>
          <w:szCs w:val="22"/>
        </w:rPr>
        <w:t>The SUD treatment I was in connected to [the CCBHC] has an amazing treatment that focused on my son and I coming together again, and the support I needed to be a full</w:t>
      </w:r>
      <w:r>
        <w:rPr>
          <w:rFonts w:cstheme="minorHAnsi"/>
          <w:i/>
          <w:sz w:val="22"/>
          <w:szCs w:val="22"/>
        </w:rPr>
        <w:t>-</w:t>
      </w:r>
      <w:r w:rsidRPr="000D1B95">
        <w:rPr>
          <w:rFonts w:cstheme="minorHAnsi"/>
          <w:i/>
          <w:sz w:val="22"/>
          <w:szCs w:val="22"/>
        </w:rPr>
        <w:t xml:space="preserve">time parent again. I am incredibly grateful for [the program]. </w:t>
      </w:r>
      <w:r w:rsidRPr="006166AC">
        <w:rPr>
          <w:rFonts w:cstheme="minorHAnsi"/>
          <w:iCs/>
          <w:sz w:val="22"/>
          <w:szCs w:val="22"/>
        </w:rPr>
        <w:t>(Service User 34)</w:t>
      </w:r>
    </w:p>
    <w:p w14:paraId="1D2D646E" w14:textId="77777777" w:rsidR="00A32A0E" w:rsidRPr="000D1B95" w:rsidRDefault="00A32A0E" w:rsidP="00A32A0E">
      <w:pPr>
        <w:ind w:left="720" w:firstLine="720"/>
        <w:rPr>
          <w:rFonts w:cstheme="minorHAnsi"/>
          <w:i/>
          <w:sz w:val="22"/>
          <w:szCs w:val="22"/>
        </w:rPr>
      </w:pPr>
    </w:p>
    <w:p w14:paraId="71728D8D" w14:textId="77777777" w:rsidR="00A32A0E" w:rsidRDefault="00A32A0E" w:rsidP="00A32A0E">
      <w:pPr>
        <w:ind w:left="720"/>
        <w:rPr>
          <w:rFonts w:cstheme="minorHAnsi"/>
          <w:i/>
          <w:sz w:val="22"/>
          <w:szCs w:val="22"/>
        </w:rPr>
      </w:pPr>
      <w:r w:rsidRPr="000D1B95">
        <w:rPr>
          <w:rFonts w:cstheme="minorHAnsi"/>
          <w:i/>
          <w:sz w:val="22"/>
          <w:szCs w:val="22"/>
        </w:rPr>
        <w:t xml:space="preserve">There are only two days that I do not have my child with me, those are the only days that I can come in and see my team. They have been very open with working with me on that and are very understanding that I only have specific days [that I can come in for services]. </w:t>
      </w:r>
      <w:r w:rsidRPr="006166AC">
        <w:rPr>
          <w:rFonts w:cstheme="minorHAnsi"/>
          <w:iCs/>
          <w:sz w:val="22"/>
          <w:szCs w:val="22"/>
        </w:rPr>
        <w:t>(Service User 09)</w:t>
      </w:r>
    </w:p>
    <w:p w14:paraId="52AD3FE6" w14:textId="77777777" w:rsidR="00A32A0E" w:rsidRPr="000D1B95" w:rsidRDefault="00A32A0E" w:rsidP="00A32A0E">
      <w:pPr>
        <w:ind w:left="720" w:firstLine="720"/>
        <w:rPr>
          <w:rFonts w:cstheme="minorHAnsi"/>
          <w:i/>
          <w:sz w:val="22"/>
          <w:szCs w:val="22"/>
        </w:rPr>
      </w:pPr>
    </w:p>
    <w:p w14:paraId="5B794720"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There are times where, if I feel that I am in an agitated or trauma state, I've had my wife come into my counseling session. My counselor approves. At those times I feel like I might be in such a state that I may not even remember to inform my counselor of details or actions or reactions that I have had because I'm so agitated. Sometimes when I'm post trauma it's almost like that was another me before, I don't remember what was happening or how I was acting. My wife has been able to fill in the gaps. The ability to do family work with her involved has always been approved, always been accepted. It was not necessarily encouraged, but I would say it was not dis-encouraged. It was more like, "If it would be helpful." So not forced, but very natural and it was up to me. </w:t>
      </w:r>
      <w:r w:rsidRPr="006166AC">
        <w:rPr>
          <w:rFonts w:cstheme="minorHAnsi"/>
          <w:iCs/>
          <w:sz w:val="22"/>
          <w:szCs w:val="22"/>
        </w:rPr>
        <w:t>(Service User 23)</w:t>
      </w:r>
    </w:p>
    <w:p w14:paraId="56AA7808" w14:textId="77777777" w:rsidR="00A32A0E" w:rsidRPr="000D1B95" w:rsidRDefault="00A32A0E" w:rsidP="00A32A0E">
      <w:pPr>
        <w:ind w:left="720" w:firstLine="720"/>
        <w:rPr>
          <w:rFonts w:cstheme="minorHAnsi"/>
          <w:i/>
          <w:sz w:val="22"/>
          <w:szCs w:val="22"/>
        </w:rPr>
      </w:pPr>
    </w:p>
    <w:p w14:paraId="64CBA9D7" w14:textId="77777777" w:rsidR="00A32A0E" w:rsidRPr="000D1B95" w:rsidRDefault="00A32A0E" w:rsidP="00A32A0E">
      <w:pPr>
        <w:ind w:left="720"/>
        <w:rPr>
          <w:rFonts w:cstheme="minorHAnsi"/>
          <w:i/>
          <w:sz w:val="22"/>
          <w:szCs w:val="22"/>
        </w:rPr>
      </w:pPr>
      <w:r w:rsidRPr="000D1B95">
        <w:rPr>
          <w:rFonts w:cstheme="minorHAnsi"/>
          <w:i/>
          <w:sz w:val="22"/>
          <w:szCs w:val="22"/>
        </w:rPr>
        <w:t>We [myself and my wife who also receives CCBHC services] have had family counseling together. Not as family counseling, but with her counselor and my counselor all mee</w:t>
      </w:r>
      <w:r>
        <w:rPr>
          <w:rFonts w:cstheme="minorHAnsi"/>
          <w:i/>
          <w:sz w:val="22"/>
          <w:szCs w:val="22"/>
        </w:rPr>
        <w:t>ting at the same time. We asked,</w:t>
      </w:r>
      <w:r w:rsidRPr="000D1B95">
        <w:rPr>
          <w:rFonts w:cstheme="minorHAnsi"/>
          <w:i/>
          <w:sz w:val="22"/>
          <w:szCs w:val="22"/>
        </w:rPr>
        <w:t xml:space="preserve"> "Can we meet up together?" And they said yes, so we tried that. They're open to it if you're open to it. I don't think they would deny us treatment if we wanted to have that kind of treatment moving forward. They've always respected our beliefs. </w:t>
      </w:r>
      <w:r w:rsidRPr="006166AC">
        <w:rPr>
          <w:rFonts w:cstheme="minorHAnsi"/>
          <w:iCs/>
          <w:sz w:val="22"/>
          <w:szCs w:val="22"/>
        </w:rPr>
        <w:t>(Service User 12)</w:t>
      </w:r>
    </w:p>
    <w:p w14:paraId="743F7C43" w14:textId="77777777" w:rsidR="00A32A0E" w:rsidRPr="000D1B95" w:rsidRDefault="00A32A0E" w:rsidP="00A32A0E">
      <w:pPr>
        <w:ind w:left="720" w:firstLine="720"/>
        <w:rPr>
          <w:rFonts w:cstheme="minorHAnsi"/>
          <w:i/>
          <w:sz w:val="22"/>
          <w:szCs w:val="22"/>
        </w:rPr>
      </w:pPr>
    </w:p>
    <w:p w14:paraId="54749A3E" w14:textId="77777777" w:rsidR="00323FC9" w:rsidRPr="000D1B95" w:rsidRDefault="00323FC9" w:rsidP="00323FC9">
      <w:pPr>
        <w:rPr>
          <w:rFonts w:cstheme="minorHAnsi"/>
          <w:sz w:val="22"/>
          <w:szCs w:val="22"/>
        </w:rPr>
      </w:pPr>
      <w:r w:rsidRPr="000D1B95">
        <w:rPr>
          <w:rFonts w:cstheme="minorHAnsi"/>
          <w:sz w:val="22"/>
          <w:szCs w:val="22"/>
        </w:rPr>
        <w:t>One service user described a desire to have their partner involved in their care</w:t>
      </w:r>
      <w:r>
        <w:rPr>
          <w:rFonts w:cstheme="minorHAnsi"/>
          <w:sz w:val="22"/>
          <w:szCs w:val="22"/>
        </w:rPr>
        <w:t>;</w:t>
      </w:r>
      <w:r w:rsidRPr="000D1B95">
        <w:rPr>
          <w:rFonts w:cstheme="minorHAnsi"/>
          <w:sz w:val="22"/>
          <w:szCs w:val="22"/>
        </w:rPr>
        <w:t xml:space="preserve"> however</w:t>
      </w:r>
      <w:r>
        <w:rPr>
          <w:rFonts w:cstheme="minorHAnsi"/>
          <w:sz w:val="22"/>
          <w:szCs w:val="22"/>
        </w:rPr>
        <w:t>,</w:t>
      </w:r>
      <w:r w:rsidRPr="000D1B95">
        <w:rPr>
          <w:rFonts w:cstheme="minorHAnsi"/>
          <w:sz w:val="22"/>
          <w:szCs w:val="22"/>
        </w:rPr>
        <w:t xml:space="preserve"> this was complicated by their involvement in SUD recovery treatment and their partner’s ongoing drug use. While this was a single perspective that did not arise as a theme among other service users, it was presented as an important issue that placed strain on the service user and presented a potential challenge to their sobriety after completing the treatment program. </w:t>
      </w:r>
    </w:p>
    <w:p w14:paraId="7BA2EBC9" w14:textId="77777777" w:rsidR="00777BE6" w:rsidRDefault="00777BE6" w:rsidP="00A32A0E">
      <w:pPr>
        <w:ind w:left="720"/>
        <w:rPr>
          <w:rFonts w:cstheme="minorHAnsi"/>
          <w:i/>
          <w:sz w:val="22"/>
          <w:szCs w:val="22"/>
        </w:rPr>
      </w:pPr>
    </w:p>
    <w:p w14:paraId="048EF933" w14:textId="2476C652" w:rsidR="00A32A0E" w:rsidRPr="000D1B95" w:rsidRDefault="00A32A0E" w:rsidP="00A32A0E">
      <w:pPr>
        <w:ind w:left="720"/>
        <w:rPr>
          <w:rFonts w:cstheme="minorHAnsi"/>
          <w:i/>
          <w:sz w:val="22"/>
          <w:szCs w:val="22"/>
        </w:rPr>
      </w:pPr>
      <w:r w:rsidRPr="000D1B95">
        <w:rPr>
          <w:rFonts w:cstheme="minorHAnsi"/>
          <w:i/>
          <w:sz w:val="22"/>
          <w:szCs w:val="22"/>
        </w:rPr>
        <w:t>I have a partner who is not my husband, but we've lived together for many, many years. He is also a heroin addict. He suffers still, and it's very, very, very hard because he has past dealings with [CCBHC], and they look at him a certain way. I try to get him help and they flat-out deny him, or they'll like take him onc</w:t>
      </w:r>
      <w:r>
        <w:rPr>
          <w:rFonts w:cstheme="minorHAnsi"/>
          <w:i/>
          <w:sz w:val="22"/>
          <w:szCs w:val="22"/>
        </w:rPr>
        <w:t xml:space="preserve">e. </w:t>
      </w:r>
      <w:r w:rsidRPr="000D1B95">
        <w:rPr>
          <w:rFonts w:cstheme="minorHAnsi"/>
          <w:i/>
          <w:sz w:val="22"/>
          <w:szCs w:val="22"/>
        </w:rPr>
        <w:t xml:space="preserve">There are different rules for me and him, even though we're very much the same. I wonder why they care so much about me, but they don't care about him. It's frustrating and it's hard and it's sad. It's sad because I really, really want him to be able to get the help that he needs, and he is stonewalled because of his past dealings [with the clinic] and who he is. I don't think that they take that into consideration at all, and I know that sometimes they'll help him more because of me, because I'm so adamant about it. I advocate for him a lot. He’s my family, he's my person, and I love him very, very much. Even though I can't love him actively right now because I have to do my thing for me, he's right there at the door trying to do it, but no one will answer the door for him. </w:t>
      </w:r>
      <w:r w:rsidRPr="006166AC">
        <w:rPr>
          <w:rFonts w:cstheme="minorHAnsi"/>
          <w:iCs/>
          <w:sz w:val="22"/>
          <w:szCs w:val="22"/>
        </w:rPr>
        <w:t>(Service User 14)</w:t>
      </w:r>
    </w:p>
    <w:p w14:paraId="7BFABC97" w14:textId="77777777" w:rsidR="00A32A0E" w:rsidRPr="007061A7" w:rsidRDefault="00A32A0E" w:rsidP="003F2596">
      <w:pPr>
        <w:spacing w:after="120"/>
        <w:rPr>
          <w:rFonts w:cstheme="minorHAnsi"/>
          <w:b/>
          <w:bCs/>
          <w:color w:val="6A7F0F"/>
          <w:sz w:val="22"/>
          <w:szCs w:val="22"/>
        </w:rPr>
      </w:pPr>
    </w:p>
    <w:p w14:paraId="5D21ED5B" w14:textId="08DF4974" w:rsidR="00A32A0E" w:rsidRPr="00000D4B" w:rsidRDefault="00A32A0E" w:rsidP="003F2596">
      <w:pPr>
        <w:spacing w:after="120"/>
        <w:rPr>
          <w:rFonts w:cstheme="minorHAnsi"/>
          <w:b/>
          <w:bCs/>
          <w:color w:val="000000" w:themeColor="text1"/>
          <w:sz w:val="22"/>
          <w:szCs w:val="22"/>
        </w:rPr>
      </w:pPr>
      <w:bookmarkStart w:id="78" w:name="_Community_Needs,_Gaps"/>
      <w:bookmarkEnd w:id="78"/>
      <w:r w:rsidRPr="00000D4B">
        <w:rPr>
          <w:rFonts w:cstheme="minorHAnsi"/>
          <w:b/>
          <w:bCs/>
          <w:color w:val="6A7F0F"/>
        </w:rPr>
        <w:t>Community Needs, Gaps in CCBHC Services and Service User Recommendations</w:t>
      </w:r>
    </w:p>
    <w:p w14:paraId="66380828" w14:textId="5D922B91" w:rsidR="00323FC9" w:rsidRDefault="00323FC9" w:rsidP="00323FC9">
      <w:pPr>
        <w:rPr>
          <w:rFonts w:cstheme="minorHAnsi"/>
          <w:sz w:val="22"/>
          <w:szCs w:val="22"/>
        </w:rPr>
      </w:pPr>
      <w:r>
        <w:rPr>
          <w:rFonts w:cstheme="minorHAnsi"/>
          <w:sz w:val="22"/>
          <w:szCs w:val="22"/>
        </w:rPr>
        <w:t xml:space="preserve">Service users were asked whether they considered their CCBHC to be responsive to community needs, including whether the clinic was inclusive of all community members, offered culturally responsive services, and generally made efforts to reduce barriers to care. Service users generally expressed satisfaction with how their CCBHC responded to community needs, with some noting that there had been changes in how the CCBHC had met community needs over time, and others noting areas for continued improvement. </w:t>
      </w:r>
    </w:p>
    <w:p w14:paraId="4B9E44E6" w14:textId="77777777" w:rsidR="00323FC9" w:rsidRDefault="00323FC9" w:rsidP="00323FC9">
      <w:pPr>
        <w:rPr>
          <w:rFonts w:cstheme="minorHAnsi"/>
          <w:sz w:val="22"/>
          <w:szCs w:val="22"/>
        </w:rPr>
      </w:pPr>
    </w:p>
    <w:p w14:paraId="63C94815" w14:textId="77777777" w:rsidR="00A32A0E" w:rsidRPr="000D1B95" w:rsidRDefault="00A32A0E" w:rsidP="00A32A0E">
      <w:pPr>
        <w:tabs>
          <w:tab w:val="left" w:pos="1003"/>
        </w:tabs>
        <w:ind w:left="720"/>
        <w:rPr>
          <w:rFonts w:cstheme="minorHAnsi"/>
          <w:i/>
          <w:sz w:val="22"/>
          <w:szCs w:val="22"/>
        </w:rPr>
      </w:pPr>
      <w:r w:rsidRPr="000D1B95">
        <w:rPr>
          <w:rFonts w:cstheme="minorHAnsi"/>
          <w:i/>
          <w:sz w:val="22"/>
          <w:szCs w:val="22"/>
        </w:rPr>
        <w:t xml:space="preserve">This clinic is responsive to community needs. I came to the clinic because of community partners that trust [CCBHC] and helped me connect with services in the midst of a mental health crisis. The community partners and [CCBHC] staff were kind and helpful during my weakest moments. </w:t>
      </w:r>
      <w:r w:rsidRPr="006166AC">
        <w:rPr>
          <w:rFonts w:cstheme="minorHAnsi"/>
          <w:iCs/>
          <w:sz w:val="22"/>
          <w:szCs w:val="22"/>
        </w:rPr>
        <w:t>(Service User 32)</w:t>
      </w:r>
    </w:p>
    <w:p w14:paraId="3BDF3FBF" w14:textId="77777777" w:rsidR="00A32A0E" w:rsidRPr="000D1B95" w:rsidRDefault="00A32A0E" w:rsidP="00A32A0E">
      <w:pPr>
        <w:tabs>
          <w:tab w:val="left" w:pos="1003"/>
        </w:tabs>
        <w:rPr>
          <w:rFonts w:cstheme="minorHAnsi"/>
          <w:i/>
          <w:sz w:val="22"/>
          <w:szCs w:val="22"/>
        </w:rPr>
      </w:pPr>
    </w:p>
    <w:p w14:paraId="7E9D4E5C" w14:textId="77777777" w:rsidR="00A32A0E" w:rsidRPr="000D1B95" w:rsidRDefault="00A32A0E" w:rsidP="00A32A0E">
      <w:pPr>
        <w:ind w:left="720"/>
        <w:rPr>
          <w:rFonts w:cstheme="minorHAnsi"/>
          <w:i/>
          <w:sz w:val="22"/>
          <w:szCs w:val="22"/>
        </w:rPr>
      </w:pPr>
      <w:r w:rsidRPr="000D1B95">
        <w:rPr>
          <w:rFonts w:cstheme="minorHAnsi"/>
          <w:i/>
          <w:sz w:val="22"/>
          <w:szCs w:val="22"/>
        </w:rPr>
        <w:t>They respect pronouns and they respect identity as far as I've inquired. I've had several of the [CCBHC] employees ask me, "How do you like to be addressed?" Well</w:t>
      </w:r>
      <w:r>
        <w:rPr>
          <w:rFonts w:cstheme="minorHAnsi"/>
          <w:i/>
          <w:sz w:val="22"/>
          <w:szCs w:val="22"/>
        </w:rPr>
        <w:t>,</w:t>
      </w:r>
      <w:r w:rsidRPr="000D1B95">
        <w:rPr>
          <w:rFonts w:cstheme="minorHAnsi"/>
          <w:i/>
          <w:sz w:val="22"/>
          <w:szCs w:val="22"/>
        </w:rPr>
        <w:t xml:space="preserve"> I am he/him, but I have they/them and zee/zed, and I have those people who identify non-binary and others, so I see they're trying. It's all new, but they're trying. From my perspective that is a higher level that they at least are trying to understand. </w:t>
      </w:r>
      <w:r w:rsidRPr="006166AC">
        <w:rPr>
          <w:rFonts w:cstheme="minorHAnsi"/>
          <w:iCs/>
          <w:sz w:val="22"/>
          <w:szCs w:val="22"/>
        </w:rPr>
        <w:t>(Service User 05)</w:t>
      </w:r>
    </w:p>
    <w:p w14:paraId="73D426AA" w14:textId="77777777" w:rsidR="00A32A0E" w:rsidRPr="000D1B95" w:rsidRDefault="00A32A0E" w:rsidP="00A32A0E">
      <w:pPr>
        <w:rPr>
          <w:rFonts w:cstheme="minorHAnsi"/>
          <w:i/>
          <w:sz w:val="22"/>
          <w:szCs w:val="22"/>
        </w:rPr>
      </w:pPr>
    </w:p>
    <w:p w14:paraId="2CDC42B7" w14:textId="044AEF3C" w:rsidR="00A32A0E" w:rsidRDefault="00A32A0E" w:rsidP="00A32A0E">
      <w:pPr>
        <w:ind w:left="720"/>
        <w:rPr>
          <w:rFonts w:cstheme="minorHAnsi"/>
          <w:iCs/>
          <w:sz w:val="22"/>
          <w:szCs w:val="22"/>
        </w:rPr>
      </w:pPr>
      <w:r w:rsidRPr="000D1B95">
        <w:rPr>
          <w:rFonts w:cstheme="minorHAnsi"/>
          <w:i/>
          <w:sz w:val="22"/>
          <w:szCs w:val="22"/>
        </w:rPr>
        <w:t xml:space="preserve">The counseling staff here has become a lot more open and diverse and accepting, so they help as much as they can. In the past it was tolerated [to be a member of the LGBTQ+ community], now it's accepted. To me this feels like a safe space. </w:t>
      </w:r>
      <w:r w:rsidRPr="006166AC">
        <w:rPr>
          <w:rFonts w:cstheme="minorHAnsi"/>
          <w:iCs/>
          <w:sz w:val="22"/>
          <w:szCs w:val="22"/>
        </w:rPr>
        <w:t>(Service User 24)</w:t>
      </w:r>
    </w:p>
    <w:p w14:paraId="49C884DF" w14:textId="77777777" w:rsidR="001271ED" w:rsidRDefault="001271ED" w:rsidP="00A32A0E">
      <w:pPr>
        <w:ind w:left="720"/>
        <w:rPr>
          <w:rFonts w:cstheme="minorHAnsi"/>
          <w:i/>
          <w:sz w:val="22"/>
          <w:szCs w:val="22"/>
        </w:rPr>
      </w:pPr>
    </w:p>
    <w:p w14:paraId="745F6A25" w14:textId="77777777" w:rsidR="00323FC9" w:rsidRDefault="00323FC9" w:rsidP="00323FC9">
      <w:pPr>
        <w:rPr>
          <w:rFonts w:cstheme="minorHAnsi"/>
          <w:sz w:val="22"/>
          <w:szCs w:val="22"/>
        </w:rPr>
      </w:pPr>
      <w:r>
        <w:rPr>
          <w:rFonts w:cstheme="minorHAnsi"/>
          <w:sz w:val="22"/>
          <w:szCs w:val="22"/>
        </w:rPr>
        <w:t>Most</w:t>
      </w:r>
      <w:r w:rsidRPr="000D1B95">
        <w:rPr>
          <w:rFonts w:cstheme="minorHAnsi"/>
          <w:sz w:val="22"/>
          <w:szCs w:val="22"/>
        </w:rPr>
        <w:t xml:space="preserve"> service user</w:t>
      </w:r>
      <w:r>
        <w:rPr>
          <w:rFonts w:cstheme="minorHAnsi"/>
          <w:sz w:val="22"/>
          <w:szCs w:val="22"/>
        </w:rPr>
        <w:t>s</w:t>
      </w:r>
      <w:r w:rsidRPr="000D1B95">
        <w:rPr>
          <w:rFonts w:cstheme="minorHAnsi"/>
          <w:sz w:val="22"/>
          <w:szCs w:val="22"/>
        </w:rPr>
        <w:t xml:space="preserve"> </w:t>
      </w:r>
      <w:r>
        <w:rPr>
          <w:rFonts w:cstheme="minorHAnsi"/>
          <w:sz w:val="22"/>
          <w:szCs w:val="22"/>
        </w:rPr>
        <w:t>felt</w:t>
      </w:r>
      <w:r w:rsidRPr="000D1B95">
        <w:rPr>
          <w:rFonts w:cstheme="minorHAnsi"/>
          <w:sz w:val="22"/>
          <w:szCs w:val="22"/>
        </w:rPr>
        <w:t xml:space="preserve"> their CCBHC met their needs</w:t>
      </w:r>
      <w:r>
        <w:rPr>
          <w:rFonts w:cstheme="minorHAnsi"/>
          <w:sz w:val="22"/>
          <w:szCs w:val="22"/>
        </w:rPr>
        <w:t>;</w:t>
      </w:r>
      <w:r w:rsidRPr="000D1B95">
        <w:rPr>
          <w:rFonts w:cstheme="minorHAnsi"/>
          <w:sz w:val="22"/>
          <w:szCs w:val="22"/>
        </w:rPr>
        <w:t xml:space="preserve"> </w:t>
      </w:r>
      <w:r>
        <w:rPr>
          <w:rFonts w:cstheme="minorHAnsi"/>
          <w:sz w:val="22"/>
          <w:szCs w:val="22"/>
        </w:rPr>
        <w:t>they</w:t>
      </w:r>
      <w:r w:rsidRPr="000D1B95">
        <w:rPr>
          <w:rFonts w:cstheme="minorHAnsi"/>
          <w:sz w:val="22"/>
          <w:szCs w:val="22"/>
        </w:rPr>
        <w:t xml:space="preserve"> </w:t>
      </w:r>
      <w:r>
        <w:rPr>
          <w:rFonts w:cstheme="minorHAnsi"/>
          <w:sz w:val="22"/>
          <w:szCs w:val="22"/>
        </w:rPr>
        <w:t xml:space="preserve">also </w:t>
      </w:r>
      <w:r w:rsidRPr="000D1B95">
        <w:rPr>
          <w:rFonts w:cstheme="minorHAnsi"/>
          <w:sz w:val="22"/>
          <w:szCs w:val="22"/>
        </w:rPr>
        <w:t>identif</w:t>
      </w:r>
      <w:r>
        <w:rPr>
          <w:rFonts w:cstheme="minorHAnsi"/>
          <w:sz w:val="22"/>
          <w:szCs w:val="22"/>
        </w:rPr>
        <w:t>ied</w:t>
      </w:r>
      <w:r w:rsidRPr="000D1B95">
        <w:rPr>
          <w:rFonts w:cstheme="minorHAnsi"/>
          <w:sz w:val="22"/>
          <w:szCs w:val="22"/>
        </w:rPr>
        <w:t xml:space="preserve"> some potential gaps where services could be added or expanded or where changes could be considered in order to improve access to CCBHC services to reach more community members. </w:t>
      </w:r>
      <w:r>
        <w:rPr>
          <w:rFonts w:cstheme="minorHAnsi"/>
          <w:sz w:val="22"/>
          <w:szCs w:val="22"/>
        </w:rPr>
        <w:t>Service users suggested that s</w:t>
      </w:r>
      <w:r w:rsidRPr="000D1B95">
        <w:rPr>
          <w:rFonts w:cstheme="minorHAnsi"/>
          <w:sz w:val="22"/>
          <w:szCs w:val="22"/>
        </w:rPr>
        <w:t xml:space="preserve">ome gaps may be resolved by additional education regarding available services and/or resources, others may require additional or strengthened partnerships with community-based organizations, </w:t>
      </w:r>
      <w:r>
        <w:rPr>
          <w:rFonts w:cstheme="minorHAnsi"/>
          <w:sz w:val="22"/>
          <w:szCs w:val="22"/>
        </w:rPr>
        <w:t>and</w:t>
      </w:r>
      <w:r w:rsidRPr="000D1B95">
        <w:rPr>
          <w:rFonts w:cstheme="minorHAnsi"/>
          <w:sz w:val="22"/>
          <w:szCs w:val="22"/>
        </w:rPr>
        <w:t xml:space="preserve"> others </w:t>
      </w:r>
      <w:r>
        <w:rPr>
          <w:rFonts w:cstheme="minorHAnsi"/>
          <w:sz w:val="22"/>
          <w:szCs w:val="22"/>
        </w:rPr>
        <w:t>may</w:t>
      </w:r>
      <w:r w:rsidRPr="000D1B95">
        <w:rPr>
          <w:rFonts w:cstheme="minorHAnsi"/>
          <w:sz w:val="22"/>
          <w:szCs w:val="22"/>
        </w:rPr>
        <w:t xml:space="preserve"> require systemic changes within Oregon’s broader behavioral health system. </w:t>
      </w:r>
    </w:p>
    <w:p w14:paraId="0307ADDC" w14:textId="77777777" w:rsidR="003F2596" w:rsidRDefault="003F2596" w:rsidP="00A32A0E">
      <w:pPr>
        <w:ind w:left="720"/>
        <w:rPr>
          <w:rFonts w:cstheme="minorHAnsi"/>
          <w:i/>
          <w:sz w:val="22"/>
          <w:szCs w:val="22"/>
        </w:rPr>
      </w:pPr>
    </w:p>
    <w:p w14:paraId="2DDD4F1A" w14:textId="6E991D58" w:rsidR="00A32A0E" w:rsidRPr="000D1B95" w:rsidRDefault="00A32A0E" w:rsidP="00A32A0E">
      <w:pPr>
        <w:ind w:left="720"/>
        <w:rPr>
          <w:rFonts w:cstheme="minorHAnsi"/>
          <w:i/>
          <w:sz w:val="22"/>
          <w:szCs w:val="22"/>
        </w:rPr>
      </w:pPr>
      <w:r w:rsidRPr="000D1B95">
        <w:rPr>
          <w:rFonts w:cstheme="minorHAnsi"/>
          <w:i/>
          <w:sz w:val="22"/>
          <w:szCs w:val="22"/>
        </w:rPr>
        <w:t xml:space="preserve">There is a very high need for mental health service for those individuals who are homeless. Seeing those patients when they come in is critical as many do not have phones to be called back on when scheduling appointments, nor the transportation to get to the clinic. It would be great to have those individuals seen the same day and to provide wraparound services and peer support to assist them. </w:t>
      </w:r>
      <w:r w:rsidRPr="006166AC">
        <w:rPr>
          <w:rFonts w:cstheme="minorHAnsi"/>
          <w:iCs/>
          <w:sz w:val="22"/>
          <w:szCs w:val="22"/>
        </w:rPr>
        <w:t>(Service User 31)</w:t>
      </w:r>
    </w:p>
    <w:p w14:paraId="1E3074E9" w14:textId="77777777" w:rsidR="00A32A0E" w:rsidRPr="000D1B95" w:rsidRDefault="00A32A0E" w:rsidP="00A32A0E">
      <w:pPr>
        <w:rPr>
          <w:rFonts w:cstheme="minorHAnsi"/>
          <w:i/>
          <w:sz w:val="22"/>
          <w:szCs w:val="22"/>
        </w:rPr>
      </w:pPr>
    </w:p>
    <w:p w14:paraId="4401C7AA" w14:textId="77777777" w:rsidR="00A32A0E" w:rsidRPr="000D1B95" w:rsidRDefault="00A32A0E" w:rsidP="00A32A0E">
      <w:pPr>
        <w:ind w:left="720"/>
        <w:rPr>
          <w:rFonts w:cstheme="minorHAnsi"/>
          <w:i/>
          <w:sz w:val="22"/>
          <w:szCs w:val="22"/>
        </w:rPr>
      </w:pPr>
      <w:r w:rsidRPr="00A866A0">
        <w:rPr>
          <w:rFonts w:cstheme="minorHAnsi"/>
          <w:i/>
          <w:sz w:val="22"/>
          <w:szCs w:val="22"/>
        </w:rPr>
        <w:t>Culturally, I</w:t>
      </w:r>
      <w:r>
        <w:rPr>
          <w:rFonts w:cstheme="minorHAnsi"/>
          <w:i/>
          <w:sz w:val="22"/>
          <w:szCs w:val="22"/>
        </w:rPr>
        <w:t>’</w:t>
      </w:r>
      <w:r w:rsidRPr="00A866A0">
        <w:rPr>
          <w:rFonts w:cstheme="minorHAnsi"/>
          <w:i/>
          <w:sz w:val="22"/>
          <w:szCs w:val="22"/>
        </w:rPr>
        <w:t>m half Native American, so I</w:t>
      </w:r>
      <w:r>
        <w:rPr>
          <w:rFonts w:cstheme="minorHAnsi"/>
          <w:i/>
          <w:sz w:val="22"/>
          <w:szCs w:val="22"/>
        </w:rPr>
        <w:t>’</w:t>
      </w:r>
      <w:r w:rsidRPr="00A866A0">
        <w:rPr>
          <w:rFonts w:cstheme="minorHAnsi"/>
          <w:i/>
          <w:sz w:val="22"/>
          <w:szCs w:val="22"/>
        </w:rPr>
        <w:t>ve never really been asked about that</w:t>
      </w:r>
      <w:r>
        <w:rPr>
          <w:rFonts w:cstheme="minorHAnsi"/>
          <w:i/>
          <w:sz w:val="22"/>
          <w:szCs w:val="22"/>
        </w:rPr>
        <w:t xml:space="preserve">… </w:t>
      </w:r>
      <w:r w:rsidRPr="000D1B95">
        <w:rPr>
          <w:rFonts w:cstheme="minorHAnsi"/>
          <w:i/>
          <w:sz w:val="22"/>
          <w:szCs w:val="22"/>
        </w:rPr>
        <w:t>I know there have been treatment services off and on at the reservation here, but I</w:t>
      </w:r>
      <w:r>
        <w:rPr>
          <w:rFonts w:cstheme="minorHAnsi"/>
          <w:i/>
          <w:sz w:val="22"/>
          <w:szCs w:val="22"/>
        </w:rPr>
        <w:t>’</w:t>
      </w:r>
      <w:r w:rsidRPr="000D1B95">
        <w:rPr>
          <w:rFonts w:cstheme="minorHAnsi"/>
          <w:i/>
          <w:sz w:val="22"/>
          <w:szCs w:val="22"/>
        </w:rPr>
        <w:t xml:space="preserve">ve never really seen </w:t>
      </w:r>
      <w:r>
        <w:rPr>
          <w:rFonts w:cstheme="minorHAnsi"/>
          <w:i/>
          <w:sz w:val="22"/>
          <w:szCs w:val="22"/>
        </w:rPr>
        <w:t>them</w:t>
      </w:r>
      <w:r w:rsidRPr="000D1B95">
        <w:rPr>
          <w:rFonts w:cstheme="minorHAnsi"/>
          <w:i/>
          <w:sz w:val="22"/>
          <w:szCs w:val="22"/>
        </w:rPr>
        <w:t xml:space="preserve"> coordinate with the </w:t>
      </w:r>
      <w:r>
        <w:rPr>
          <w:rFonts w:cstheme="minorHAnsi"/>
          <w:i/>
          <w:sz w:val="22"/>
          <w:szCs w:val="22"/>
        </w:rPr>
        <w:t>Rez…</w:t>
      </w:r>
      <w:r w:rsidRPr="000D1B95">
        <w:rPr>
          <w:rFonts w:cstheme="minorHAnsi"/>
          <w:i/>
          <w:sz w:val="22"/>
          <w:szCs w:val="22"/>
        </w:rPr>
        <w:t xml:space="preserve"> I do not think that they would be receptive [if I wanted more culturally specific programs</w:t>
      </w:r>
      <w:r>
        <w:rPr>
          <w:rFonts w:cstheme="minorHAnsi"/>
          <w:i/>
          <w:sz w:val="22"/>
          <w:szCs w:val="22"/>
        </w:rPr>
        <w:t>]</w:t>
      </w:r>
      <w:r w:rsidRPr="000D1B95">
        <w:rPr>
          <w:rFonts w:cstheme="minorHAnsi"/>
          <w:i/>
          <w:sz w:val="22"/>
          <w:szCs w:val="22"/>
        </w:rPr>
        <w:t xml:space="preserve">. </w:t>
      </w:r>
      <w:r w:rsidRPr="006166AC">
        <w:rPr>
          <w:rFonts w:cstheme="minorHAnsi"/>
          <w:iCs/>
          <w:sz w:val="22"/>
          <w:szCs w:val="22"/>
        </w:rPr>
        <w:t>(Service User 13)</w:t>
      </w:r>
    </w:p>
    <w:p w14:paraId="1355A75E" w14:textId="77777777" w:rsidR="00A32A0E" w:rsidRDefault="00A32A0E" w:rsidP="00A32A0E">
      <w:pPr>
        <w:ind w:firstLine="720"/>
        <w:rPr>
          <w:rFonts w:cstheme="minorHAnsi"/>
          <w:sz w:val="22"/>
          <w:szCs w:val="22"/>
        </w:rPr>
      </w:pPr>
    </w:p>
    <w:p w14:paraId="57AC46C0" w14:textId="77777777" w:rsidR="00323FC9" w:rsidRDefault="00323FC9" w:rsidP="00323FC9">
      <w:pPr>
        <w:rPr>
          <w:rFonts w:cstheme="minorHAnsi"/>
          <w:sz w:val="22"/>
          <w:szCs w:val="22"/>
        </w:rPr>
      </w:pPr>
      <w:r>
        <w:rPr>
          <w:rFonts w:cstheme="minorHAnsi"/>
          <w:sz w:val="22"/>
          <w:szCs w:val="22"/>
        </w:rPr>
        <w:t xml:space="preserve">Service </w:t>
      </w:r>
      <w:r w:rsidRPr="000D1B95">
        <w:rPr>
          <w:rFonts w:cstheme="minorHAnsi"/>
          <w:sz w:val="22"/>
          <w:szCs w:val="22"/>
        </w:rPr>
        <w:t xml:space="preserve">users </w:t>
      </w:r>
      <w:r>
        <w:rPr>
          <w:rFonts w:cstheme="minorHAnsi"/>
          <w:sz w:val="22"/>
          <w:szCs w:val="22"/>
        </w:rPr>
        <w:t>in</w:t>
      </w:r>
      <w:r w:rsidRPr="000D1B95">
        <w:rPr>
          <w:rFonts w:cstheme="minorHAnsi"/>
          <w:sz w:val="22"/>
          <w:szCs w:val="22"/>
        </w:rPr>
        <w:t xml:space="preserve"> several focus groups discussed either the presence or absence of community-focused spaces</w:t>
      </w:r>
      <w:r>
        <w:rPr>
          <w:rFonts w:cstheme="minorHAnsi"/>
          <w:sz w:val="22"/>
          <w:szCs w:val="22"/>
        </w:rPr>
        <w:t xml:space="preserve"> where they could gather for peer support and/or other services. While some service users were aware of drop-in spaces for community members</w:t>
      </w:r>
      <w:r w:rsidRPr="000D1B95">
        <w:rPr>
          <w:rFonts w:cstheme="minorHAnsi"/>
          <w:sz w:val="22"/>
          <w:szCs w:val="22"/>
        </w:rPr>
        <w:t>, others did not</w:t>
      </w:r>
      <w:r>
        <w:rPr>
          <w:rFonts w:cstheme="minorHAnsi"/>
          <w:sz w:val="22"/>
          <w:szCs w:val="22"/>
        </w:rPr>
        <w:t xml:space="preserve"> have knowledge of whether this type of offering was available or did not believe that their CCBHC offered such a space. Service user comments indicated that those who used drop-in community spaces found them to be invaluable resources, while those who did not would have liked to access such spaces. </w:t>
      </w:r>
    </w:p>
    <w:p w14:paraId="62E5F6EE" w14:textId="77777777" w:rsidR="003F2596" w:rsidRDefault="003F2596" w:rsidP="00A32A0E">
      <w:pPr>
        <w:ind w:left="810"/>
        <w:rPr>
          <w:rFonts w:cstheme="minorHAnsi"/>
          <w:i/>
          <w:sz w:val="22"/>
          <w:szCs w:val="22"/>
        </w:rPr>
      </w:pPr>
    </w:p>
    <w:p w14:paraId="717A6D35" w14:textId="58A5922F" w:rsidR="00A32A0E" w:rsidRPr="000B26FE" w:rsidRDefault="00A32A0E" w:rsidP="007061A7">
      <w:pPr>
        <w:ind w:left="720"/>
        <w:rPr>
          <w:rFonts w:cstheme="minorHAnsi"/>
          <w:i/>
          <w:sz w:val="22"/>
          <w:szCs w:val="22"/>
        </w:rPr>
      </w:pPr>
      <w:r w:rsidRPr="000B26FE">
        <w:rPr>
          <w:rFonts w:cstheme="minorHAnsi"/>
          <w:i/>
          <w:sz w:val="22"/>
          <w:szCs w:val="22"/>
        </w:rPr>
        <w:t>If it wasn</w:t>
      </w:r>
      <w:r>
        <w:rPr>
          <w:rFonts w:cstheme="minorHAnsi"/>
          <w:i/>
          <w:sz w:val="22"/>
          <w:szCs w:val="22"/>
        </w:rPr>
        <w:t>’</w:t>
      </w:r>
      <w:r w:rsidRPr="000B26FE">
        <w:rPr>
          <w:rFonts w:cstheme="minorHAnsi"/>
          <w:i/>
          <w:sz w:val="22"/>
          <w:szCs w:val="22"/>
        </w:rPr>
        <w:t xml:space="preserve">t for </w:t>
      </w:r>
      <w:r>
        <w:rPr>
          <w:rFonts w:cstheme="minorHAnsi"/>
          <w:i/>
          <w:sz w:val="22"/>
          <w:szCs w:val="22"/>
        </w:rPr>
        <w:t>[the drop-in center]</w:t>
      </w:r>
      <w:r w:rsidRPr="000B26FE">
        <w:rPr>
          <w:rFonts w:cstheme="minorHAnsi"/>
          <w:i/>
          <w:sz w:val="22"/>
          <w:szCs w:val="22"/>
        </w:rPr>
        <w:t>, I</w:t>
      </w:r>
      <w:r>
        <w:rPr>
          <w:rFonts w:cstheme="minorHAnsi"/>
          <w:i/>
          <w:sz w:val="22"/>
          <w:szCs w:val="22"/>
        </w:rPr>
        <w:t>’</w:t>
      </w:r>
      <w:r w:rsidRPr="000B26FE">
        <w:rPr>
          <w:rFonts w:cstheme="minorHAnsi"/>
          <w:i/>
          <w:sz w:val="22"/>
          <w:szCs w:val="22"/>
        </w:rPr>
        <w:t>d be home-bound, I</w:t>
      </w:r>
      <w:r>
        <w:rPr>
          <w:rFonts w:cstheme="minorHAnsi"/>
          <w:i/>
          <w:sz w:val="22"/>
          <w:szCs w:val="22"/>
        </w:rPr>
        <w:t>’</w:t>
      </w:r>
      <w:r w:rsidRPr="000B26FE">
        <w:rPr>
          <w:rFonts w:cstheme="minorHAnsi"/>
          <w:i/>
          <w:sz w:val="22"/>
          <w:szCs w:val="22"/>
        </w:rPr>
        <w:t>d be stuck in the house. I don</w:t>
      </w:r>
      <w:r>
        <w:rPr>
          <w:rFonts w:cstheme="minorHAnsi"/>
          <w:i/>
          <w:sz w:val="22"/>
          <w:szCs w:val="22"/>
        </w:rPr>
        <w:t>’</w:t>
      </w:r>
      <w:r w:rsidRPr="000B26FE">
        <w:rPr>
          <w:rFonts w:cstheme="minorHAnsi"/>
          <w:i/>
          <w:sz w:val="22"/>
          <w:szCs w:val="22"/>
        </w:rPr>
        <w:t>t get out. Even when I do have a chance to get out ... If it wasn</w:t>
      </w:r>
      <w:r>
        <w:rPr>
          <w:rFonts w:cstheme="minorHAnsi"/>
          <w:i/>
          <w:sz w:val="22"/>
          <w:szCs w:val="22"/>
        </w:rPr>
        <w:t>’</w:t>
      </w:r>
      <w:r w:rsidRPr="000B26FE">
        <w:rPr>
          <w:rFonts w:cstheme="minorHAnsi"/>
          <w:i/>
          <w:sz w:val="22"/>
          <w:szCs w:val="22"/>
        </w:rPr>
        <w:t>t for that, I wouldn</w:t>
      </w:r>
      <w:r>
        <w:rPr>
          <w:rFonts w:cstheme="minorHAnsi"/>
          <w:i/>
          <w:sz w:val="22"/>
          <w:szCs w:val="22"/>
        </w:rPr>
        <w:t>’</w:t>
      </w:r>
      <w:r w:rsidRPr="000B26FE">
        <w:rPr>
          <w:rFonts w:cstheme="minorHAnsi"/>
          <w:i/>
          <w:sz w:val="22"/>
          <w:szCs w:val="22"/>
        </w:rPr>
        <w:t>t be able to get out. I was able to get out. I just won</w:t>
      </w:r>
      <w:r>
        <w:rPr>
          <w:rFonts w:cstheme="minorHAnsi"/>
          <w:i/>
          <w:sz w:val="22"/>
          <w:szCs w:val="22"/>
        </w:rPr>
        <w:t>’</w:t>
      </w:r>
      <w:r w:rsidRPr="000B26FE">
        <w:rPr>
          <w:rFonts w:cstheme="minorHAnsi"/>
          <w:i/>
          <w:sz w:val="22"/>
          <w:szCs w:val="22"/>
        </w:rPr>
        <w:t>t go out</w:t>
      </w:r>
      <w:r>
        <w:rPr>
          <w:rFonts w:cstheme="minorHAnsi"/>
          <w:i/>
          <w:sz w:val="22"/>
          <w:szCs w:val="22"/>
        </w:rPr>
        <w:t>…</w:t>
      </w:r>
      <w:r w:rsidRPr="000B26FE">
        <w:rPr>
          <w:rFonts w:cstheme="minorHAnsi"/>
          <w:i/>
          <w:sz w:val="22"/>
          <w:szCs w:val="22"/>
        </w:rPr>
        <w:t>I</w:t>
      </w:r>
      <w:r>
        <w:rPr>
          <w:rFonts w:cstheme="minorHAnsi"/>
          <w:i/>
          <w:sz w:val="22"/>
          <w:szCs w:val="22"/>
        </w:rPr>
        <w:t>’</w:t>
      </w:r>
      <w:r w:rsidRPr="000B26FE">
        <w:rPr>
          <w:rFonts w:cstheme="minorHAnsi"/>
          <w:i/>
          <w:sz w:val="22"/>
          <w:szCs w:val="22"/>
        </w:rPr>
        <w:t>d stay in the house 24/7</w:t>
      </w:r>
      <w:r>
        <w:rPr>
          <w:rFonts w:cstheme="minorHAnsi"/>
          <w:i/>
          <w:sz w:val="22"/>
          <w:szCs w:val="22"/>
        </w:rPr>
        <w:t xml:space="preserve">. </w:t>
      </w:r>
      <w:r w:rsidRPr="006166AC">
        <w:rPr>
          <w:rFonts w:cstheme="minorHAnsi"/>
          <w:iCs/>
          <w:sz w:val="22"/>
          <w:szCs w:val="22"/>
        </w:rPr>
        <w:t>(Service User 01)</w:t>
      </w:r>
    </w:p>
    <w:p w14:paraId="00BC8451" w14:textId="77777777" w:rsidR="00A32A0E" w:rsidRDefault="00A32A0E" w:rsidP="00A32A0E">
      <w:pPr>
        <w:ind w:firstLine="720"/>
        <w:rPr>
          <w:rFonts w:cstheme="minorHAnsi"/>
          <w:sz w:val="22"/>
          <w:szCs w:val="22"/>
        </w:rPr>
      </w:pPr>
    </w:p>
    <w:p w14:paraId="5B2CC6DB" w14:textId="77777777" w:rsidR="00A32A0E" w:rsidRPr="0055370A" w:rsidRDefault="00A32A0E" w:rsidP="00A32A0E">
      <w:pPr>
        <w:ind w:left="720"/>
        <w:rPr>
          <w:rFonts w:cstheme="minorHAnsi"/>
          <w:i/>
          <w:sz w:val="22"/>
          <w:szCs w:val="22"/>
        </w:rPr>
      </w:pPr>
      <w:r w:rsidRPr="00816CBD">
        <w:rPr>
          <w:rFonts w:cstheme="minorHAnsi"/>
          <w:i/>
          <w:sz w:val="22"/>
          <w:szCs w:val="22"/>
        </w:rPr>
        <w:t>Or a drop in area</w:t>
      </w:r>
      <w:r>
        <w:rPr>
          <w:rFonts w:cstheme="minorHAnsi"/>
          <w:i/>
          <w:sz w:val="22"/>
          <w:szCs w:val="22"/>
        </w:rPr>
        <w:t xml:space="preserve"> [would be nice to have]</w:t>
      </w:r>
      <w:r w:rsidRPr="00816CBD">
        <w:rPr>
          <w:rFonts w:cstheme="minorHAnsi"/>
          <w:i/>
          <w:sz w:val="22"/>
          <w:szCs w:val="22"/>
        </w:rPr>
        <w:t>. If you need a community not to be by yourself, you know</w:t>
      </w:r>
      <w:r>
        <w:rPr>
          <w:rFonts w:cstheme="minorHAnsi"/>
          <w:i/>
          <w:sz w:val="22"/>
          <w:szCs w:val="22"/>
        </w:rPr>
        <w:t>,</w:t>
      </w:r>
      <w:r w:rsidRPr="00816CBD">
        <w:rPr>
          <w:rFonts w:cstheme="minorHAnsi"/>
          <w:i/>
          <w:sz w:val="22"/>
          <w:szCs w:val="22"/>
        </w:rPr>
        <w:t xml:space="preserve"> drop in at one of these locations, where you can just go and just be.</w:t>
      </w:r>
      <w:r>
        <w:rPr>
          <w:rFonts w:cstheme="minorHAnsi"/>
          <w:i/>
          <w:sz w:val="22"/>
          <w:szCs w:val="22"/>
        </w:rPr>
        <w:t xml:space="preserve"> </w:t>
      </w:r>
      <w:r w:rsidRPr="006166AC">
        <w:rPr>
          <w:rFonts w:cstheme="minorHAnsi"/>
          <w:iCs/>
          <w:sz w:val="22"/>
          <w:szCs w:val="22"/>
        </w:rPr>
        <w:t>(Service User 05)</w:t>
      </w:r>
    </w:p>
    <w:p w14:paraId="5FD59893" w14:textId="77777777" w:rsidR="00A32A0E" w:rsidRPr="000D1B95" w:rsidRDefault="00A32A0E" w:rsidP="00A32A0E">
      <w:pPr>
        <w:ind w:firstLine="720"/>
        <w:rPr>
          <w:rFonts w:cstheme="minorHAnsi"/>
          <w:sz w:val="22"/>
          <w:szCs w:val="22"/>
        </w:rPr>
      </w:pPr>
    </w:p>
    <w:p w14:paraId="56A1D81D" w14:textId="77777777" w:rsidR="00323FC9" w:rsidRPr="000D1B95" w:rsidRDefault="00323FC9" w:rsidP="00323FC9">
      <w:pPr>
        <w:rPr>
          <w:rFonts w:cstheme="minorHAnsi"/>
          <w:sz w:val="22"/>
          <w:szCs w:val="22"/>
        </w:rPr>
      </w:pPr>
      <w:r w:rsidRPr="000D1B95">
        <w:rPr>
          <w:rFonts w:cstheme="minorHAnsi"/>
          <w:sz w:val="22"/>
          <w:szCs w:val="22"/>
        </w:rPr>
        <w:t xml:space="preserve">Transportation challenges were noted by many service users, </w:t>
      </w:r>
      <w:r>
        <w:rPr>
          <w:rFonts w:cstheme="minorHAnsi"/>
          <w:sz w:val="22"/>
          <w:szCs w:val="22"/>
        </w:rPr>
        <w:t>al</w:t>
      </w:r>
      <w:r w:rsidRPr="000D1B95">
        <w:rPr>
          <w:rFonts w:cstheme="minorHAnsi"/>
          <w:sz w:val="22"/>
          <w:szCs w:val="22"/>
        </w:rPr>
        <w:t>though urban-located service users described a unique perspective given their proximity to multiple clinic locations. Some urban-located service users noted that there were varying transportation options available but their CCBHC did not always recommend the option most convenient to the service user. For these service users</w:t>
      </w:r>
      <w:r>
        <w:rPr>
          <w:rFonts w:cstheme="minorHAnsi"/>
          <w:sz w:val="22"/>
          <w:szCs w:val="22"/>
        </w:rPr>
        <w:t>,</w:t>
      </w:r>
      <w:r w:rsidRPr="000D1B95">
        <w:rPr>
          <w:rFonts w:cstheme="minorHAnsi"/>
          <w:sz w:val="22"/>
          <w:szCs w:val="22"/>
        </w:rPr>
        <w:t xml:space="preserve"> it may be helpful to provide education and resources regarding all available transportation support services, and to work with each service user to determine wh</w:t>
      </w:r>
      <w:r>
        <w:rPr>
          <w:rFonts w:cstheme="minorHAnsi"/>
          <w:sz w:val="22"/>
          <w:szCs w:val="22"/>
        </w:rPr>
        <w:t>at</w:t>
      </w:r>
      <w:r w:rsidRPr="000D1B95">
        <w:rPr>
          <w:rFonts w:cstheme="minorHAnsi"/>
          <w:sz w:val="22"/>
          <w:szCs w:val="22"/>
        </w:rPr>
        <w:t xml:space="preserve"> best meets their needs.</w:t>
      </w:r>
      <w:r>
        <w:rPr>
          <w:rFonts w:cstheme="minorHAnsi"/>
          <w:sz w:val="22"/>
          <w:szCs w:val="22"/>
        </w:rPr>
        <w:t xml:space="preserve"> </w:t>
      </w:r>
      <w:r w:rsidRPr="000D1B95">
        <w:rPr>
          <w:rFonts w:cstheme="minorHAnsi"/>
          <w:sz w:val="22"/>
          <w:szCs w:val="22"/>
        </w:rPr>
        <w:t>For CCBHCs operating in more than one location, particularly those clinics located in urban areas, a few service users described that their ability to access services could be limited by service location. These service users explained that care could be made more accessible if they were able to select their service location based on personal preference and/or convenience to public transit, rather than proximity to their address of residence or placement by the CCBHC without consideration of these factors. Of the service users who received services from a CCBHC with more than one location, one described the clinic as already accommodating such requests, while another from a different CCBHC explained that, while their service location was closer to their residence, that particular location was more difficult to access via public transit and their reliance on a mobility aid made travel inconvenient on certain bus routes.</w:t>
      </w:r>
    </w:p>
    <w:p w14:paraId="2B369F33" w14:textId="77777777" w:rsidR="003F2596" w:rsidRDefault="003F2596" w:rsidP="00A32A0E">
      <w:pPr>
        <w:pStyle w:val="ListParagraph"/>
        <w:rPr>
          <w:rFonts w:cstheme="minorHAnsi"/>
          <w:i/>
          <w:sz w:val="22"/>
          <w:szCs w:val="22"/>
        </w:rPr>
      </w:pPr>
    </w:p>
    <w:p w14:paraId="7C958B5F" w14:textId="2B3F01D9" w:rsidR="00A32A0E" w:rsidRPr="000D1B95" w:rsidRDefault="00A32A0E" w:rsidP="00A32A0E">
      <w:pPr>
        <w:pStyle w:val="ListParagraph"/>
        <w:rPr>
          <w:rFonts w:cstheme="minorHAnsi"/>
          <w:i/>
          <w:sz w:val="22"/>
          <w:szCs w:val="22"/>
        </w:rPr>
      </w:pPr>
      <w:r w:rsidRPr="000D1B95">
        <w:rPr>
          <w:rFonts w:cstheme="minorHAnsi"/>
          <w:i/>
          <w:sz w:val="22"/>
          <w:szCs w:val="22"/>
        </w:rPr>
        <w:t>Technically, I probably should receive services from [another clinic location], but with how much I really need and depended on this location they have worked around that schedule. Overall, they</w:t>
      </w:r>
      <w:r>
        <w:rPr>
          <w:rFonts w:cstheme="minorHAnsi"/>
          <w:i/>
          <w:sz w:val="22"/>
          <w:szCs w:val="22"/>
        </w:rPr>
        <w:t>’</w:t>
      </w:r>
      <w:r w:rsidRPr="000D1B95">
        <w:rPr>
          <w:rFonts w:cstheme="minorHAnsi"/>
          <w:i/>
          <w:sz w:val="22"/>
          <w:szCs w:val="22"/>
        </w:rPr>
        <w:t xml:space="preserve">ve been awesome. </w:t>
      </w:r>
      <w:r w:rsidRPr="005A2A37">
        <w:rPr>
          <w:rFonts w:cstheme="minorHAnsi"/>
          <w:iCs/>
          <w:sz w:val="22"/>
          <w:szCs w:val="22"/>
        </w:rPr>
        <w:t>(Service User 08)</w:t>
      </w:r>
    </w:p>
    <w:p w14:paraId="1010C1A3" w14:textId="77777777" w:rsidR="00A32A0E" w:rsidRPr="000D1B95" w:rsidRDefault="00A32A0E" w:rsidP="00A32A0E">
      <w:pPr>
        <w:tabs>
          <w:tab w:val="left" w:pos="1720"/>
        </w:tabs>
        <w:rPr>
          <w:rFonts w:cstheme="minorHAnsi"/>
          <w:sz w:val="22"/>
          <w:szCs w:val="22"/>
        </w:rPr>
      </w:pPr>
    </w:p>
    <w:p w14:paraId="6DE14315" w14:textId="2AC50ED8" w:rsidR="00A32A0E" w:rsidRPr="000D1B95" w:rsidRDefault="00A32A0E" w:rsidP="00A32A0E">
      <w:pPr>
        <w:pStyle w:val="ListParagraph"/>
        <w:rPr>
          <w:rFonts w:cstheme="minorHAnsi"/>
          <w:i/>
          <w:sz w:val="22"/>
          <w:szCs w:val="22"/>
        </w:rPr>
      </w:pPr>
      <w:r w:rsidRPr="000D1B95">
        <w:rPr>
          <w:rFonts w:cstheme="minorHAnsi"/>
          <w:i/>
          <w:sz w:val="22"/>
          <w:szCs w:val="22"/>
        </w:rPr>
        <w:t>That location is really hard to get to. I take the bus there, if one bus doesn</w:t>
      </w:r>
      <w:r>
        <w:rPr>
          <w:rFonts w:cstheme="minorHAnsi"/>
          <w:i/>
          <w:sz w:val="22"/>
          <w:szCs w:val="22"/>
        </w:rPr>
        <w:t>’</w:t>
      </w:r>
      <w:r w:rsidRPr="000D1B95">
        <w:rPr>
          <w:rFonts w:cstheme="minorHAnsi"/>
          <w:i/>
          <w:sz w:val="22"/>
          <w:szCs w:val="22"/>
        </w:rPr>
        <w:t>t show up</w:t>
      </w:r>
      <w:r w:rsidR="00497012">
        <w:rPr>
          <w:rFonts w:cstheme="minorHAnsi"/>
          <w:i/>
          <w:sz w:val="22"/>
          <w:szCs w:val="22"/>
        </w:rPr>
        <w:t>,</w:t>
      </w:r>
      <w:r w:rsidRPr="000D1B95">
        <w:rPr>
          <w:rFonts w:cstheme="minorHAnsi"/>
          <w:i/>
          <w:sz w:val="22"/>
          <w:szCs w:val="22"/>
        </w:rPr>
        <w:t xml:space="preserve"> I have to [make another plan]. They used to have a bus stop right there but they took that bus stop out. It</w:t>
      </w:r>
      <w:r>
        <w:rPr>
          <w:rFonts w:cstheme="minorHAnsi"/>
          <w:i/>
          <w:sz w:val="22"/>
          <w:szCs w:val="22"/>
        </w:rPr>
        <w:t>’</w:t>
      </w:r>
      <w:r w:rsidRPr="000D1B95">
        <w:rPr>
          <w:rFonts w:cstheme="minorHAnsi"/>
          <w:i/>
          <w:sz w:val="22"/>
          <w:szCs w:val="22"/>
        </w:rPr>
        <w:t xml:space="preserve">s really frustrating. </w:t>
      </w:r>
      <w:r w:rsidRPr="005A2A37">
        <w:rPr>
          <w:rFonts w:cstheme="minorHAnsi"/>
          <w:iCs/>
          <w:sz w:val="22"/>
          <w:szCs w:val="22"/>
        </w:rPr>
        <w:t>(Service User 07)</w:t>
      </w:r>
    </w:p>
    <w:p w14:paraId="75D777A9" w14:textId="77777777" w:rsidR="00A32A0E" w:rsidRPr="000D1B95" w:rsidRDefault="00A32A0E" w:rsidP="00A32A0E">
      <w:pPr>
        <w:tabs>
          <w:tab w:val="left" w:pos="1720"/>
        </w:tabs>
        <w:rPr>
          <w:rFonts w:cstheme="minorHAnsi"/>
          <w:sz w:val="22"/>
          <w:szCs w:val="22"/>
        </w:rPr>
      </w:pPr>
    </w:p>
    <w:p w14:paraId="6616721F" w14:textId="77777777" w:rsidR="00A32A0E" w:rsidRPr="000D1B95" w:rsidRDefault="00A32A0E" w:rsidP="00A32A0E">
      <w:pPr>
        <w:pStyle w:val="ListParagraph"/>
        <w:rPr>
          <w:rFonts w:cstheme="minorHAnsi"/>
          <w:sz w:val="22"/>
          <w:szCs w:val="22"/>
        </w:rPr>
      </w:pPr>
      <w:r w:rsidRPr="000D1B95">
        <w:rPr>
          <w:rFonts w:cstheme="minorHAnsi"/>
          <w:i/>
          <w:sz w:val="22"/>
          <w:szCs w:val="22"/>
        </w:rPr>
        <w:t>I was amazed [coming to this location], the bus dropped me off at</w:t>
      </w:r>
      <w:r>
        <w:rPr>
          <w:rFonts w:cstheme="minorHAnsi"/>
          <w:i/>
          <w:sz w:val="22"/>
          <w:szCs w:val="22"/>
        </w:rPr>
        <w:t xml:space="preserve"> the</w:t>
      </w:r>
      <w:r w:rsidRPr="000D1B95">
        <w:rPr>
          <w:rFonts w:cstheme="minorHAnsi"/>
          <w:i/>
          <w:sz w:val="22"/>
          <w:szCs w:val="22"/>
        </w:rPr>
        <w:t xml:space="preserve"> front door. This is perfect. I</w:t>
      </w:r>
      <w:r>
        <w:rPr>
          <w:rFonts w:cstheme="minorHAnsi"/>
          <w:i/>
          <w:sz w:val="22"/>
          <w:szCs w:val="22"/>
        </w:rPr>
        <w:t>’</w:t>
      </w:r>
      <w:r w:rsidRPr="000D1B95">
        <w:rPr>
          <w:rFonts w:cstheme="minorHAnsi"/>
          <w:i/>
          <w:sz w:val="22"/>
          <w:szCs w:val="22"/>
        </w:rPr>
        <w:t>d be coming to the clinic every time I had an appointment, because it</w:t>
      </w:r>
      <w:r>
        <w:rPr>
          <w:rFonts w:cstheme="minorHAnsi"/>
          <w:i/>
          <w:sz w:val="22"/>
          <w:szCs w:val="22"/>
        </w:rPr>
        <w:t>’</w:t>
      </w:r>
      <w:r w:rsidRPr="000D1B95">
        <w:rPr>
          <w:rFonts w:cstheme="minorHAnsi"/>
          <w:i/>
          <w:sz w:val="22"/>
          <w:szCs w:val="22"/>
        </w:rPr>
        <w:t>s a reason to get out of the facility where I live. Maybe that</w:t>
      </w:r>
      <w:r>
        <w:rPr>
          <w:rFonts w:cstheme="minorHAnsi"/>
          <w:i/>
          <w:sz w:val="22"/>
          <w:szCs w:val="22"/>
        </w:rPr>
        <w:t>’</w:t>
      </w:r>
      <w:r w:rsidRPr="000D1B95">
        <w:rPr>
          <w:rFonts w:cstheme="minorHAnsi"/>
          <w:i/>
          <w:sz w:val="22"/>
          <w:szCs w:val="22"/>
        </w:rPr>
        <w:t xml:space="preserve">s something that could be brought up, if it would be easier for someone has mobility issues or transportation issues to cross over between locations, even though it may be a little farther. I know a lot of people for whom accessibility is very important because it gives us our independence. </w:t>
      </w:r>
      <w:r w:rsidRPr="005A2A37">
        <w:rPr>
          <w:rFonts w:cstheme="minorHAnsi"/>
          <w:iCs/>
          <w:sz w:val="22"/>
          <w:szCs w:val="22"/>
        </w:rPr>
        <w:t>(Service User 05)</w:t>
      </w:r>
    </w:p>
    <w:p w14:paraId="0625067A" w14:textId="77777777" w:rsidR="00A32A0E" w:rsidRPr="000D1B95" w:rsidRDefault="00A32A0E" w:rsidP="00A32A0E">
      <w:pPr>
        <w:pStyle w:val="ListParagraph"/>
        <w:ind w:left="0" w:firstLine="720"/>
        <w:rPr>
          <w:rFonts w:cstheme="minorHAnsi"/>
          <w:sz w:val="22"/>
          <w:szCs w:val="22"/>
        </w:rPr>
      </w:pPr>
    </w:p>
    <w:p w14:paraId="5576296C" w14:textId="77777777" w:rsidR="00A32A0E" w:rsidRPr="000D1B95" w:rsidRDefault="00A32A0E" w:rsidP="00A32A0E">
      <w:pPr>
        <w:pStyle w:val="ListParagraph"/>
        <w:rPr>
          <w:rFonts w:cstheme="minorHAnsi"/>
          <w:i/>
          <w:sz w:val="22"/>
          <w:szCs w:val="22"/>
        </w:rPr>
      </w:pPr>
      <w:r w:rsidRPr="000D1B95">
        <w:rPr>
          <w:rFonts w:eastAsia="Calibri" w:cstheme="minorHAnsi"/>
          <w:i/>
          <w:sz w:val="22"/>
          <w:szCs w:val="22"/>
        </w:rPr>
        <w:t>But the transportation, there is no taxi service in [location]. There</w:t>
      </w:r>
      <w:r>
        <w:rPr>
          <w:rFonts w:eastAsia="Calibri" w:cstheme="minorHAnsi"/>
          <w:i/>
          <w:sz w:val="22"/>
          <w:szCs w:val="22"/>
        </w:rPr>
        <w:t>’</w:t>
      </w:r>
      <w:r w:rsidRPr="000D1B95">
        <w:rPr>
          <w:rFonts w:eastAsia="Calibri" w:cstheme="minorHAnsi"/>
          <w:i/>
          <w:sz w:val="22"/>
          <w:szCs w:val="22"/>
        </w:rPr>
        <w:t>s no place to go if you need to get to a doctor appointment today or something. Transportation is a real issue for people here.</w:t>
      </w:r>
      <w:r w:rsidRPr="000D1B95">
        <w:rPr>
          <w:rFonts w:cstheme="minorHAnsi"/>
          <w:i/>
          <w:sz w:val="22"/>
          <w:szCs w:val="22"/>
        </w:rPr>
        <w:t xml:space="preserve"> </w:t>
      </w:r>
      <w:r w:rsidRPr="005A2A37">
        <w:rPr>
          <w:rFonts w:cstheme="minorHAnsi"/>
          <w:iCs/>
          <w:sz w:val="22"/>
          <w:szCs w:val="22"/>
        </w:rPr>
        <w:t>(Service User 03)</w:t>
      </w:r>
    </w:p>
    <w:p w14:paraId="311FE96E" w14:textId="77777777" w:rsidR="00A32A0E" w:rsidRPr="000D1B95" w:rsidRDefault="00A32A0E" w:rsidP="00A32A0E">
      <w:pPr>
        <w:pStyle w:val="ListParagraph"/>
        <w:ind w:left="0" w:firstLine="720"/>
        <w:rPr>
          <w:rFonts w:cstheme="minorHAnsi"/>
          <w:sz w:val="22"/>
          <w:szCs w:val="22"/>
        </w:rPr>
      </w:pPr>
    </w:p>
    <w:p w14:paraId="6836CF23" w14:textId="77777777" w:rsidR="00323FC9" w:rsidRPr="000D1B95" w:rsidRDefault="00323FC9" w:rsidP="00323FC9">
      <w:pPr>
        <w:pStyle w:val="ListParagraph"/>
        <w:ind w:left="0"/>
        <w:rPr>
          <w:rFonts w:cstheme="minorHAnsi"/>
          <w:sz w:val="22"/>
          <w:szCs w:val="22"/>
        </w:rPr>
      </w:pPr>
      <w:r w:rsidRPr="000D1B95">
        <w:rPr>
          <w:rFonts w:cstheme="minorHAnsi"/>
          <w:sz w:val="22"/>
          <w:szCs w:val="22"/>
        </w:rPr>
        <w:t xml:space="preserve">Workforce issues </w:t>
      </w:r>
      <w:r>
        <w:rPr>
          <w:rFonts w:cstheme="minorHAnsi"/>
          <w:sz w:val="22"/>
          <w:szCs w:val="22"/>
        </w:rPr>
        <w:t>were identified</w:t>
      </w:r>
      <w:r w:rsidRPr="000D1B95">
        <w:rPr>
          <w:rFonts w:cstheme="minorHAnsi"/>
          <w:sz w:val="22"/>
          <w:szCs w:val="22"/>
        </w:rPr>
        <w:t xml:space="preserve"> as a barrier during nearly all of the focus group conversations. As described in the discussion of timely and accessible care above, CCBHC employee turnover and high caseloads among service providers affected the timeliness of care for many service users. Staff departures resulted in changes to care teams </w:t>
      </w:r>
      <w:r>
        <w:rPr>
          <w:rFonts w:cstheme="minorHAnsi"/>
          <w:sz w:val="22"/>
          <w:szCs w:val="22"/>
        </w:rPr>
        <w:t>that</w:t>
      </w:r>
      <w:r w:rsidRPr="000D1B95">
        <w:rPr>
          <w:rFonts w:cstheme="minorHAnsi"/>
          <w:sz w:val="22"/>
          <w:szCs w:val="22"/>
        </w:rPr>
        <w:t xml:space="preserve"> could be challenging for service users who struggled to build trust and develop rapport with their counselors. Some service users </w:t>
      </w:r>
      <w:r>
        <w:rPr>
          <w:rFonts w:cstheme="minorHAnsi"/>
          <w:sz w:val="22"/>
          <w:szCs w:val="22"/>
        </w:rPr>
        <w:t>were</w:t>
      </w:r>
      <w:r w:rsidRPr="000D1B95">
        <w:rPr>
          <w:rFonts w:cstheme="minorHAnsi"/>
          <w:sz w:val="22"/>
          <w:szCs w:val="22"/>
        </w:rPr>
        <w:t xml:space="preserve"> frustrated by being told that their needs could not be met due to the clinic being too busy or having limited staff.</w:t>
      </w:r>
    </w:p>
    <w:p w14:paraId="5D2AB478" w14:textId="77777777" w:rsidR="003F2596" w:rsidRDefault="003F2596" w:rsidP="00A32A0E">
      <w:pPr>
        <w:ind w:left="720"/>
        <w:rPr>
          <w:rFonts w:cstheme="minorHAnsi"/>
          <w:i/>
          <w:sz w:val="22"/>
          <w:szCs w:val="22"/>
        </w:rPr>
      </w:pPr>
    </w:p>
    <w:p w14:paraId="44C9DB92" w14:textId="6986384C" w:rsidR="00A32A0E" w:rsidRPr="000D1B95" w:rsidRDefault="00A32A0E" w:rsidP="00A32A0E">
      <w:pPr>
        <w:ind w:left="720"/>
        <w:rPr>
          <w:rFonts w:cstheme="minorHAnsi"/>
          <w:i/>
          <w:sz w:val="22"/>
          <w:szCs w:val="22"/>
        </w:rPr>
      </w:pPr>
      <w:r w:rsidRPr="000D1B95">
        <w:rPr>
          <w:rFonts w:cstheme="minorHAnsi"/>
          <w:i/>
          <w:sz w:val="22"/>
          <w:szCs w:val="22"/>
        </w:rPr>
        <w:t>That was one of my concerns of moving counselors, I knew that if I started with new counselor, it</w:t>
      </w:r>
      <w:r>
        <w:rPr>
          <w:rFonts w:cstheme="minorHAnsi"/>
          <w:i/>
          <w:sz w:val="22"/>
          <w:szCs w:val="22"/>
        </w:rPr>
        <w:t>’</w:t>
      </w:r>
      <w:r w:rsidRPr="000D1B95">
        <w:rPr>
          <w:rFonts w:cstheme="minorHAnsi"/>
          <w:i/>
          <w:sz w:val="22"/>
          <w:szCs w:val="22"/>
        </w:rPr>
        <w:t>s back to square one. When you make progress, you don</w:t>
      </w:r>
      <w:r>
        <w:rPr>
          <w:rFonts w:cstheme="minorHAnsi"/>
          <w:i/>
          <w:sz w:val="22"/>
          <w:szCs w:val="22"/>
        </w:rPr>
        <w:t>’</w:t>
      </w:r>
      <w:r w:rsidRPr="000D1B95">
        <w:rPr>
          <w:rFonts w:cstheme="minorHAnsi"/>
          <w:i/>
          <w:sz w:val="22"/>
          <w:szCs w:val="22"/>
        </w:rPr>
        <w:t xml:space="preserve">t want to go back. One of the things the state really needs to look at is to entice new people into the field, because there is a scary shortage in this field of counselors and support people for these centers. And I know counselors probably have between 150 and 160, because I know my social service person has that. I have yet to see them. </w:t>
      </w:r>
      <w:r w:rsidRPr="005A2A37">
        <w:rPr>
          <w:rFonts w:cstheme="minorHAnsi"/>
          <w:iCs/>
          <w:sz w:val="22"/>
          <w:szCs w:val="22"/>
        </w:rPr>
        <w:t>(Service User 05)</w:t>
      </w:r>
    </w:p>
    <w:p w14:paraId="0EF94D67" w14:textId="77777777" w:rsidR="00A32A0E" w:rsidRPr="000D1B95" w:rsidRDefault="00A32A0E" w:rsidP="00A32A0E">
      <w:pPr>
        <w:pStyle w:val="ListParagraph"/>
        <w:ind w:left="0"/>
        <w:rPr>
          <w:rFonts w:cstheme="minorHAnsi"/>
          <w:b/>
          <w:i/>
          <w:sz w:val="22"/>
          <w:szCs w:val="22"/>
        </w:rPr>
      </w:pPr>
    </w:p>
    <w:p w14:paraId="0D1B2856" w14:textId="77777777" w:rsidR="00A32A0E" w:rsidRDefault="00A32A0E" w:rsidP="00A32A0E">
      <w:pPr>
        <w:pStyle w:val="ListParagraph"/>
        <w:rPr>
          <w:rFonts w:cstheme="minorHAnsi"/>
          <w:i/>
          <w:sz w:val="22"/>
          <w:szCs w:val="22"/>
        </w:rPr>
      </w:pPr>
      <w:r w:rsidRPr="000D1B95">
        <w:rPr>
          <w:rFonts w:cstheme="minorHAnsi"/>
          <w:i/>
          <w:sz w:val="22"/>
          <w:szCs w:val="22"/>
        </w:rPr>
        <w:t>I appreciate that the remaining staff are compassionate, that they</w:t>
      </w:r>
      <w:r>
        <w:rPr>
          <w:rFonts w:cstheme="minorHAnsi"/>
          <w:i/>
          <w:sz w:val="22"/>
          <w:szCs w:val="22"/>
        </w:rPr>
        <w:t>’</w:t>
      </w:r>
      <w:r w:rsidRPr="000D1B95">
        <w:rPr>
          <w:rFonts w:cstheme="minorHAnsi"/>
          <w:i/>
          <w:sz w:val="22"/>
          <w:szCs w:val="22"/>
        </w:rPr>
        <w:t xml:space="preserve">re still there. Others who left have said, </w:t>
      </w:r>
      <w:r>
        <w:rPr>
          <w:rFonts w:cstheme="minorHAnsi"/>
          <w:i/>
          <w:sz w:val="22"/>
          <w:szCs w:val="22"/>
        </w:rPr>
        <w:t>“</w:t>
      </w:r>
      <w:r w:rsidRPr="000D1B95">
        <w:rPr>
          <w:rFonts w:cstheme="minorHAnsi"/>
          <w:i/>
          <w:sz w:val="22"/>
          <w:szCs w:val="22"/>
        </w:rPr>
        <w:t>This is too much for me. I have to get out of this. I just can</w:t>
      </w:r>
      <w:r>
        <w:rPr>
          <w:rFonts w:cstheme="minorHAnsi"/>
          <w:i/>
          <w:sz w:val="22"/>
          <w:szCs w:val="22"/>
        </w:rPr>
        <w:t>’</w:t>
      </w:r>
      <w:r w:rsidRPr="000D1B95">
        <w:rPr>
          <w:rFonts w:cstheme="minorHAnsi"/>
          <w:i/>
          <w:sz w:val="22"/>
          <w:szCs w:val="22"/>
        </w:rPr>
        <w:t>t stay. It</w:t>
      </w:r>
      <w:r>
        <w:rPr>
          <w:rFonts w:cstheme="minorHAnsi"/>
          <w:i/>
          <w:sz w:val="22"/>
          <w:szCs w:val="22"/>
        </w:rPr>
        <w:t>’</w:t>
      </w:r>
      <w:r w:rsidRPr="000D1B95">
        <w:rPr>
          <w:rFonts w:cstheme="minorHAnsi"/>
          <w:i/>
          <w:sz w:val="22"/>
          <w:szCs w:val="22"/>
        </w:rPr>
        <w:t>s not fair to me. It</w:t>
      </w:r>
      <w:r>
        <w:rPr>
          <w:rFonts w:cstheme="minorHAnsi"/>
          <w:i/>
          <w:sz w:val="22"/>
          <w:szCs w:val="22"/>
        </w:rPr>
        <w:t>’</w:t>
      </w:r>
      <w:r w:rsidRPr="000D1B95">
        <w:rPr>
          <w:rFonts w:cstheme="minorHAnsi"/>
          <w:i/>
          <w:sz w:val="22"/>
          <w:szCs w:val="22"/>
        </w:rPr>
        <w:t>s not fair to you. It</w:t>
      </w:r>
      <w:r>
        <w:rPr>
          <w:rFonts w:cstheme="minorHAnsi"/>
          <w:i/>
          <w:sz w:val="22"/>
          <w:szCs w:val="22"/>
        </w:rPr>
        <w:t>’</w:t>
      </w:r>
      <w:r w:rsidRPr="000D1B95">
        <w:rPr>
          <w:rFonts w:cstheme="minorHAnsi"/>
          <w:i/>
          <w:sz w:val="22"/>
          <w:szCs w:val="22"/>
        </w:rPr>
        <w:t>s not fair to the company, but I have to go.</w:t>
      </w:r>
      <w:r>
        <w:rPr>
          <w:rFonts w:cstheme="minorHAnsi"/>
          <w:i/>
          <w:sz w:val="22"/>
          <w:szCs w:val="22"/>
        </w:rPr>
        <w:t>”</w:t>
      </w:r>
      <w:r w:rsidRPr="000D1B95">
        <w:rPr>
          <w:rFonts w:cstheme="minorHAnsi"/>
          <w:i/>
          <w:sz w:val="22"/>
          <w:szCs w:val="22"/>
        </w:rPr>
        <w:t xml:space="preserve"> I</w:t>
      </w:r>
      <w:r>
        <w:rPr>
          <w:rFonts w:cstheme="minorHAnsi"/>
          <w:i/>
          <w:sz w:val="22"/>
          <w:szCs w:val="22"/>
        </w:rPr>
        <w:t>’</w:t>
      </w:r>
      <w:r w:rsidRPr="000D1B95">
        <w:rPr>
          <w:rFonts w:cstheme="minorHAnsi"/>
          <w:i/>
          <w:sz w:val="22"/>
          <w:szCs w:val="22"/>
        </w:rPr>
        <w:t>m just wondering, now what? Yeah, I</w:t>
      </w:r>
      <w:r>
        <w:rPr>
          <w:rFonts w:cstheme="minorHAnsi"/>
          <w:i/>
          <w:sz w:val="22"/>
          <w:szCs w:val="22"/>
        </w:rPr>
        <w:t>’</w:t>
      </w:r>
      <w:r w:rsidRPr="000D1B95">
        <w:rPr>
          <w:rFonts w:cstheme="minorHAnsi"/>
          <w:i/>
          <w:sz w:val="22"/>
          <w:szCs w:val="22"/>
        </w:rPr>
        <w:t>m making a lot of progress but now you</w:t>
      </w:r>
      <w:r>
        <w:rPr>
          <w:rFonts w:cstheme="minorHAnsi"/>
          <w:i/>
          <w:sz w:val="22"/>
          <w:szCs w:val="22"/>
        </w:rPr>
        <w:t>’</w:t>
      </w:r>
      <w:r w:rsidRPr="000D1B95">
        <w:rPr>
          <w:rFonts w:cstheme="minorHAnsi"/>
          <w:i/>
          <w:sz w:val="22"/>
          <w:szCs w:val="22"/>
        </w:rPr>
        <w:t>re gone. Now I</w:t>
      </w:r>
      <w:r>
        <w:rPr>
          <w:rFonts w:cstheme="minorHAnsi"/>
          <w:i/>
          <w:sz w:val="22"/>
          <w:szCs w:val="22"/>
        </w:rPr>
        <w:t>’</w:t>
      </w:r>
      <w:r w:rsidRPr="000D1B95">
        <w:rPr>
          <w:rFonts w:cstheme="minorHAnsi"/>
          <w:i/>
          <w:sz w:val="22"/>
          <w:szCs w:val="22"/>
        </w:rPr>
        <w:t xml:space="preserve">m about to start all over again. </w:t>
      </w:r>
      <w:r w:rsidRPr="005A2A37">
        <w:rPr>
          <w:rFonts w:cstheme="minorHAnsi"/>
          <w:iCs/>
          <w:sz w:val="22"/>
          <w:szCs w:val="22"/>
        </w:rPr>
        <w:t>(Service User 07)</w:t>
      </w:r>
    </w:p>
    <w:p w14:paraId="65E71C65" w14:textId="77777777" w:rsidR="00A32A0E" w:rsidRDefault="00A32A0E" w:rsidP="00A32A0E">
      <w:pPr>
        <w:pStyle w:val="ListParagraph"/>
        <w:rPr>
          <w:rFonts w:cstheme="minorHAnsi"/>
          <w:i/>
          <w:sz w:val="22"/>
          <w:szCs w:val="22"/>
        </w:rPr>
      </w:pPr>
    </w:p>
    <w:p w14:paraId="0E3B9504" w14:textId="5A41734B" w:rsidR="00323FC9" w:rsidRDefault="00323FC9" w:rsidP="00323FC9">
      <w:pPr>
        <w:pStyle w:val="ListParagraph"/>
        <w:ind w:left="0"/>
        <w:rPr>
          <w:rFonts w:cstheme="minorHAnsi"/>
          <w:sz w:val="22"/>
          <w:szCs w:val="22"/>
        </w:rPr>
      </w:pPr>
      <w:r w:rsidRPr="000D1B95">
        <w:rPr>
          <w:rFonts w:cstheme="minorHAnsi"/>
          <w:sz w:val="22"/>
          <w:szCs w:val="22"/>
        </w:rPr>
        <w:t xml:space="preserve">Despite </w:t>
      </w:r>
      <w:r>
        <w:rPr>
          <w:rFonts w:cstheme="minorHAnsi"/>
          <w:sz w:val="22"/>
          <w:szCs w:val="22"/>
        </w:rPr>
        <w:t xml:space="preserve">the fact </w:t>
      </w:r>
      <w:r w:rsidRPr="000D1B95">
        <w:rPr>
          <w:rFonts w:cstheme="minorHAnsi"/>
          <w:sz w:val="22"/>
          <w:szCs w:val="22"/>
        </w:rPr>
        <w:t xml:space="preserve">that the CCBHC model serves community members regardless of their ability to pay </w:t>
      </w:r>
      <w:r>
        <w:rPr>
          <w:rFonts w:cstheme="minorHAnsi"/>
          <w:sz w:val="22"/>
          <w:szCs w:val="22"/>
        </w:rPr>
        <w:t>or their</w:t>
      </w:r>
      <w:r w:rsidRPr="000D1B95">
        <w:rPr>
          <w:rFonts w:cstheme="minorHAnsi"/>
          <w:sz w:val="22"/>
          <w:szCs w:val="22"/>
        </w:rPr>
        <w:t xml:space="preserve"> insurance </w:t>
      </w:r>
      <w:r>
        <w:rPr>
          <w:rFonts w:cstheme="minorHAnsi"/>
          <w:sz w:val="22"/>
          <w:szCs w:val="22"/>
        </w:rPr>
        <w:t>status</w:t>
      </w:r>
      <w:r w:rsidRPr="000D1B95">
        <w:rPr>
          <w:rFonts w:cstheme="minorHAnsi"/>
          <w:sz w:val="22"/>
          <w:szCs w:val="22"/>
        </w:rPr>
        <w:t>, when asked what might be potential barriers to community members in seeking care, service users at many of the focus groups noted financial constraints and inability to pay as a barrier to community members seeking care.</w:t>
      </w:r>
    </w:p>
    <w:p w14:paraId="1BF0E9ED" w14:textId="77777777" w:rsidR="001271ED" w:rsidRDefault="001271ED" w:rsidP="00323FC9">
      <w:pPr>
        <w:pStyle w:val="ListParagraph"/>
        <w:ind w:left="0"/>
        <w:rPr>
          <w:rFonts w:cstheme="minorHAnsi"/>
          <w:sz w:val="22"/>
          <w:szCs w:val="22"/>
        </w:rPr>
      </w:pPr>
    </w:p>
    <w:p w14:paraId="22BAB0BC" w14:textId="45DBB38E" w:rsidR="00A32A0E" w:rsidRPr="000D1B95" w:rsidRDefault="00A32A0E" w:rsidP="00A32A0E">
      <w:pPr>
        <w:pStyle w:val="ListParagraph"/>
        <w:rPr>
          <w:rFonts w:cstheme="minorHAnsi"/>
          <w:i/>
          <w:sz w:val="22"/>
          <w:szCs w:val="22"/>
        </w:rPr>
      </w:pPr>
      <w:r w:rsidRPr="000D1B95">
        <w:rPr>
          <w:rFonts w:eastAsia="Calibri" w:cstheme="minorHAnsi"/>
          <w:i/>
          <w:sz w:val="22"/>
          <w:szCs w:val="22"/>
        </w:rPr>
        <w:t xml:space="preserve">People still cannot afford mental health therapy. Even people who have private insurance, </w:t>
      </w:r>
      <w:r w:rsidRPr="000D1B95">
        <w:rPr>
          <w:rFonts w:cstheme="minorHAnsi"/>
          <w:i/>
          <w:sz w:val="22"/>
          <w:szCs w:val="22"/>
        </w:rPr>
        <w:t>others</w:t>
      </w:r>
      <w:r w:rsidRPr="000D1B95">
        <w:rPr>
          <w:rFonts w:eastAsia="Calibri" w:cstheme="minorHAnsi"/>
          <w:i/>
          <w:sz w:val="22"/>
          <w:szCs w:val="22"/>
        </w:rPr>
        <w:t xml:space="preserve"> think, </w:t>
      </w:r>
      <w:r>
        <w:rPr>
          <w:rFonts w:eastAsia="Calibri" w:cstheme="minorHAnsi"/>
          <w:i/>
          <w:sz w:val="22"/>
          <w:szCs w:val="22"/>
        </w:rPr>
        <w:t>“</w:t>
      </w:r>
      <w:r w:rsidRPr="000D1B95">
        <w:rPr>
          <w:rFonts w:eastAsia="Calibri" w:cstheme="minorHAnsi"/>
          <w:i/>
          <w:sz w:val="22"/>
          <w:szCs w:val="22"/>
        </w:rPr>
        <w:t>Oh, you have private insurance, it</w:t>
      </w:r>
      <w:r>
        <w:rPr>
          <w:rFonts w:eastAsia="Calibri" w:cstheme="minorHAnsi"/>
          <w:i/>
          <w:sz w:val="22"/>
          <w:szCs w:val="22"/>
        </w:rPr>
        <w:t>’</w:t>
      </w:r>
      <w:r w:rsidRPr="000D1B95">
        <w:rPr>
          <w:rFonts w:eastAsia="Calibri" w:cstheme="minorHAnsi"/>
          <w:i/>
          <w:sz w:val="22"/>
          <w:szCs w:val="22"/>
        </w:rPr>
        <w:t>s a hundred percent covered.</w:t>
      </w:r>
      <w:r>
        <w:rPr>
          <w:rFonts w:eastAsia="Calibri" w:cstheme="minorHAnsi"/>
          <w:i/>
          <w:sz w:val="22"/>
          <w:szCs w:val="22"/>
        </w:rPr>
        <w:t>”</w:t>
      </w:r>
      <w:r w:rsidRPr="000D1B95">
        <w:rPr>
          <w:rFonts w:eastAsia="Calibri" w:cstheme="minorHAnsi"/>
          <w:i/>
          <w:sz w:val="22"/>
          <w:szCs w:val="22"/>
        </w:rPr>
        <w:t xml:space="preserve"> </w:t>
      </w:r>
      <w:r w:rsidRPr="000D1B95">
        <w:rPr>
          <w:rFonts w:cstheme="minorHAnsi"/>
          <w:i/>
          <w:sz w:val="22"/>
          <w:szCs w:val="22"/>
        </w:rPr>
        <w:t>But i</w:t>
      </w:r>
      <w:r w:rsidRPr="000D1B95">
        <w:rPr>
          <w:rFonts w:eastAsia="Calibri" w:cstheme="minorHAnsi"/>
          <w:i/>
          <w:sz w:val="22"/>
          <w:szCs w:val="22"/>
        </w:rPr>
        <w:t>t</w:t>
      </w:r>
      <w:r>
        <w:rPr>
          <w:rFonts w:eastAsia="Calibri" w:cstheme="minorHAnsi"/>
          <w:i/>
          <w:sz w:val="22"/>
          <w:szCs w:val="22"/>
        </w:rPr>
        <w:t>’</w:t>
      </w:r>
      <w:r w:rsidRPr="000D1B95">
        <w:rPr>
          <w:rFonts w:eastAsia="Calibri" w:cstheme="minorHAnsi"/>
          <w:i/>
          <w:sz w:val="22"/>
          <w:szCs w:val="22"/>
        </w:rPr>
        <w:t xml:space="preserve">s not. Because you still have to pay every month, then you have to pay a deductible and then a percentage. </w:t>
      </w:r>
      <w:r w:rsidRPr="000D1B95">
        <w:rPr>
          <w:rFonts w:cstheme="minorHAnsi"/>
          <w:i/>
          <w:sz w:val="22"/>
          <w:szCs w:val="22"/>
        </w:rPr>
        <w:t>I</w:t>
      </w:r>
      <w:r w:rsidRPr="000D1B95">
        <w:rPr>
          <w:rFonts w:eastAsia="Calibri" w:cstheme="minorHAnsi"/>
          <w:i/>
          <w:sz w:val="22"/>
          <w:szCs w:val="22"/>
        </w:rPr>
        <w:t>t</w:t>
      </w:r>
      <w:r>
        <w:rPr>
          <w:rFonts w:eastAsia="Calibri" w:cstheme="minorHAnsi"/>
          <w:i/>
          <w:sz w:val="22"/>
          <w:szCs w:val="22"/>
        </w:rPr>
        <w:t>’</w:t>
      </w:r>
      <w:r w:rsidRPr="000D1B95">
        <w:rPr>
          <w:rFonts w:eastAsia="Calibri" w:cstheme="minorHAnsi"/>
          <w:i/>
          <w:sz w:val="22"/>
          <w:szCs w:val="22"/>
        </w:rPr>
        <w:t>s crazy because people can</w:t>
      </w:r>
      <w:r>
        <w:rPr>
          <w:rFonts w:eastAsia="Calibri" w:cstheme="minorHAnsi"/>
          <w:i/>
          <w:sz w:val="22"/>
          <w:szCs w:val="22"/>
        </w:rPr>
        <w:t>’</w:t>
      </w:r>
      <w:r w:rsidRPr="000D1B95">
        <w:rPr>
          <w:rFonts w:eastAsia="Calibri" w:cstheme="minorHAnsi"/>
          <w:i/>
          <w:sz w:val="22"/>
          <w:szCs w:val="22"/>
        </w:rPr>
        <w:t>t afford the care that they need</w:t>
      </w:r>
      <w:r w:rsidRPr="000D1B95">
        <w:rPr>
          <w:rFonts w:cstheme="minorHAnsi"/>
          <w:i/>
          <w:sz w:val="22"/>
          <w:szCs w:val="22"/>
        </w:rPr>
        <w:t>,</w:t>
      </w:r>
      <w:r w:rsidRPr="000D1B95">
        <w:rPr>
          <w:rFonts w:eastAsia="Calibri" w:cstheme="minorHAnsi"/>
          <w:i/>
          <w:sz w:val="22"/>
          <w:szCs w:val="22"/>
        </w:rPr>
        <w:t xml:space="preserve"> that</w:t>
      </w:r>
      <w:r>
        <w:rPr>
          <w:rFonts w:eastAsia="Calibri" w:cstheme="minorHAnsi"/>
          <w:i/>
          <w:sz w:val="22"/>
          <w:szCs w:val="22"/>
        </w:rPr>
        <w:t>’</w:t>
      </w:r>
      <w:r w:rsidRPr="000D1B95">
        <w:rPr>
          <w:rFonts w:eastAsia="Calibri" w:cstheme="minorHAnsi"/>
          <w:i/>
          <w:sz w:val="22"/>
          <w:szCs w:val="22"/>
        </w:rPr>
        <w:t xml:space="preserve">s a huge block for people getting </w:t>
      </w:r>
      <w:r w:rsidRPr="000D1B95">
        <w:rPr>
          <w:rFonts w:cstheme="minorHAnsi"/>
          <w:i/>
          <w:sz w:val="22"/>
          <w:szCs w:val="22"/>
        </w:rPr>
        <w:t>the help</w:t>
      </w:r>
      <w:r w:rsidRPr="000D1B95">
        <w:rPr>
          <w:rFonts w:eastAsia="Calibri" w:cstheme="minorHAnsi"/>
          <w:i/>
          <w:sz w:val="22"/>
          <w:szCs w:val="22"/>
        </w:rPr>
        <w:t xml:space="preserve"> that they need.</w:t>
      </w:r>
      <w:r w:rsidRPr="000D1B95">
        <w:rPr>
          <w:rFonts w:cstheme="minorHAnsi"/>
          <w:i/>
          <w:sz w:val="22"/>
          <w:szCs w:val="22"/>
        </w:rPr>
        <w:t xml:space="preserve"> </w:t>
      </w:r>
      <w:r w:rsidRPr="005A2A37">
        <w:rPr>
          <w:rFonts w:cstheme="minorHAnsi"/>
          <w:iCs/>
          <w:sz w:val="22"/>
          <w:szCs w:val="22"/>
        </w:rPr>
        <w:t>(Service User 22)</w:t>
      </w:r>
    </w:p>
    <w:p w14:paraId="6F1ADF0E" w14:textId="77777777" w:rsidR="00A32A0E" w:rsidRPr="000D1B95" w:rsidRDefault="00A32A0E" w:rsidP="00A32A0E">
      <w:pPr>
        <w:rPr>
          <w:rFonts w:cstheme="minorHAnsi"/>
          <w:sz w:val="22"/>
          <w:szCs w:val="22"/>
        </w:rPr>
      </w:pPr>
    </w:p>
    <w:p w14:paraId="74EC1637" w14:textId="5FAE81D3" w:rsidR="00A32A0E" w:rsidRPr="00000D4B" w:rsidRDefault="00A32A0E" w:rsidP="003F2596">
      <w:pPr>
        <w:spacing w:after="120"/>
        <w:rPr>
          <w:rFonts w:cstheme="minorHAnsi"/>
          <w:b/>
          <w:bCs/>
          <w:color w:val="6A7F0F"/>
        </w:rPr>
      </w:pPr>
      <w:bookmarkStart w:id="79" w:name="_Meaning_of_the"/>
      <w:bookmarkEnd w:id="79"/>
      <w:r w:rsidRPr="00000D4B">
        <w:rPr>
          <w:rFonts w:cstheme="minorHAnsi"/>
          <w:b/>
          <w:bCs/>
          <w:color w:val="6A7F0F"/>
        </w:rPr>
        <w:t>Meaning of the CCBHC to Service Users</w:t>
      </w:r>
    </w:p>
    <w:p w14:paraId="157529E4" w14:textId="77777777" w:rsidR="00323FC9" w:rsidRPr="0086599E" w:rsidRDefault="00323FC9" w:rsidP="00323FC9">
      <w:pPr>
        <w:rPr>
          <w:rFonts w:cstheme="minorHAnsi"/>
          <w:sz w:val="22"/>
          <w:szCs w:val="22"/>
        </w:rPr>
      </w:pPr>
      <w:r w:rsidRPr="0086599E">
        <w:rPr>
          <w:rFonts w:cstheme="minorHAnsi"/>
          <w:sz w:val="22"/>
          <w:szCs w:val="22"/>
        </w:rPr>
        <w:t xml:space="preserve">A common sentiment expressed among service users was a feeling of gratitude for the services provided by the CCBHC and for the ongoing support that they received through CCBHC services and their care team. Even among service users who expressed frustration </w:t>
      </w:r>
      <w:r>
        <w:rPr>
          <w:rFonts w:cstheme="minorHAnsi"/>
          <w:sz w:val="22"/>
          <w:szCs w:val="22"/>
        </w:rPr>
        <w:t>with</w:t>
      </w:r>
      <w:r w:rsidRPr="0086599E">
        <w:rPr>
          <w:rFonts w:cstheme="minorHAnsi"/>
          <w:sz w:val="22"/>
          <w:szCs w:val="22"/>
        </w:rPr>
        <w:t xml:space="preserve"> regard to certain aspects of their care (</w:t>
      </w:r>
      <w:r>
        <w:rPr>
          <w:rFonts w:cstheme="minorHAnsi"/>
          <w:sz w:val="22"/>
          <w:szCs w:val="22"/>
        </w:rPr>
        <w:t xml:space="preserve">such as </w:t>
      </w:r>
      <w:r w:rsidRPr="0086599E">
        <w:rPr>
          <w:rFonts w:cstheme="minorHAnsi"/>
          <w:sz w:val="22"/>
          <w:szCs w:val="22"/>
        </w:rPr>
        <w:t>scheduling appointments</w:t>
      </w:r>
      <w:r>
        <w:rPr>
          <w:rFonts w:cstheme="minorHAnsi"/>
          <w:sz w:val="22"/>
          <w:szCs w:val="22"/>
        </w:rPr>
        <w:t xml:space="preserve"> or</w:t>
      </w:r>
      <w:r w:rsidRPr="0086599E">
        <w:rPr>
          <w:rFonts w:cstheme="minorHAnsi"/>
          <w:sz w:val="22"/>
          <w:szCs w:val="22"/>
        </w:rPr>
        <w:t xml:space="preserve"> staff turnover), the </w:t>
      </w:r>
      <w:r>
        <w:rPr>
          <w:rFonts w:cstheme="minorHAnsi"/>
          <w:sz w:val="22"/>
          <w:szCs w:val="22"/>
        </w:rPr>
        <w:t>most frequent</w:t>
      </w:r>
      <w:r w:rsidRPr="0086599E">
        <w:rPr>
          <w:rFonts w:cstheme="minorHAnsi"/>
          <w:sz w:val="22"/>
          <w:szCs w:val="22"/>
        </w:rPr>
        <w:t xml:space="preserve"> sentiment was that treatment through the CCBHC had made a positive impact </w:t>
      </w:r>
      <w:r>
        <w:rPr>
          <w:rFonts w:cstheme="minorHAnsi"/>
          <w:sz w:val="22"/>
          <w:szCs w:val="22"/>
        </w:rPr>
        <w:t>on</w:t>
      </w:r>
      <w:r w:rsidRPr="0086599E">
        <w:rPr>
          <w:rFonts w:cstheme="minorHAnsi"/>
          <w:sz w:val="22"/>
          <w:szCs w:val="22"/>
        </w:rPr>
        <w:t xml:space="preserve"> their li</w:t>
      </w:r>
      <w:r>
        <w:rPr>
          <w:rFonts w:cstheme="minorHAnsi"/>
          <w:sz w:val="22"/>
          <w:szCs w:val="22"/>
        </w:rPr>
        <w:t xml:space="preserve">ves. Many service users indicated </w:t>
      </w:r>
      <w:r w:rsidRPr="0086599E">
        <w:rPr>
          <w:rFonts w:cstheme="minorHAnsi"/>
          <w:sz w:val="22"/>
          <w:szCs w:val="22"/>
        </w:rPr>
        <w:t>that continuing their relationship with the CCBHC was important</w:t>
      </w:r>
      <w:r>
        <w:rPr>
          <w:rFonts w:cstheme="minorHAnsi"/>
          <w:sz w:val="22"/>
          <w:szCs w:val="22"/>
        </w:rPr>
        <w:t xml:space="preserve"> and the care that they received was high in quality, if not exemplary</w:t>
      </w:r>
      <w:r w:rsidRPr="0086599E">
        <w:rPr>
          <w:rFonts w:cstheme="minorHAnsi"/>
          <w:sz w:val="22"/>
          <w:szCs w:val="22"/>
        </w:rPr>
        <w:t>.</w:t>
      </w:r>
      <w:r>
        <w:rPr>
          <w:rFonts w:cstheme="minorHAnsi"/>
          <w:sz w:val="22"/>
          <w:szCs w:val="22"/>
        </w:rPr>
        <w:t xml:space="preserve"> Some service users described their CCBHC as a safe space for them to go where they felt accepted and cared for as a whole person.</w:t>
      </w:r>
      <w:r w:rsidRPr="0086599E">
        <w:rPr>
          <w:rFonts w:cstheme="minorHAnsi"/>
          <w:sz w:val="22"/>
          <w:szCs w:val="22"/>
        </w:rPr>
        <w:t xml:space="preserve"> </w:t>
      </w:r>
      <w:r w:rsidRPr="006E2487">
        <w:rPr>
          <w:rFonts w:cstheme="minorHAnsi"/>
          <w:sz w:val="22"/>
          <w:szCs w:val="22"/>
        </w:rPr>
        <w:t xml:space="preserve"> </w:t>
      </w:r>
    </w:p>
    <w:p w14:paraId="2F4BEC46" w14:textId="77777777" w:rsidR="00A32A0E" w:rsidRPr="002637EF" w:rsidRDefault="00A32A0E" w:rsidP="001271ED">
      <w:pPr>
        <w:rPr>
          <w:rFonts w:cstheme="minorHAnsi"/>
          <w:i/>
          <w:sz w:val="22"/>
          <w:szCs w:val="22"/>
        </w:rPr>
      </w:pPr>
    </w:p>
    <w:p w14:paraId="0EB41286" w14:textId="77777777" w:rsidR="00A32A0E" w:rsidRPr="002637EF" w:rsidRDefault="00A32A0E" w:rsidP="00A32A0E">
      <w:pPr>
        <w:ind w:left="720"/>
        <w:rPr>
          <w:rFonts w:cstheme="minorHAnsi"/>
          <w:i/>
          <w:sz w:val="22"/>
          <w:szCs w:val="22"/>
        </w:rPr>
      </w:pPr>
      <w:r w:rsidRPr="002637EF">
        <w:rPr>
          <w:rFonts w:cstheme="minorHAnsi"/>
          <w:i/>
          <w:sz w:val="22"/>
          <w:szCs w:val="22"/>
        </w:rPr>
        <w:t>I</w:t>
      </w:r>
      <w:r>
        <w:rPr>
          <w:rFonts w:cstheme="minorHAnsi"/>
          <w:i/>
          <w:sz w:val="22"/>
          <w:szCs w:val="22"/>
        </w:rPr>
        <w:t>’</w:t>
      </w:r>
      <w:r w:rsidRPr="002637EF">
        <w:rPr>
          <w:rFonts w:cstheme="minorHAnsi"/>
          <w:i/>
          <w:sz w:val="22"/>
          <w:szCs w:val="22"/>
        </w:rPr>
        <w:t>ve been in behavioral health since I</w:t>
      </w:r>
      <w:r>
        <w:rPr>
          <w:rFonts w:cstheme="minorHAnsi"/>
          <w:i/>
          <w:sz w:val="22"/>
          <w:szCs w:val="22"/>
        </w:rPr>
        <w:t>’</w:t>
      </w:r>
      <w:r w:rsidRPr="002637EF">
        <w:rPr>
          <w:rFonts w:cstheme="minorHAnsi"/>
          <w:i/>
          <w:sz w:val="22"/>
          <w:szCs w:val="22"/>
        </w:rPr>
        <w:t>ve been about 17 years old and I lived in [former state]. You think, oh, she probably had it made. Well, the mental health up here in Oregon is a lot better. The [CCBHC] and the [services] and all the clinics and all the things that help, I give them a four star rating or so. They</w:t>
      </w:r>
      <w:r>
        <w:rPr>
          <w:rFonts w:cstheme="minorHAnsi"/>
          <w:i/>
          <w:sz w:val="22"/>
          <w:szCs w:val="22"/>
        </w:rPr>
        <w:t>’</w:t>
      </w:r>
      <w:r w:rsidRPr="002637EF">
        <w:rPr>
          <w:rFonts w:cstheme="minorHAnsi"/>
          <w:i/>
          <w:sz w:val="22"/>
          <w:szCs w:val="22"/>
        </w:rPr>
        <w:t>re good, they care. That</w:t>
      </w:r>
      <w:r>
        <w:rPr>
          <w:rFonts w:cstheme="minorHAnsi"/>
          <w:i/>
          <w:sz w:val="22"/>
          <w:szCs w:val="22"/>
        </w:rPr>
        <w:t>’</w:t>
      </w:r>
      <w:r w:rsidRPr="002637EF">
        <w:rPr>
          <w:rFonts w:cstheme="minorHAnsi"/>
          <w:i/>
          <w:sz w:val="22"/>
          <w:szCs w:val="22"/>
        </w:rPr>
        <w:t>s why they</w:t>
      </w:r>
      <w:r>
        <w:rPr>
          <w:rFonts w:cstheme="minorHAnsi"/>
          <w:i/>
          <w:sz w:val="22"/>
          <w:szCs w:val="22"/>
        </w:rPr>
        <w:t>’</w:t>
      </w:r>
      <w:r w:rsidRPr="002637EF">
        <w:rPr>
          <w:rFonts w:cstheme="minorHAnsi"/>
          <w:i/>
          <w:sz w:val="22"/>
          <w:szCs w:val="22"/>
        </w:rPr>
        <w:t>re good, because they care about you.</w:t>
      </w:r>
      <w:r>
        <w:rPr>
          <w:rFonts w:cstheme="minorHAnsi"/>
          <w:i/>
          <w:sz w:val="22"/>
          <w:szCs w:val="22"/>
        </w:rPr>
        <w:t xml:space="preserve"> </w:t>
      </w:r>
      <w:r w:rsidRPr="002637EF">
        <w:rPr>
          <w:rFonts w:ascii="Calibri" w:eastAsia="Calibri" w:hAnsi="Calibri" w:cs="Calibri"/>
          <w:i/>
          <w:color w:val="000000"/>
          <w:sz w:val="22"/>
        </w:rPr>
        <w:t>When I was there</w:t>
      </w:r>
      <w:r>
        <w:rPr>
          <w:rFonts w:ascii="Calibri" w:eastAsia="Calibri" w:hAnsi="Calibri" w:cs="Calibri"/>
          <w:i/>
          <w:color w:val="000000"/>
          <w:sz w:val="22"/>
        </w:rPr>
        <w:t>,</w:t>
      </w:r>
      <w:r w:rsidRPr="002637EF">
        <w:rPr>
          <w:rFonts w:ascii="Calibri" w:eastAsia="Calibri" w:hAnsi="Calibri" w:cs="Calibri"/>
          <w:i/>
          <w:color w:val="000000"/>
          <w:sz w:val="22"/>
        </w:rPr>
        <w:t xml:space="preserve"> they had some pretty good units, pretty good facilities, but the people there weren't caring, loving and caring like [CCBHC] is.</w:t>
      </w:r>
      <w:r>
        <w:rPr>
          <w:rFonts w:ascii="Calibri" w:eastAsia="Calibri" w:hAnsi="Calibri" w:cs="Calibri"/>
          <w:i/>
          <w:color w:val="000000"/>
          <w:sz w:val="22"/>
        </w:rPr>
        <w:t xml:space="preserve"> </w:t>
      </w:r>
      <w:r w:rsidRPr="00030EA8">
        <w:rPr>
          <w:rFonts w:cstheme="minorHAnsi"/>
          <w:iCs/>
          <w:sz w:val="22"/>
          <w:szCs w:val="22"/>
        </w:rPr>
        <w:t>(Service User 19)</w:t>
      </w:r>
    </w:p>
    <w:p w14:paraId="2D375108" w14:textId="77777777" w:rsidR="00A32A0E" w:rsidRPr="002637EF" w:rsidRDefault="00A32A0E" w:rsidP="00A32A0E">
      <w:pPr>
        <w:ind w:left="720"/>
        <w:rPr>
          <w:rFonts w:cstheme="minorHAnsi"/>
          <w:i/>
          <w:sz w:val="22"/>
          <w:szCs w:val="22"/>
        </w:rPr>
      </w:pPr>
    </w:p>
    <w:p w14:paraId="3E2C7C25" w14:textId="77777777" w:rsidR="00A32A0E" w:rsidRPr="00030EA8" w:rsidRDefault="00A32A0E" w:rsidP="00A32A0E">
      <w:pPr>
        <w:ind w:left="720"/>
        <w:rPr>
          <w:rFonts w:ascii="Calibri" w:eastAsia="Calibri" w:hAnsi="Calibri" w:cs="Calibri"/>
          <w:iCs/>
          <w:color w:val="000000"/>
          <w:sz w:val="22"/>
        </w:rPr>
      </w:pPr>
      <w:r w:rsidRPr="002637EF">
        <w:rPr>
          <w:rFonts w:ascii="Calibri" w:eastAsia="Calibri" w:hAnsi="Calibri" w:cs="Calibri"/>
          <w:i/>
          <w:color w:val="000000"/>
          <w:sz w:val="22"/>
        </w:rPr>
        <w:t xml:space="preserve">I've been in counseling for most of my life, and I know [CCBHC] is the best one yet to be able to help me and not just focus on certain things. I mean, we focus on it, but there have been a lot of things that didn't get worked on throughout my life and finally got me on the right track with [CCBHC]. They're doing something right. </w:t>
      </w:r>
      <w:r w:rsidRPr="00030EA8">
        <w:rPr>
          <w:rFonts w:ascii="Calibri" w:eastAsia="Calibri" w:hAnsi="Calibri" w:cs="Calibri"/>
          <w:iCs/>
          <w:color w:val="000000"/>
          <w:sz w:val="22"/>
        </w:rPr>
        <w:t>(Service User 20)</w:t>
      </w:r>
    </w:p>
    <w:p w14:paraId="4BA361EB" w14:textId="77777777" w:rsidR="00A32A0E" w:rsidRDefault="00A32A0E" w:rsidP="00A32A0E">
      <w:pPr>
        <w:ind w:left="720"/>
        <w:rPr>
          <w:rFonts w:cstheme="minorHAnsi"/>
          <w:i/>
          <w:sz w:val="22"/>
          <w:szCs w:val="22"/>
        </w:rPr>
      </w:pPr>
    </w:p>
    <w:p w14:paraId="55F06357" w14:textId="77777777" w:rsidR="00A32A0E" w:rsidRPr="00030EA8" w:rsidRDefault="00A32A0E" w:rsidP="00A32A0E">
      <w:pPr>
        <w:ind w:left="720"/>
        <w:rPr>
          <w:rFonts w:cstheme="minorHAnsi"/>
          <w:iCs/>
          <w:sz w:val="22"/>
          <w:szCs w:val="22"/>
        </w:rPr>
      </w:pPr>
      <w:r w:rsidRPr="002637EF">
        <w:rPr>
          <w:rFonts w:cstheme="minorHAnsi"/>
          <w:i/>
          <w:sz w:val="22"/>
          <w:szCs w:val="22"/>
        </w:rPr>
        <w:t xml:space="preserve">It has been more than adequate for me, this is the first place that I will reach out to, even over my primary care physician. I feel like [clinic] has a pretty good thumb on what's going on in the community and what things are available to mentally ill people. It's just been a lifesaver for me. </w:t>
      </w:r>
      <w:r w:rsidRPr="00030EA8">
        <w:rPr>
          <w:rFonts w:cstheme="minorHAnsi"/>
          <w:iCs/>
          <w:sz w:val="22"/>
          <w:szCs w:val="22"/>
        </w:rPr>
        <w:t>(Service User 03)</w:t>
      </w:r>
    </w:p>
    <w:p w14:paraId="021FDAD3" w14:textId="77777777" w:rsidR="00A32A0E" w:rsidRPr="002637EF" w:rsidRDefault="00A32A0E" w:rsidP="00A32A0E">
      <w:pPr>
        <w:ind w:left="720"/>
        <w:rPr>
          <w:rFonts w:cstheme="minorHAnsi"/>
          <w:i/>
          <w:sz w:val="22"/>
          <w:szCs w:val="22"/>
        </w:rPr>
      </w:pPr>
    </w:p>
    <w:p w14:paraId="1B1A7871" w14:textId="77777777" w:rsidR="00A32A0E" w:rsidRDefault="00A32A0E" w:rsidP="00A32A0E">
      <w:pPr>
        <w:ind w:left="720"/>
        <w:rPr>
          <w:rFonts w:ascii="Calibri" w:eastAsia="Calibri" w:hAnsi="Calibri" w:cs="Calibri"/>
          <w:i/>
          <w:color w:val="000000"/>
          <w:sz w:val="22"/>
        </w:rPr>
      </w:pPr>
      <w:r w:rsidRPr="002637EF">
        <w:rPr>
          <w:rFonts w:ascii="Calibri" w:eastAsia="Calibri" w:hAnsi="Calibri" w:cs="Calibri"/>
          <w:i/>
          <w:color w:val="000000"/>
          <w:sz w:val="22"/>
        </w:rPr>
        <w:t>I like how it's been helping me. I'm better understanding myself now and how it's helped me significantly. My anxiety used to be so crippling and now, I'm able to go out in public. There are no words for it, because when you've had crippling anxiety, it's almost like freeing when you're able to go out and apply the tools that you learned</w:t>
      </w:r>
      <w:r>
        <w:rPr>
          <w:rFonts w:ascii="Calibri" w:eastAsia="Calibri" w:hAnsi="Calibri" w:cs="Calibri"/>
          <w:i/>
          <w:color w:val="000000"/>
          <w:sz w:val="22"/>
        </w:rPr>
        <w:t xml:space="preserve">. </w:t>
      </w:r>
      <w:r w:rsidRPr="002637EF">
        <w:rPr>
          <w:rFonts w:ascii="Calibri" w:eastAsia="Calibri" w:hAnsi="Calibri" w:cs="Calibri"/>
          <w:i/>
          <w:color w:val="000000"/>
          <w:sz w:val="22"/>
        </w:rPr>
        <w:t xml:space="preserve">It's like, whoa. And I don't feel as embarrassed anymore when I go out in public. But these therapists give you the tools, and it's amazing how they worked here with me and enabled me to have that and helped me to see the connection between all the things. </w:t>
      </w:r>
      <w:r>
        <w:rPr>
          <w:rFonts w:ascii="Calibri" w:eastAsia="Calibri" w:hAnsi="Calibri" w:cs="Calibri"/>
          <w:i/>
          <w:color w:val="000000"/>
          <w:sz w:val="22"/>
        </w:rPr>
        <w:t>N</w:t>
      </w:r>
      <w:r w:rsidRPr="002637EF">
        <w:rPr>
          <w:rFonts w:ascii="Calibri" w:eastAsia="Calibri" w:hAnsi="Calibri" w:cs="Calibri"/>
          <w:i/>
          <w:color w:val="000000"/>
          <w:sz w:val="22"/>
        </w:rPr>
        <w:t xml:space="preserve">ow I'm able to peel back the layers and start conquering my issues now. I'm able to start doing the things to make my life better. I'm just thankful for the process that they're now implementing because the little patient input thing at the end where we're like, "What did we learn from this? What did we want to learn?" That little document collaboration or whatever they call it, that thing at the end really helps out because it makes me stop to think about when I'm going into my therapy now, what did I learn? How can I apply this now throughout my week, so that now I'm taking the feedback that I've gotten for my own self and then my therapist, how can I apply that better in my life? I'm so thankful for how [clinic] has really changed within the two years that I've been here. </w:t>
      </w:r>
      <w:r>
        <w:rPr>
          <w:rFonts w:ascii="Calibri" w:eastAsia="Calibri" w:hAnsi="Calibri" w:cs="Calibri"/>
          <w:i/>
          <w:color w:val="000000"/>
          <w:sz w:val="22"/>
        </w:rPr>
        <w:t>T</w:t>
      </w:r>
      <w:r w:rsidRPr="002637EF">
        <w:rPr>
          <w:rFonts w:ascii="Calibri" w:eastAsia="Calibri" w:hAnsi="Calibri" w:cs="Calibri"/>
          <w:i/>
          <w:color w:val="000000"/>
          <w:sz w:val="22"/>
        </w:rPr>
        <w:t xml:space="preserve">hey actually, in my opinion, have bettered themselves and better the way that they're doing things. </w:t>
      </w:r>
      <w:r w:rsidRPr="00030EA8">
        <w:rPr>
          <w:rFonts w:ascii="Calibri" w:eastAsia="Calibri" w:hAnsi="Calibri" w:cs="Calibri"/>
          <w:iCs/>
          <w:color w:val="000000"/>
          <w:sz w:val="22"/>
        </w:rPr>
        <w:t>(Service User 22)</w:t>
      </w:r>
    </w:p>
    <w:p w14:paraId="618B4BD6" w14:textId="77777777" w:rsidR="00A32A0E" w:rsidRDefault="00A32A0E" w:rsidP="00A32A0E">
      <w:pPr>
        <w:ind w:left="720"/>
        <w:rPr>
          <w:rFonts w:ascii="Calibri" w:eastAsia="Calibri" w:hAnsi="Calibri" w:cs="Calibri"/>
          <w:i/>
          <w:color w:val="000000"/>
          <w:sz w:val="22"/>
        </w:rPr>
      </w:pPr>
    </w:p>
    <w:p w14:paraId="37E937D8" w14:textId="77777777" w:rsidR="00A32A0E" w:rsidRPr="00030EA8" w:rsidRDefault="00A32A0E" w:rsidP="00A32A0E">
      <w:pPr>
        <w:ind w:left="720"/>
        <w:rPr>
          <w:rFonts w:ascii="Calibri" w:eastAsia="Calibri" w:hAnsi="Calibri" w:cs="Calibri"/>
          <w:iCs/>
          <w:color w:val="000000"/>
          <w:sz w:val="22"/>
        </w:rPr>
      </w:pPr>
      <w:r w:rsidRPr="00C009E0">
        <w:rPr>
          <w:rFonts w:ascii="Calibri" w:eastAsia="Calibri" w:hAnsi="Calibri" w:cs="Calibri"/>
          <w:i/>
          <w:color w:val="000000"/>
          <w:sz w:val="22"/>
        </w:rPr>
        <w:t>I want to say that I am in a really good place right now, and it is because of this facility that I am in a good place. I don't want to say that everything is bad, and we could always focus on, but it's dialectic. It's bot</w:t>
      </w:r>
      <w:r>
        <w:rPr>
          <w:rFonts w:ascii="Calibri" w:eastAsia="Calibri" w:hAnsi="Calibri" w:cs="Calibri"/>
          <w:i/>
          <w:color w:val="000000"/>
          <w:sz w:val="22"/>
        </w:rPr>
        <w:t>h; i</w:t>
      </w:r>
      <w:r w:rsidRPr="00C009E0">
        <w:rPr>
          <w:rFonts w:ascii="Calibri" w:eastAsia="Calibri" w:hAnsi="Calibri" w:cs="Calibri"/>
          <w:i/>
          <w:color w:val="000000"/>
          <w:sz w:val="22"/>
        </w:rPr>
        <w:t>t's an awesome program and they could be better.</w:t>
      </w:r>
      <w:r>
        <w:rPr>
          <w:rFonts w:ascii="Calibri" w:eastAsia="Calibri" w:hAnsi="Calibri" w:cs="Calibri"/>
          <w:i/>
          <w:color w:val="000000"/>
          <w:sz w:val="22"/>
        </w:rPr>
        <w:t xml:space="preserve"> </w:t>
      </w:r>
      <w:r w:rsidRPr="00030EA8">
        <w:rPr>
          <w:rFonts w:ascii="Calibri" w:eastAsia="Calibri" w:hAnsi="Calibri" w:cs="Calibri"/>
          <w:iCs/>
          <w:color w:val="000000"/>
          <w:sz w:val="22"/>
        </w:rPr>
        <w:t>(Service User 14)</w:t>
      </w:r>
    </w:p>
    <w:p w14:paraId="091030EA" w14:textId="77777777" w:rsidR="00A32A0E" w:rsidRDefault="00A32A0E" w:rsidP="00A32A0E">
      <w:pPr>
        <w:ind w:left="720"/>
        <w:rPr>
          <w:rFonts w:ascii="Calibri" w:eastAsia="Calibri" w:hAnsi="Calibri" w:cs="Calibri"/>
          <w:i/>
          <w:color w:val="000000"/>
          <w:sz w:val="22"/>
        </w:rPr>
      </w:pPr>
    </w:p>
    <w:p w14:paraId="4D313382" w14:textId="77777777" w:rsidR="00A32A0E" w:rsidRPr="000D1B95" w:rsidRDefault="00A32A0E" w:rsidP="00A32A0E">
      <w:pPr>
        <w:ind w:left="720"/>
        <w:rPr>
          <w:rFonts w:cstheme="minorHAnsi"/>
          <w:sz w:val="22"/>
          <w:szCs w:val="22"/>
        </w:rPr>
      </w:pPr>
      <w:r w:rsidRPr="000D1B95">
        <w:rPr>
          <w:rFonts w:cstheme="minorHAnsi"/>
          <w:i/>
          <w:sz w:val="22"/>
          <w:szCs w:val="22"/>
        </w:rPr>
        <w:t xml:space="preserve">They helped me get into my apartment where I'm at now and helped me get on housing. If it wasn't for them, I would be homeless. </w:t>
      </w:r>
      <w:r>
        <w:rPr>
          <w:rFonts w:cstheme="minorHAnsi"/>
          <w:sz w:val="22"/>
          <w:szCs w:val="22"/>
        </w:rPr>
        <w:t>(</w:t>
      </w:r>
      <w:r w:rsidRPr="000D1B95">
        <w:rPr>
          <w:rFonts w:cstheme="minorHAnsi"/>
          <w:sz w:val="22"/>
          <w:szCs w:val="22"/>
        </w:rPr>
        <w:t>Service User 21</w:t>
      </w:r>
      <w:r>
        <w:rPr>
          <w:rFonts w:cstheme="minorHAnsi"/>
          <w:sz w:val="22"/>
          <w:szCs w:val="22"/>
        </w:rPr>
        <w:t>)</w:t>
      </w:r>
    </w:p>
    <w:p w14:paraId="7391EC66" w14:textId="77777777" w:rsidR="00A32A0E" w:rsidRPr="00F52157" w:rsidRDefault="00A32A0E" w:rsidP="00A32A0E">
      <w:pPr>
        <w:rPr>
          <w:rFonts w:cstheme="minorHAnsi"/>
          <w:sz w:val="22"/>
          <w:szCs w:val="22"/>
        </w:rPr>
      </w:pPr>
      <w:r>
        <w:rPr>
          <w:rFonts w:cstheme="minorHAnsi"/>
          <w:sz w:val="22"/>
          <w:szCs w:val="22"/>
        </w:rPr>
        <w:t xml:space="preserve"> </w:t>
      </w:r>
    </w:p>
    <w:p w14:paraId="4026EDA8" w14:textId="7C3BD92A" w:rsidR="00A32A0E" w:rsidRPr="00000D4B" w:rsidRDefault="00A32A0E" w:rsidP="003F2596">
      <w:pPr>
        <w:spacing w:after="120"/>
        <w:rPr>
          <w:rFonts w:cstheme="minorHAnsi"/>
          <w:b/>
          <w:bCs/>
          <w:color w:val="6A7F0F"/>
        </w:rPr>
      </w:pPr>
      <w:bookmarkStart w:id="80" w:name="_CCBHC-Related_Changes_"/>
      <w:bookmarkStart w:id="81" w:name="_CCBHC-Related_Changes"/>
      <w:bookmarkStart w:id="82" w:name="_Integration_&amp;_coordination"/>
      <w:bookmarkEnd w:id="80"/>
      <w:bookmarkEnd w:id="81"/>
      <w:bookmarkEnd w:id="82"/>
      <w:r w:rsidRPr="00000D4B">
        <w:rPr>
          <w:rFonts w:cstheme="minorHAnsi"/>
          <w:b/>
          <w:bCs/>
          <w:color w:val="6A7F0F"/>
        </w:rPr>
        <w:t>Integration and Coordination of Care</w:t>
      </w:r>
    </w:p>
    <w:p w14:paraId="1201A945" w14:textId="77777777" w:rsidR="00323FC9" w:rsidRPr="000D1B95" w:rsidRDefault="00323FC9" w:rsidP="00323FC9">
      <w:pPr>
        <w:pStyle w:val="ListParagraph"/>
        <w:ind w:left="0"/>
        <w:rPr>
          <w:rFonts w:cstheme="minorHAnsi"/>
          <w:sz w:val="22"/>
          <w:szCs w:val="22"/>
        </w:rPr>
      </w:pPr>
      <w:r w:rsidRPr="000D1B95">
        <w:rPr>
          <w:rFonts w:cstheme="minorHAnsi"/>
          <w:sz w:val="22"/>
          <w:szCs w:val="22"/>
        </w:rPr>
        <w:t>The experience of care coordination varied across CCBHC</w:t>
      </w:r>
      <w:r>
        <w:rPr>
          <w:rFonts w:cstheme="minorHAnsi"/>
          <w:sz w:val="22"/>
          <w:szCs w:val="22"/>
        </w:rPr>
        <w:t xml:space="preserve">s </w:t>
      </w:r>
      <w:r w:rsidRPr="000D1B95">
        <w:rPr>
          <w:rFonts w:cstheme="minorHAnsi"/>
          <w:sz w:val="22"/>
          <w:szCs w:val="22"/>
        </w:rPr>
        <w:t xml:space="preserve">and among service users. Many service users described care coordination as playing an important role in their mental and physical care, while for </w:t>
      </w:r>
      <w:r>
        <w:rPr>
          <w:rFonts w:cstheme="minorHAnsi"/>
          <w:sz w:val="22"/>
          <w:szCs w:val="22"/>
        </w:rPr>
        <w:t>others it</w:t>
      </w:r>
      <w:r w:rsidRPr="000D1B95">
        <w:rPr>
          <w:rFonts w:cstheme="minorHAnsi"/>
          <w:sz w:val="22"/>
          <w:szCs w:val="22"/>
        </w:rPr>
        <w:t xml:space="preserve"> was a </w:t>
      </w:r>
      <w:r>
        <w:rPr>
          <w:rFonts w:cstheme="minorHAnsi"/>
          <w:sz w:val="22"/>
          <w:szCs w:val="22"/>
        </w:rPr>
        <w:t xml:space="preserve">less </w:t>
      </w:r>
      <w:r w:rsidRPr="000D1B95">
        <w:rPr>
          <w:rFonts w:cstheme="minorHAnsi"/>
          <w:sz w:val="22"/>
          <w:szCs w:val="22"/>
        </w:rPr>
        <w:t xml:space="preserve">prominent aspect of their case. Some service users appreciated care coordination and the communication that took place </w:t>
      </w:r>
      <w:r>
        <w:rPr>
          <w:rFonts w:cstheme="minorHAnsi"/>
          <w:sz w:val="22"/>
          <w:szCs w:val="22"/>
        </w:rPr>
        <w:t>among</w:t>
      </w:r>
      <w:r w:rsidRPr="000D1B95">
        <w:rPr>
          <w:rFonts w:cstheme="minorHAnsi"/>
          <w:sz w:val="22"/>
          <w:szCs w:val="22"/>
        </w:rPr>
        <w:t xml:space="preserve"> members of their care team. For the service users who were aware of ongoing care coordination activities, most were appreciative of the ease with which the members of their care team communicated with one another, particularly </w:t>
      </w:r>
      <w:r>
        <w:rPr>
          <w:rFonts w:cstheme="minorHAnsi"/>
          <w:sz w:val="22"/>
          <w:szCs w:val="22"/>
        </w:rPr>
        <w:t>with</w:t>
      </w:r>
      <w:r w:rsidRPr="000D1B95">
        <w:rPr>
          <w:rFonts w:cstheme="minorHAnsi"/>
          <w:sz w:val="22"/>
          <w:szCs w:val="22"/>
        </w:rPr>
        <w:t xml:space="preserve"> regard to scheduling appointments across providers and monitoring medication plans. Service users generally spoke highly of the level of care coordination that they received through their respective CCBHC and noted that it helped them to progress in their treatment in a way that they did not otherwise feel would be possible.</w:t>
      </w:r>
    </w:p>
    <w:p w14:paraId="4132778D" w14:textId="77777777" w:rsidR="003F2596" w:rsidRDefault="003F2596" w:rsidP="00A32A0E">
      <w:pPr>
        <w:pStyle w:val="ListParagraph"/>
        <w:rPr>
          <w:rFonts w:cstheme="minorHAnsi"/>
          <w:i/>
          <w:sz w:val="22"/>
          <w:szCs w:val="22"/>
        </w:rPr>
      </w:pPr>
    </w:p>
    <w:p w14:paraId="08F31C24" w14:textId="40D8333D" w:rsidR="00A32A0E" w:rsidRPr="000D1B95" w:rsidRDefault="00A32A0E" w:rsidP="00A32A0E">
      <w:pPr>
        <w:pStyle w:val="ListParagraph"/>
        <w:rPr>
          <w:rFonts w:cstheme="minorHAnsi"/>
          <w:i/>
          <w:sz w:val="22"/>
          <w:szCs w:val="22"/>
        </w:rPr>
      </w:pPr>
      <w:r w:rsidRPr="000D1B95">
        <w:rPr>
          <w:rFonts w:cstheme="minorHAnsi"/>
          <w:i/>
          <w:sz w:val="22"/>
          <w:szCs w:val="22"/>
        </w:rPr>
        <w:t xml:space="preserve">Everybody is in the loop. If any medication changes happen, the next place I go after my doctor's office is here. </w:t>
      </w:r>
      <w:r w:rsidRPr="008D7068">
        <w:rPr>
          <w:rFonts w:cstheme="minorHAnsi"/>
          <w:iCs/>
          <w:sz w:val="22"/>
          <w:szCs w:val="22"/>
        </w:rPr>
        <w:t>(Service User 21)</w:t>
      </w:r>
    </w:p>
    <w:p w14:paraId="718B3604" w14:textId="77777777" w:rsidR="00A32A0E" w:rsidRPr="000D1B95" w:rsidRDefault="00A32A0E" w:rsidP="00A32A0E">
      <w:pPr>
        <w:pStyle w:val="ListParagraph"/>
        <w:ind w:firstLine="720"/>
        <w:rPr>
          <w:rFonts w:cstheme="minorHAnsi"/>
          <w:i/>
          <w:sz w:val="22"/>
          <w:szCs w:val="22"/>
        </w:rPr>
      </w:pPr>
    </w:p>
    <w:p w14:paraId="04A4265A" w14:textId="77777777" w:rsidR="00A32A0E" w:rsidRPr="000D1B95" w:rsidRDefault="00A32A0E" w:rsidP="00A32A0E">
      <w:pPr>
        <w:ind w:left="720"/>
        <w:rPr>
          <w:rFonts w:cstheme="minorHAnsi"/>
          <w:i/>
          <w:sz w:val="22"/>
          <w:szCs w:val="22"/>
        </w:rPr>
      </w:pPr>
      <w:r w:rsidRPr="000D1B95">
        <w:rPr>
          <w:rFonts w:cstheme="minorHAnsi"/>
          <w:i/>
          <w:sz w:val="22"/>
          <w:szCs w:val="22"/>
        </w:rPr>
        <w:t xml:space="preserve">My team consistently helps me problem solve and find solutions or resources when I am in need of other health services. My therapist has given me a few suggestions that have helped guide my PCP to helpful solutions to ongoing issues. </w:t>
      </w:r>
      <w:r w:rsidRPr="008D7068">
        <w:rPr>
          <w:rFonts w:cstheme="minorHAnsi"/>
          <w:iCs/>
          <w:sz w:val="22"/>
          <w:szCs w:val="22"/>
        </w:rPr>
        <w:t>(Service User 32)</w:t>
      </w:r>
    </w:p>
    <w:p w14:paraId="285FF794" w14:textId="77777777" w:rsidR="00A32A0E" w:rsidRPr="000D1B95" w:rsidRDefault="00A32A0E" w:rsidP="00A32A0E">
      <w:pPr>
        <w:ind w:left="720" w:firstLine="720"/>
        <w:rPr>
          <w:rFonts w:cstheme="minorHAnsi"/>
          <w:i/>
          <w:sz w:val="22"/>
          <w:szCs w:val="22"/>
        </w:rPr>
      </w:pPr>
    </w:p>
    <w:p w14:paraId="04A9BB0A"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There is some coordination between therapists and other workers, but I don't feel like coordinated is the right term. There is some mild collaboration, but it is far from a wraparound style treatment service. </w:t>
      </w:r>
      <w:r w:rsidRPr="008D7068">
        <w:rPr>
          <w:rFonts w:cstheme="minorHAnsi"/>
          <w:iCs/>
          <w:sz w:val="22"/>
          <w:szCs w:val="22"/>
        </w:rPr>
        <w:t>(Service User 30)</w:t>
      </w:r>
      <w:r w:rsidRPr="000D1B95">
        <w:rPr>
          <w:rFonts w:cstheme="minorHAnsi"/>
          <w:i/>
          <w:sz w:val="22"/>
          <w:szCs w:val="22"/>
        </w:rPr>
        <w:t xml:space="preserve"> </w:t>
      </w:r>
    </w:p>
    <w:p w14:paraId="7E79330A" w14:textId="77777777" w:rsidR="00A32A0E" w:rsidRPr="000D1B95" w:rsidRDefault="00A32A0E" w:rsidP="00A32A0E">
      <w:pPr>
        <w:pStyle w:val="ListParagraph"/>
        <w:ind w:firstLine="720"/>
        <w:rPr>
          <w:rFonts w:cstheme="minorHAnsi"/>
          <w:sz w:val="22"/>
          <w:szCs w:val="22"/>
        </w:rPr>
      </w:pPr>
    </w:p>
    <w:p w14:paraId="2E6B8AF8" w14:textId="77777777" w:rsidR="00323FC9" w:rsidRPr="000D1B95" w:rsidRDefault="00323FC9" w:rsidP="00323FC9">
      <w:pPr>
        <w:pStyle w:val="ListParagraph"/>
        <w:ind w:left="0"/>
        <w:rPr>
          <w:rFonts w:cstheme="minorHAnsi"/>
          <w:sz w:val="22"/>
          <w:szCs w:val="22"/>
        </w:rPr>
      </w:pPr>
      <w:r w:rsidRPr="000D1B95">
        <w:rPr>
          <w:rFonts w:cstheme="minorHAnsi"/>
          <w:sz w:val="22"/>
          <w:szCs w:val="22"/>
        </w:rPr>
        <w:t xml:space="preserve">Some service users spoke of care coordination in </w:t>
      </w:r>
      <w:r>
        <w:rPr>
          <w:rFonts w:cstheme="minorHAnsi"/>
          <w:sz w:val="22"/>
          <w:szCs w:val="22"/>
        </w:rPr>
        <w:t xml:space="preserve">the </w:t>
      </w:r>
      <w:r w:rsidRPr="000D1B95">
        <w:rPr>
          <w:rFonts w:cstheme="minorHAnsi"/>
          <w:sz w:val="22"/>
          <w:szCs w:val="22"/>
        </w:rPr>
        <w:t xml:space="preserve">sense of connection between the CCBHC and their primary care provider and any specialists involved in their treatment, while for others care coordination included coordination with social services. Many service users described care coordination as </w:t>
      </w:r>
      <w:r>
        <w:rPr>
          <w:rFonts w:cstheme="minorHAnsi"/>
          <w:sz w:val="22"/>
          <w:szCs w:val="22"/>
        </w:rPr>
        <w:t>going</w:t>
      </w:r>
      <w:r w:rsidRPr="000D1B95">
        <w:rPr>
          <w:rFonts w:cstheme="minorHAnsi"/>
          <w:sz w:val="22"/>
          <w:szCs w:val="22"/>
        </w:rPr>
        <w:t xml:space="preserve"> beyond simply connecting behavioral and </w:t>
      </w:r>
      <w:r>
        <w:rPr>
          <w:rFonts w:cstheme="minorHAnsi"/>
          <w:sz w:val="22"/>
          <w:szCs w:val="22"/>
        </w:rPr>
        <w:t>physical health</w:t>
      </w:r>
      <w:r w:rsidRPr="000D1B95">
        <w:rPr>
          <w:rFonts w:cstheme="minorHAnsi"/>
          <w:sz w:val="22"/>
          <w:szCs w:val="22"/>
        </w:rPr>
        <w:t xml:space="preserve"> services, including coordination with social services, law enforcement, and other service</w:t>
      </w:r>
      <w:r>
        <w:rPr>
          <w:rFonts w:cstheme="minorHAnsi"/>
          <w:sz w:val="22"/>
          <w:szCs w:val="22"/>
        </w:rPr>
        <w:t>s</w:t>
      </w:r>
      <w:r w:rsidRPr="000D1B95">
        <w:rPr>
          <w:rFonts w:cstheme="minorHAnsi"/>
          <w:sz w:val="22"/>
          <w:szCs w:val="22"/>
        </w:rPr>
        <w:t xml:space="preserve"> as needed to support each case. Regardless of the degree of care coordination that occurred or the importance that service users placed upon their care coordination, almost all described some degree of coordination through the CCBHC. Few service users were unaware as to whether any care coordination occurred</w:t>
      </w:r>
      <w:r>
        <w:rPr>
          <w:rFonts w:cstheme="minorHAnsi"/>
          <w:sz w:val="22"/>
          <w:szCs w:val="22"/>
        </w:rPr>
        <w:t>. A</w:t>
      </w:r>
      <w:r w:rsidRPr="000D1B95">
        <w:rPr>
          <w:rFonts w:cstheme="minorHAnsi"/>
          <w:sz w:val="22"/>
          <w:szCs w:val="22"/>
        </w:rPr>
        <w:t xml:space="preserve"> few </w:t>
      </w:r>
      <w:r>
        <w:rPr>
          <w:rFonts w:cstheme="minorHAnsi"/>
          <w:sz w:val="22"/>
          <w:szCs w:val="22"/>
        </w:rPr>
        <w:t xml:space="preserve">service users </w:t>
      </w:r>
      <w:r w:rsidRPr="000D1B95">
        <w:rPr>
          <w:rFonts w:cstheme="minorHAnsi"/>
          <w:sz w:val="22"/>
          <w:szCs w:val="22"/>
        </w:rPr>
        <w:t>described a complete lack of care coordination through their CCBHC which may have been more related to location resources. It could not be confirmed during the focus groups whether care coordination was truly absent for these select service users, as others from the same CCBHC describe</w:t>
      </w:r>
      <w:r>
        <w:rPr>
          <w:rFonts w:cstheme="minorHAnsi"/>
          <w:sz w:val="22"/>
          <w:szCs w:val="22"/>
        </w:rPr>
        <w:t>d</w:t>
      </w:r>
      <w:r w:rsidRPr="000D1B95">
        <w:rPr>
          <w:rFonts w:cstheme="minorHAnsi"/>
          <w:sz w:val="22"/>
          <w:szCs w:val="22"/>
        </w:rPr>
        <w:t xml:space="preserve"> care coordination as occurring and noted regional challenges in securing primary care services more broadly.  </w:t>
      </w:r>
    </w:p>
    <w:p w14:paraId="3B4F4A91" w14:textId="77777777" w:rsidR="003F2596" w:rsidRDefault="003F2596" w:rsidP="00A32A0E">
      <w:pPr>
        <w:ind w:left="720"/>
        <w:rPr>
          <w:rFonts w:cstheme="minorHAnsi"/>
          <w:i/>
          <w:sz w:val="22"/>
          <w:szCs w:val="22"/>
        </w:rPr>
      </w:pPr>
    </w:p>
    <w:p w14:paraId="6A2C7C25" w14:textId="482129D9" w:rsidR="00A32A0E" w:rsidRPr="000D1B95" w:rsidRDefault="00A32A0E" w:rsidP="00A32A0E">
      <w:pPr>
        <w:ind w:left="720"/>
        <w:rPr>
          <w:rFonts w:cstheme="minorHAnsi"/>
          <w:i/>
          <w:sz w:val="22"/>
          <w:szCs w:val="22"/>
        </w:rPr>
      </w:pPr>
      <w:r>
        <w:rPr>
          <w:rFonts w:cstheme="minorHAnsi"/>
          <w:i/>
          <w:sz w:val="22"/>
          <w:szCs w:val="22"/>
        </w:rPr>
        <w:t>At one point, I was in jail…</w:t>
      </w:r>
      <w:r w:rsidRPr="000D1B95">
        <w:rPr>
          <w:rFonts w:cstheme="minorHAnsi"/>
          <w:i/>
          <w:sz w:val="22"/>
          <w:szCs w:val="22"/>
        </w:rPr>
        <w:t xml:space="preserve">and I contacted the drug and alcohol program here. They facilitated getting me back and putting me in their program, and I'm sure that was probably a paperwork nightmare and all kinds of things. Now that I think about it, there has been quite a bit of coordination and they've done pretty good at it. </w:t>
      </w:r>
      <w:r w:rsidRPr="008D7068">
        <w:rPr>
          <w:rFonts w:cstheme="minorHAnsi"/>
          <w:iCs/>
          <w:sz w:val="22"/>
          <w:szCs w:val="22"/>
        </w:rPr>
        <w:t>(Service User 13)</w:t>
      </w:r>
    </w:p>
    <w:p w14:paraId="47A393F9" w14:textId="77777777" w:rsidR="00A32A0E" w:rsidRPr="000D1B95" w:rsidRDefault="00A32A0E" w:rsidP="00A32A0E">
      <w:pPr>
        <w:ind w:left="720" w:firstLine="720"/>
        <w:rPr>
          <w:rFonts w:cstheme="minorHAnsi"/>
          <w:i/>
          <w:sz w:val="22"/>
          <w:szCs w:val="22"/>
        </w:rPr>
      </w:pPr>
    </w:p>
    <w:p w14:paraId="69708CF3" w14:textId="77777777" w:rsidR="00A32A0E" w:rsidRDefault="00A32A0E" w:rsidP="00A32A0E">
      <w:pPr>
        <w:ind w:left="720"/>
        <w:rPr>
          <w:rFonts w:cstheme="minorHAnsi"/>
          <w:i/>
          <w:sz w:val="22"/>
          <w:szCs w:val="22"/>
        </w:rPr>
      </w:pPr>
      <w:r w:rsidRPr="000D1B95">
        <w:rPr>
          <w:rFonts w:cstheme="minorHAnsi"/>
          <w:i/>
          <w:sz w:val="22"/>
          <w:szCs w:val="22"/>
        </w:rPr>
        <w:t xml:space="preserve">It was my introduction to integrated care was [CCBHC]. That was the first time I've ever had anybody that would help me organize all of my care. </w:t>
      </w:r>
      <w:r>
        <w:rPr>
          <w:rFonts w:cstheme="minorHAnsi"/>
          <w:i/>
          <w:sz w:val="22"/>
          <w:szCs w:val="22"/>
        </w:rPr>
        <w:t>I</w:t>
      </w:r>
      <w:r w:rsidRPr="000D1B95">
        <w:rPr>
          <w:rFonts w:cstheme="minorHAnsi"/>
          <w:i/>
          <w:sz w:val="22"/>
          <w:szCs w:val="22"/>
        </w:rPr>
        <w:t>t wasn't just the physical care at [clinic]. They helped me organize dental care, get dermatology appointments. They helped organize everything with the VA and get me into care and the community services</w:t>
      </w:r>
      <w:r>
        <w:rPr>
          <w:rFonts w:cstheme="minorHAnsi"/>
          <w:i/>
          <w:sz w:val="22"/>
          <w:szCs w:val="22"/>
        </w:rPr>
        <w:t>.</w:t>
      </w:r>
      <w:r w:rsidRPr="000D1B95">
        <w:rPr>
          <w:rFonts w:cstheme="minorHAnsi"/>
          <w:i/>
          <w:sz w:val="22"/>
          <w:szCs w:val="22"/>
        </w:rPr>
        <w:t xml:space="preserve"> </w:t>
      </w:r>
      <w:r w:rsidRPr="008D7068">
        <w:rPr>
          <w:rFonts w:cstheme="minorHAnsi"/>
          <w:iCs/>
          <w:sz w:val="22"/>
          <w:szCs w:val="22"/>
        </w:rPr>
        <w:t>(Service User 26)</w:t>
      </w:r>
      <w:r w:rsidRPr="000D1B95">
        <w:rPr>
          <w:rFonts w:cstheme="minorHAnsi"/>
          <w:i/>
          <w:sz w:val="22"/>
          <w:szCs w:val="22"/>
        </w:rPr>
        <w:t xml:space="preserve"> </w:t>
      </w:r>
    </w:p>
    <w:p w14:paraId="1DDC29C9" w14:textId="77777777" w:rsidR="00A32A0E" w:rsidRDefault="00A32A0E" w:rsidP="00A32A0E">
      <w:pPr>
        <w:ind w:left="720" w:firstLine="720"/>
        <w:rPr>
          <w:rFonts w:cstheme="minorHAnsi"/>
          <w:i/>
          <w:sz w:val="22"/>
          <w:szCs w:val="22"/>
        </w:rPr>
      </w:pPr>
    </w:p>
    <w:p w14:paraId="223BBFE4" w14:textId="77777777" w:rsidR="00A32A0E" w:rsidRPr="000D1B95" w:rsidRDefault="00A32A0E" w:rsidP="00A32A0E">
      <w:pPr>
        <w:ind w:left="720"/>
        <w:rPr>
          <w:rFonts w:cstheme="minorHAnsi"/>
          <w:i/>
          <w:sz w:val="22"/>
          <w:szCs w:val="22"/>
        </w:rPr>
      </w:pPr>
      <w:r w:rsidRPr="009C3EEA">
        <w:rPr>
          <w:rFonts w:cstheme="minorHAnsi"/>
          <w:i/>
          <w:sz w:val="22"/>
          <w:szCs w:val="22"/>
        </w:rPr>
        <w:t xml:space="preserve">I have a case manager that gets right on top of things. I call her, I ask a question, </w:t>
      </w:r>
      <w:r>
        <w:rPr>
          <w:rFonts w:cstheme="minorHAnsi"/>
          <w:i/>
          <w:sz w:val="22"/>
          <w:szCs w:val="22"/>
        </w:rPr>
        <w:t xml:space="preserve">and </w:t>
      </w:r>
      <w:r w:rsidRPr="009C3EEA">
        <w:rPr>
          <w:rFonts w:cstheme="minorHAnsi"/>
          <w:i/>
          <w:sz w:val="22"/>
          <w:szCs w:val="22"/>
        </w:rPr>
        <w:t>boom</w:t>
      </w:r>
      <w:r>
        <w:rPr>
          <w:rFonts w:cstheme="minorHAnsi"/>
          <w:i/>
          <w:sz w:val="22"/>
          <w:szCs w:val="22"/>
        </w:rPr>
        <w:t>,</w:t>
      </w:r>
      <w:r w:rsidRPr="009C3EEA">
        <w:rPr>
          <w:rFonts w:cstheme="minorHAnsi"/>
          <w:i/>
          <w:sz w:val="22"/>
          <w:szCs w:val="22"/>
        </w:rPr>
        <w:t xml:space="preserve"> I get the answer. </w:t>
      </w:r>
      <w:r>
        <w:rPr>
          <w:rFonts w:cstheme="minorHAnsi"/>
          <w:i/>
          <w:sz w:val="22"/>
          <w:szCs w:val="22"/>
        </w:rPr>
        <w:t>B</w:t>
      </w:r>
      <w:r w:rsidRPr="009C3EEA">
        <w:rPr>
          <w:rFonts w:cstheme="minorHAnsi"/>
          <w:i/>
          <w:sz w:val="22"/>
          <w:szCs w:val="22"/>
        </w:rPr>
        <w:t>y coordinating my mental healthcare, they have their psychiatrists there</w:t>
      </w:r>
      <w:r>
        <w:rPr>
          <w:rFonts w:cstheme="minorHAnsi"/>
          <w:i/>
          <w:sz w:val="22"/>
          <w:szCs w:val="22"/>
        </w:rPr>
        <w:t>, t</w:t>
      </w:r>
      <w:r w:rsidRPr="009C3EEA">
        <w:rPr>
          <w:rFonts w:cstheme="minorHAnsi"/>
          <w:i/>
          <w:sz w:val="22"/>
          <w:szCs w:val="22"/>
        </w:rPr>
        <w:t>hey have the people who do medications there. I know one of the nurses, if something happens, she'll come to the house and take care</w:t>
      </w:r>
      <w:r>
        <w:rPr>
          <w:rFonts w:cstheme="minorHAnsi"/>
          <w:i/>
          <w:sz w:val="22"/>
          <w:szCs w:val="22"/>
        </w:rPr>
        <w:t xml:space="preserve"> of it</w:t>
      </w:r>
      <w:r w:rsidRPr="009C3EEA">
        <w:rPr>
          <w:rFonts w:cstheme="minorHAnsi"/>
          <w:i/>
          <w:sz w:val="22"/>
          <w:szCs w:val="22"/>
        </w:rPr>
        <w:t>.</w:t>
      </w:r>
      <w:r>
        <w:rPr>
          <w:rFonts w:cstheme="minorHAnsi"/>
          <w:i/>
          <w:sz w:val="22"/>
          <w:szCs w:val="22"/>
        </w:rPr>
        <w:t xml:space="preserve"> </w:t>
      </w:r>
      <w:r w:rsidRPr="008D7068">
        <w:rPr>
          <w:rFonts w:cstheme="minorHAnsi"/>
          <w:iCs/>
          <w:sz w:val="22"/>
          <w:szCs w:val="22"/>
        </w:rPr>
        <w:t>(Service User 19)</w:t>
      </w:r>
    </w:p>
    <w:p w14:paraId="693D4652" w14:textId="77777777" w:rsidR="00A32A0E" w:rsidRPr="000D1B95" w:rsidRDefault="00A32A0E" w:rsidP="00A32A0E">
      <w:pPr>
        <w:pStyle w:val="ListParagraph"/>
        <w:ind w:left="0" w:firstLine="720"/>
        <w:rPr>
          <w:rFonts w:cstheme="minorHAnsi"/>
          <w:sz w:val="22"/>
          <w:szCs w:val="22"/>
        </w:rPr>
      </w:pPr>
    </w:p>
    <w:p w14:paraId="08890CF5" w14:textId="77777777" w:rsidR="00323FC9" w:rsidRPr="000D1B95" w:rsidRDefault="00323FC9" w:rsidP="00323FC9">
      <w:pPr>
        <w:pStyle w:val="ListParagraph"/>
        <w:ind w:left="0"/>
        <w:rPr>
          <w:rFonts w:cstheme="minorHAnsi"/>
          <w:sz w:val="22"/>
          <w:szCs w:val="22"/>
        </w:rPr>
      </w:pPr>
      <w:r w:rsidRPr="000D1B95">
        <w:rPr>
          <w:rFonts w:cstheme="minorHAnsi"/>
          <w:sz w:val="22"/>
          <w:szCs w:val="22"/>
        </w:rPr>
        <w:t>Integration of services varied by CCBHC. Some CCBHCs offered comprehensive integration of services, including in-house pharmacy, primary</w:t>
      </w:r>
      <w:r>
        <w:rPr>
          <w:rFonts w:cstheme="minorHAnsi"/>
          <w:sz w:val="22"/>
          <w:szCs w:val="22"/>
        </w:rPr>
        <w:t>,</w:t>
      </w:r>
      <w:r w:rsidRPr="000D1B95">
        <w:rPr>
          <w:rFonts w:cstheme="minorHAnsi"/>
          <w:sz w:val="22"/>
          <w:szCs w:val="22"/>
        </w:rPr>
        <w:t xml:space="preserve"> and dental care, while others offered integration to a lesser degree. Some service users who reported receiving healthcare through the CCBHC described feeling comfortable receiving medical care through the CCBHC because their behavioral health needs were at the center of their care. </w:t>
      </w:r>
      <w:r>
        <w:rPr>
          <w:rFonts w:cstheme="minorHAnsi"/>
          <w:sz w:val="22"/>
          <w:szCs w:val="22"/>
        </w:rPr>
        <w:t xml:space="preserve">Some </w:t>
      </w:r>
      <w:r w:rsidRPr="000D1B95">
        <w:rPr>
          <w:rFonts w:cstheme="minorHAnsi"/>
          <w:sz w:val="22"/>
          <w:szCs w:val="22"/>
        </w:rPr>
        <w:t xml:space="preserve">service users reported having had integrated primary care at one point but losing that service due to internal issues within the CCBHC. Even when service integration was available, some service users preferred to receive non-behavioral healthcare services outside of the CCBHC for personal reasons, such as a history with </w:t>
      </w:r>
      <w:r>
        <w:rPr>
          <w:rFonts w:cstheme="minorHAnsi"/>
          <w:sz w:val="22"/>
          <w:szCs w:val="22"/>
        </w:rPr>
        <w:t>a</w:t>
      </w:r>
      <w:r w:rsidRPr="000D1B95">
        <w:rPr>
          <w:rFonts w:cstheme="minorHAnsi"/>
          <w:sz w:val="22"/>
          <w:szCs w:val="22"/>
        </w:rPr>
        <w:t xml:space="preserve"> medical provider. </w:t>
      </w:r>
    </w:p>
    <w:p w14:paraId="66A8B8DC" w14:textId="77777777" w:rsidR="003F2596" w:rsidRDefault="003F2596" w:rsidP="00A32A0E">
      <w:pPr>
        <w:ind w:left="720"/>
        <w:rPr>
          <w:rFonts w:cstheme="minorHAnsi"/>
          <w:i/>
          <w:sz w:val="22"/>
          <w:szCs w:val="22"/>
        </w:rPr>
      </w:pPr>
    </w:p>
    <w:p w14:paraId="4BC31FCA" w14:textId="6BEC6342" w:rsidR="00A32A0E" w:rsidRPr="000D1B95" w:rsidRDefault="00A32A0E" w:rsidP="00A32A0E">
      <w:pPr>
        <w:ind w:left="720"/>
        <w:rPr>
          <w:rFonts w:cstheme="minorHAnsi"/>
          <w:i/>
          <w:sz w:val="22"/>
          <w:szCs w:val="22"/>
        </w:rPr>
      </w:pPr>
      <w:r w:rsidRPr="000D1B95">
        <w:rPr>
          <w:rFonts w:cstheme="minorHAnsi"/>
          <w:i/>
          <w:sz w:val="22"/>
          <w:szCs w:val="22"/>
        </w:rPr>
        <w:t xml:space="preserve">I have a doctor and a psychiatrist and a pharmacy there. That's where I get my prescriptions and that's where I see my counselor. All my support team is at the same facility. </w:t>
      </w:r>
      <w:r w:rsidRPr="008D7068">
        <w:rPr>
          <w:rFonts w:cstheme="minorHAnsi"/>
          <w:iCs/>
          <w:sz w:val="22"/>
          <w:szCs w:val="22"/>
        </w:rPr>
        <w:t>(Service User 10)</w:t>
      </w:r>
    </w:p>
    <w:p w14:paraId="17A76FB6" w14:textId="77777777" w:rsidR="00A32A0E" w:rsidRPr="000D1B95" w:rsidRDefault="00A32A0E" w:rsidP="00A32A0E">
      <w:pPr>
        <w:rPr>
          <w:rFonts w:cstheme="minorHAnsi"/>
          <w:i/>
          <w:sz w:val="22"/>
          <w:szCs w:val="22"/>
        </w:rPr>
      </w:pPr>
    </w:p>
    <w:p w14:paraId="0D755F1B" w14:textId="77777777" w:rsidR="00A32A0E" w:rsidRPr="000D1B95" w:rsidRDefault="00A32A0E" w:rsidP="00A32A0E">
      <w:pPr>
        <w:ind w:left="720"/>
        <w:rPr>
          <w:rFonts w:cstheme="minorHAnsi"/>
          <w:i/>
          <w:sz w:val="22"/>
          <w:szCs w:val="22"/>
        </w:rPr>
      </w:pPr>
      <w:r w:rsidRPr="000D1B95">
        <w:rPr>
          <w:rFonts w:cstheme="minorHAnsi"/>
          <w:i/>
          <w:sz w:val="22"/>
          <w:szCs w:val="22"/>
        </w:rPr>
        <w:t xml:space="preserve">This is the first mental health facility that I've been able to access other than the VA, and there is no comparison between the capabilities of this clinic and the VA. The only reason that I even access care here is because they are integrated with [medical clinic] and they actually had a mental health person in with physical health. During a physical they determined that it wasn't physical issues that I was having, it was my mental health. They were able to get me in with a mental health person right then, and now that [the medical and CCBHC] are in the same building, it’s perfect. </w:t>
      </w:r>
      <w:r w:rsidRPr="008D7068">
        <w:rPr>
          <w:rFonts w:cstheme="minorHAnsi"/>
          <w:iCs/>
          <w:sz w:val="22"/>
          <w:szCs w:val="22"/>
        </w:rPr>
        <w:t>(Service User 26)</w:t>
      </w:r>
    </w:p>
    <w:p w14:paraId="6ACE34F2" w14:textId="77777777" w:rsidR="00A32A0E" w:rsidRPr="000D1B95" w:rsidRDefault="00A32A0E" w:rsidP="00A32A0E">
      <w:pPr>
        <w:rPr>
          <w:rFonts w:cstheme="minorHAnsi"/>
          <w:sz w:val="22"/>
          <w:szCs w:val="22"/>
        </w:rPr>
      </w:pPr>
    </w:p>
    <w:p w14:paraId="588481AD" w14:textId="4615FE92" w:rsidR="007061A7" w:rsidRDefault="00A32A0E" w:rsidP="007061A7">
      <w:pPr>
        <w:ind w:left="720"/>
        <w:rPr>
          <w:rFonts w:cstheme="minorHAnsi"/>
          <w:iCs/>
          <w:sz w:val="22"/>
          <w:szCs w:val="22"/>
        </w:rPr>
      </w:pPr>
      <w:r w:rsidRPr="009C3EEA">
        <w:rPr>
          <w:rFonts w:cstheme="minorHAnsi"/>
          <w:i/>
          <w:sz w:val="22"/>
          <w:szCs w:val="22"/>
        </w:rPr>
        <w:t>It's safe</w:t>
      </w:r>
      <w:r>
        <w:rPr>
          <w:rFonts w:cstheme="minorHAnsi"/>
          <w:i/>
          <w:sz w:val="22"/>
          <w:szCs w:val="22"/>
        </w:rPr>
        <w:t xml:space="preserve"> [at this clinic]</w:t>
      </w:r>
      <w:r w:rsidRPr="009C3EEA">
        <w:rPr>
          <w:rFonts w:cstheme="minorHAnsi"/>
          <w:i/>
          <w:sz w:val="22"/>
          <w:szCs w:val="22"/>
        </w:rPr>
        <w:t>, because of their integration with the primary care facility</w:t>
      </w:r>
      <w:r>
        <w:rPr>
          <w:rFonts w:cstheme="minorHAnsi"/>
          <w:i/>
          <w:sz w:val="22"/>
          <w:szCs w:val="22"/>
        </w:rPr>
        <w:t>. T</w:t>
      </w:r>
      <w:r w:rsidRPr="009C3EEA">
        <w:rPr>
          <w:rFonts w:cstheme="minorHAnsi"/>
          <w:i/>
          <w:sz w:val="22"/>
          <w:szCs w:val="22"/>
        </w:rPr>
        <w:t xml:space="preserve">he approach to mental health here is very holistic. It's not just, "we're treating this," it's looking at the entire picture. And there's so many different people with so many different ideas. And there's things where I've had those little epiphanies where somebody said something, "I've never thought about that." Whether it's my doctor or my therapist or my psychiatrist. </w:t>
      </w:r>
      <w:r w:rsidRPr="008D7068">
        <w:rPr>
          <w:rFonts w:cstheme="minorHAnsi"/>
          <w:iCs/>
          <w:sz w:val="22"/>
          <w:szCs w:val="22"/>
        </w:rPr>
        <w:t>(Service User 25)</w:t>
      </w:r>
      <w:r w:rsidR="007061A7">
        <w:rPr>
          <w:rFonts w:cstheme="minorHAnsi"/>
          <w:iCs/>
          <w:sz w:val="22"/>
          <w:szCs w:val="22"/>
        </w:rPr>
        <w:br w:type="page"/>
      </w:r>
    </w:p>
    <w:p w14:paraId="7018DC42" w14:textId="74F01D15" w:rsidR="00DE38DB" w:rsidRPr="00000D4B" w:rsidRDefault="00DE38DB" w:rsidP="0058670B">
      <w:pPr>
        <w:pStyle w:val="Heading2"/>
        <w:spacing w:before="0"/>
        <w:jc w:val="center"/>
        <w:rPr>
          <w:rFonts w:asciiTheme="minorHAnsi" w:hAnsiTheme="minorHAnsi" w:cstheme="minorHAnsi"/>
          <w:b/>
          <w:bCs/>
          <w:color w:val="6A7F0F"/>
        </w:rPr>
      </w:pPr>
      <w:bookmarkStart w:id="83" w:name="_Appendix_5:_Extended"/>
      <w:bookmarkStart w:id="84" w:name="_Toc126068196"/>
      <w:bookmarkEnd w:id="83"/>
      <w:r w:rsidRPr="00000D4B">
        <w:rPr>
          <w:rFonts w:asciiTheme="minorHAnsi" w:hAnsiTheme="minorHAnsi" w:cstheme="minorHAnsi"/>
          <w:b/>
          <w:bCs/>
          <w:color w:val="6A7F0F"/>
        </w:rPr>
        <w:t>Appendix 5</w:t>
      </w:r>
      <w:r w:rsidR="00A460F8" w:rsidRPr="00000D4B">
        <w:rPr>
          <w:rFonts w:asciiTheme="minorHAnsi" w:hAnsiTheme="minorHAnsi" w:cstheme="minorHAnsi"/>
          <w:b/>
          <w:bCs/>
          <w:color w:val="6A7F0F"/>
        </w:rPr>
        <w:t>: Extended Report of Feedback from CCBHC Clinic Administrators and Clinical Leaders</w:t>
      </w:r>
      <w:bookmarkEnd w:id="84"/>
    </w:p>
    <w:p w14:paraId="15741B06" w14:textId="77777777" w:rsidR="003F2596" w:rsidRDefault="003F2596" w:rsidP="003F2596">
      <w:pPr>
        <w:rPr>
          <w:rFonts w:cstheme="minorHAnsi"/>
          <w:bCs/>
          <w:sz w:val="22"/>
          <w:szCs w:val="22"/>
        </w:rPr>
      </w:pPr>
    </w:p>
    <w:p w14:paraId="23744B36" w14:textId="358C0AF8" w:rsidR="00323FC9" w:rsidRPr="005205CF" w:rsidRDefault="00323FC9" w:rsidP="00323FC9">
      <w:pPr>
        <w:rPr>
          <w:rFonts w:eastAsiaTheme="majorEastAsia" w:cstheme="minorHAnsi"/>
          <w:sz w:val="22"/>
          <w:szCs w:val="22"/>
        </w:rPr>
      </w:pPr>
      <w:r w:rsidRPr="005205CF">
        <w:rPr>
          <w:rFonts w:cstheme="minorHAnsi"/>
          <w:bCs/>
          <w:sz w:val="22"/>
          <w:szCs w:val="22"/>
        </w:rPr>
        <w:t xml:space="preserve">The extended report of feedback from CCBHC clinic leaders provides a summary of the themes that emerged from </w:t>
      </w:r>
      <w:r w:rsidRPr="005205CF">
        <w:rPr>
          <w:rFonts w:cstheme="minorHAnsi"/>
          <w:sz w:val="22"/>
          <w:szCs w:val="22"/>
        </w:rPr>
        <w:t xml:space="preserve">interviews. </w:t>
      </w:r>
      <w:r w:rsidRPr="005205CF">
        <w:rPr>
          <w:rFonts w:eastAsia="Calibri" w:cstheme="minorHAnsi"/>
          <w:sz w:val="22"/>
          <w:szCs w:val="22"/>
          <w:lang w:val="en"/>
        </w:rPr>
        <w:t xml:space="preserve">Data collection methods and analysis are described in detail in </w:t>
      </w:r>
      <w:hyperlink w:anchor="_Appendix_3:_Detailed" w:history="1">
        <w:r w:rsidRPr="00323FC9">
          <w:rPr>
            <w:rStyle w:val="Hyperlink"/>
            <w:rFonts w:eastAsia="Calibri" w:cstheme="minorHAnsi"/>
            <w:sz w:val="22"/>
            <w:szCs w:val="22"/>
            <w:lang w:val="en"/>
          </w:rPr>
          <w:t>Appendix 3</w:t>
        </w:r>
      </w:hyperlink>
      <w:r w:rsidRPr="005205CF">
        <w:rPr>
          <w:rFonts w:eastAsia="Calibri" w:cstheme="minorHAnsi"/>
          <w:sz w:val="22"/>
          <w:szCs w:val="22"/>
          <w:lang w:val="en"/>
        </w:rPr>
        <w:t>.</w:t>
      </w:r>
    </w:p>
    <w:p w14:paraId="6FBF5BFA" w14:textId="77777777" w:rsidR="003F2596" w:rsidRPr="005205CF" w:rsidRDefault="003F2596" w:rsidP="003F2596">
      <w:pPr>
        <w:rPr>
          <w:rFonts w:cstheme="minorHAnsi"/>
          <w:sz w:val="22"/>
          <w:szCs w:val="22"/>
        </w:rPr>
      </w:pPr>
    </w:p>
    <w:p w14:paraId="1B387A09" w14:textId="77777777" w:rsidR="003F2596" w:rsidRPr="00A17C4D" w:rsidRDefault="003F2596" w:rsidP="00A17C4D">
      <w:pPr>
        <w:spacing w:after="120"/>
        <w:rPr>
          <w:b/>
          <w:bCs/>
          <w:i/>
          <w:iCs/>
          <w:color w:val="6A7F0F"/>
          <w:highlight w:val="white"/>
        </w:rPr>
      </w:pPr>
      <w:bookmarkStart w:id="85" w:name="_Clinic_Leaders"/>
      <w:bookmarkEnd w:id="85"/>
      <w:r w:rsidRPr="00A17C4D">
        <w:rPr>
          <w:b/>
          <w:bCs/>
          <w:i/>
          <w:iCs/>
          <w:color w:val="6A7F0F"/>
          <w:highlight w:val="white"/>
        </w:rPr>
        <w:t xml:space="preserve">Clinic Leaders </w:t>
      </w:r>
    </w:p>
    <w:p w14:paraId="4AB0EFB0" w14:textId="244BBCD5" w:rsidR="00323FC9" w:rsidRPr="005205CF" w:rsidRDefault="00323FC9" w:rsidP="00323FC9">
      <w:pPr>
        <w:rPr>
          <w:rFonts w:cstheme="minorHAnsi"/>
          <w:sz w:val="22"/>
          <w:szCs w:val="22"/>
        </w:rPr>
      </w:pPr>
      <w:r w:rsidRPr="005205CF">
        <w:rPr>
          <w:rFonts w:cstheme="minorHAnsi"/>
          <w:sz w:val="22"/>
          <w:szCs w:val="22"/>
        </w:rPr>
        <w:t>The evaluation team interviewed one clinical administrator and one clinical leader at each CCBHC for a total of 24 interviews.</w:t>
      </w:r>
      <w:r>
        <w:rPr>
          <w:rFonts w:cstheme="minorHAnsi"/>
          <w:sz w:val="22"/>
          <w:szCs w:val="22"/>
        </w:rPr>
        <w:t xml:space="preserve"> In some cases</w:t>
      </w:r>
      <w:r w:rsidR="00000D4B">
        <w:rPr>
          <w:rFonts w:cstheme="minorHAnsi"/>
          <w:sz w:val="22"/>
          <w:szCs w:val="22"/>
        </w:rPr>
        <w:t>,</w:t>
      </w:r>
      <w:r>
        <w:rPr>
          <w:rFonts w:cstheme="minorHAnsi"/>
          <w:sz w:val="22"/>
          <w:szCs w:val="22"/>
        </w:rPr>
        <w:t xml:space="preserve"> these individuals brought an extra staff person with them to the interview to provide additional information.</w:t>
      </w:r>
    </w:p>
    <w:p w14:paraId="20A2E6F4" w14:textId="77777777" w:rsidR="003F2596" w:rsidRPr="005205CF" w:rsidRDefault="003F2596" w:rsidP="003F2596">
      <w:pPr>
        <w:rPr>
          <w:rFonts w:cstheme="minorHAnsi"/>
          <w:sz w:val="22"/>
          <w:szCs w:val="22"/>
        </w:rPr>
      </w:pPr>
    </w:p>
    <w:p w14:paraId="2482D32B" w14:textId="77777777" w:rsidR="003F2596" w:rsidRPr="00A17C4D" w:rsidRDefault="003F2596" w:rsidP="00A17C4D">
      <w:pPr>
        <w:spacing w:after="120"/>
        <w:rPr>
          <w:b/>
          <w:bCs/>
          <w:i/>
          <w:iCs/>
          <w:color w:val="6A7F0F"/>
          <w:highlight w:val="white"/>
        </w:rPr>
      </w:pPr>
      <w:r w:rsidRPr="00A17C4D">
        <w:rPr>
          <w:b/>
          <w:bCs/>
          <w:i/>
          <w:iCs/>
          <w:color w:val="6A7F0F"/>
          <w:highlight w:val="white"/>
        </w:rPr>
        <w:t>Limitations of Data</w:t>
      </w:r>
    </w:p>
    <w:p w14:paraId="3E819247" w14:textId="77777777" w:rsidR="00323FC9" w:rsidRPr="005205CF" w:rsidRDefault="00323FC9" w:rsidP="00323FC9">
      <w:pPr>
        <w:rPr>
          <w:rFonts w:cstheme="minorHAnsi"/>
          <w:sz w:val="22"/>
          <w:szCs w:val="22"/>
        </w:rPr>
      </w:pPr>
      <w:r w:rsidRPr="005205CF">
        <w:rPr>
          <w:rFonts w:cstheme="minorHAnsi"/>
          <w:sz w:val="22"/>
          <w:szCs w:val="22"/>
        </w:rPr>
        <w:t>These findings are limited only to the clinic leaders. The evaluation team did not interview other clinic staff. It is possible that other clinic staff may have different perceptions of the benefits and challenges of the CCBHC program and critical factors for sustainability. In addition, the clinic leader interviews were retrospective. Several years had passed since the implementation of the CCBHC program at each clinic. In some cases, due to turnover, clinic leaders interviewed were not the clinic leaders at the time the clinic became a CCBHC, resulting in gaps in knowledge; in other cases, it is possible that clinic leaders did not remember all relevant details. Finally, there is also the potential that the OHA compliance visits, scheduled during the same time period as the evaluation interviews were programmed, may have had an impact on how clinic leaders responded to the interview questions.</w:t>
      </w:r>
    </w:p>
    <w:p w14:paraId="0BD57641" w14:textId="77777777" w:rsidR="00323FC9" w:rsidRPr="005205CF" w:rsidRDefault="00323FC9" w:rsidP="00323FC9">
      <w:pPr>
        <w:rPr>
          <w:rFonts w:cstheme="minorHAnsi"/>
          <w:sz w:val="22"/>
          <w:szCs w:val="22"/>
        </w:rPr>
      </w:pPr>
    </w:p>
    <w:p w14:paraId="17264188" w14:textId="77777777" w:rsidR="00323FC9" w:rsidRPr="005205CF" w:rsidRDefault="00323FC9" w:rsidP="00323FC9">
      <w:pPr>
        <w:rPr>
          <w:rFonts w:cstheme="minorHAnsi"/>
          <w:sz w:val="22"/>
          <w:szCs w:val="22"/>
        </w:rPr>
      </w:pPr>
      <w:r w:rsidRPr="005205CF">
        <w:rPr>
          <w:rFonts w:cstheme="minorHAnsi"/>
          <w:sz w:val="22"/>
          <w:szCs w:val="22"/>
        </w:rPr>
        <w:t>Future evaluations could consider including clinic staff such as peers, care coordinators, care navigators, primary care providers, qualified mental health associates, qualified mental health professionals, and other behavioral health providers</w:t>
      </w:r>
      <w:r>
        <w:rPr>
          <w:rFonts w:cstheme="minorHAnsi"/>
          <w:sz w:val="22"/>
          <w:szCs w:val="22"/>
        </w:rPr>
        <w:t>,</w:t>
      </w:r>
      <w:r w:rsidRPr="005205CF">
        <w:rPr>
          <w:rFonts w:cstheme="minorHAnsi"/>
          <w:sz w:val="22"/>
          <w:szCs w:val="22"/>
        </w:rPr>
        <w:t xml:space="preserve"> to gain a fuller understanding of CCBHC program and services. These individuals may have a unique contribution to make about the daily operations of the clinic, as well as the challenges and opportunities in expanding and sustaining the CCBHC program.</w:t>
      </w:r>
    </w:p>
    <w:p w14:paraId="1137B282" w14:textId="77777777" w:rsidR="003F2596" w:rsidRPr="005205CF" w:rsidRDefault="003F2596" w:rsidP="003F2596">
      <w:pPr>
        <w:rPr>
          <w:rFonts w:cstheme="minorHAnsi"/>
          <w:sz w:val="22"/>
          <w:szCs w:val="22"/>
        </w:rPr>
      </w:pPr>
    </w:p>
    <w:p w14:paraId="20C7EB36" w14:textId="77777777" w:rsidR="003F2596" w:rsidRPr="00A17C4D" w:rsidRDefault="003F2596" w:rsidP="00A17C4D">
      <w:pPr>
        <w:spacing w:after="120"/>
        <w:rPr>
          <w:b/>
          <w:bCs/>
          <w:i/>
          <w:iCs/>
          <w:color w:val="6A7F0F"/>
          <w:highlight w:val="white"/>
        </w:rPr>
      </w:pPr>
      <w:r w:rsidRPr="00A17C4D">
        <w:rPr>
          <w:b/>
          <w:bCs/>
          <w:i/>
          <w:iCs/>
          <w:color w:val="6A7F0F"/>
          <w:highlight w:val="white"/>
        </w:rPr>
        <w:t>Findings</w:t>
      </w:r>
    </w:p>
    <w:p w14:paraId="50F67E99" w14:textId="53417CD5" w:rsidR="007061A7" w:rsidRPr="007061A7" w:rsidRDefault="007061A7" w:rsidP="007061A7">
      <w:pPr>
        <w:rPr>
          <w:rFonts w:cstheme="minorHAnsi"/>
          <w:sz w:val="22"/>
          <w:szCs w:val="22"/>
        </w:rPr>
      </w:pPr>
      <w:r w:rsidRPr="007061A7">
        <w:rPr>
          <w:rFonts w:cstheme="minorHAnsi"/>
          <w:sz w:val="22"/>
          <w:szCs w:val="22"/>
        </w:rPr>
        <w:t>Three primary</w:t>
      </w:r>
      <w:r w:rsidR="003F2596" w:rsidRPr="007061A7">
        <w:rPr>
          <w:rFonts w:cstheme="minorHAnsi"/>
          <w:sz w:val="22"/>
          <w:szCs w:val="22"/>
        </w:rPr>
        <w:t xml:space="preserve"> themes emerged from the interviews with clinic leaders:</w:t>
      </w:r>
      <w:r w:rsidRPr="007061A7">
        <w:rPr>
          <w:rFonts w:cstheme="minorHAnsi"/>
          <w:sz w:val="22"/>
          <w:szCs w:val="22"/>
        </w:rPr>
        <w:t xml:space="preserve"> </w:t>
      </w:r>
      <w:r>
        <w:rPr>
          <w:rFonts w:cstheme="minorHAnsi"/>
          <w:sz w:val="22"/>
          <w:szCs w:val="22"/>
        </w:rPr>
        <w:t>b</w:t>
      </w:r>
      <w:r w:rsidRPr="007061A7">
        <w:rPr>
          <w:rFonts w:cstheme="minorHAnsi"/>
          <w:sz w:val="22"/>
          <w:szCs w:val="22"/>
        </w:rPr>
        <w:t>enefits of the CCBHC program</w:t>
      </w:r>
      <w:r>
        <w:rPr>
          <w:rFonts w:cstheme="minorHAnsi"/>
          <w:sz w:val="22"/>
          <w:szCs w:val="22"/>
        </w:rPr>
        <w:t>; cultural competence; and implementation and sustainability. Subthemes are discussed for each.</w:t>
      </w:r>
    </w:p>
    <w:p w14:paraId="32376E4D" w14:textId="77777777" w:rsidR="003F2596" w:rsidRPr="005205CF" w:rsidRDefault="003F2596" w:rsidP="003F2596">
      <w:pPr>
        <w:rPr>
          <w:rFonts w:cstheme="minorHAnsi"/>
          <w:sz w:val="22"/>
          <w:szCs w:val="22"/>
        </w:rPr>
      </w:pPr>
    </w:p>
    <w:p w14:paraId="138F6162" w14:textId="257C8164" w:rsidR="003F2596" w:rsidRPr="00000D4B" w:rsidRDefault="003F2596" w:rsidP="003F2596">
      <w:pPr>
        <w:spacing w:after="120"/>
        <w:rPr>
          <w:rFonts w:cstheme="minorHAnsi"/>
          <w:b/>
          <w:bCs/>
          <w:color w:val="6A7F0F"/>
        </w:rPr>
      </w:pPr>
      <w:bookmarkStart w:id="86" w:name="_Benefits_of_CCBHC"/>
      <w:bookmarkEnd w:id="86"/>
      <w:r w:rsidRPr="00000D4B">
        <w:rPr>
          <w:rFonts w:cstheme="minorHAnsi"/>
          <w:b/>
          <w:bCs/>
          <w:color w:val="6A7F0F"/>
        </w:rPr>
        <w:t>Benefits of the CCBHC Program</w:t>
      </w:r>
    </w:p>
    <w:p w14:paraId="087BD671" w14:textId="77777777" w:rsidR="00323FC9" w:rsidRPr="005205CF" w:rsidRDefault="00323FC9" w:rsidP="00323FC9">
      <w:pPr>
        <w:rPr>
          <w:rFonts w:cstheme="minorHAnsi"/>
          <w:sz w:val="22"/>
          <w:szCs w:val="22"/>
        </w:rPr>
      </w:pPr>
      <w:r w:rsidRPr="005205CF">
        <w:rPr>
          <w:rFonts w:cstheme="minorHAnsi"/>
          <w:sz w:val="22"/>
          <w:szCs w:val="22"/>
        </w:rPr>
        <w:t>Clinic leaders reported many positive changes that have occurred as a result of the CCBHC program, including the ability to increase “outside the four walls” service delivery, more robust care coordination, expansion of staff and diversity of staff roles, shifts in organizational culture, and stronger community partnerships. These changes were largely attributed to the prospective payment system (PPS) model, which has enabled CCBHCs to be more flexible and financially stable in their operations</w:t>
      </w:r>
    </w:p>
    <w:p w14:paraId="1AA86825" w14:textId="77777777" w:rsidR="003F2596" w:rsidRPr="005205CF" w:rsidRDefault="003F2596" w:rsidP="003F2596">
      <w:pPr>
        <w:rPr>
          <w:rFonts w:cstheme="minorHAnsi"/>
          <w:sz w:val="22"/>
          <w:szCs w:val="22"/>
        </w:rPr>
      </w:pPr>
    </w:p>
    <w:p w14:paraId="49B0214B" w14:textId="77777777" w:rsidR="003F2596" w:rsidRPr="003F2596" w:rsidRDefault="003F2596" w:rsidP="003F2596">
      <w:pPr>
        <w:spacing w:after="120"/>
        <w:rPr>
          <w:b/>
          <w:bCs/>
          <w:i/>
          <w:iCs/>
          <w:color w:val="6A7F0F"/>
          <w:sz w:val="22"/>
          <w:szCs w:val="22"/>
        </w:rPr>
      </w:pPr>
      <w:bookmarkStart w:id="87" w:name="_Outside_the_four"/>
      <w:bookmarkEnd w:id="87"/>
      <w:r w:rsidRPr="003F2596">
        <w:rPr>
          <w:b/>
          <w:bCs/>
          <w:i/>
          <w:iCs/>
          <w:color w:val="6A7F0F"/>
          <w:sz w:val="22"/>
          <w:szCs w:val="22"/>
        </w:rPr>
        <w:t>“Outside the Four Walls” Service Delivery</w:t>
      </w:r>
    </w:p>
    <w:p w14:paraId="06A79125" w14:textId="77777777" w:rsidR="00323FC9" w:rsidRPr="005205CF" w:rsidRDefault="00323FC9" w:rsidP="00323FC9">
      <w:pPr>
        <w:rPr>
          <w:rFonts w:cstheme="minorHAnsi"/>
          <w:sz w:val="22"/>
          <w:szCs w:val="22"/>
        </w:rPr>
      </w:pPr>
      <w:r w:rsidRPr="005205CF">
        <w:rPr>
          <w:rFonts w:cstheme="minorHAnsi"/>
          <w:sz w:val="22"/>
          <w:szCs w:val="22"/>
        </w:rPr>
        <w:t xml:space="preserve">Many clinic leaders reported that the CCBHC program </w:t>
      </w:r>
      <w:r w:rsidRPr="005205CF">
        <w:rPr>
          <w:rFonts w:eastAsia="Calibri" w:cstheme="minorHAnsi"/>
          <w:sz w:val="22"/>
          <w:szCs w:val="22"/>
        </w:rPr>
        <w:t>provided an ability to move services “outside the four walls” and</w:t>
      </w:r>
      <w:r w:rsidRPr="005205CF">
        <w:rPr>
          <w:rFonts w:cstheme="minorHAnsi"/>
          <w:sz w:val="22"/>
          <w:szCs w:val="22"/>
        </w:rPr>
        <w:t xml:space="preserve"> thus increase access by providing low-barrier service</w:t>
      </w:r>
      <w:r>
        <w:rPr>
          <w:rFonts w:cstheme="minorHAnsi"/>
          <w:sz w:val="22"/>
          <w:szCs w:val="22"/>
        </w:rPr>
        <w:t>s</w:t>
      </w:r>
      <w:r w:rsidRPr="005205CF">
        <w:rPr>
          <w:rFonts w:cstheme="minorHAnsi"/>
          <w:sz w:val="22"/>
          <w:szCs w:val="22"/>
        </w:rPr>
        <w:t xml:space="preserve"> at diverse, non-clinic settings (such as schools, jail, DHS, or community centers). Clinic leaders highlighted that moving care outside the clinic and into the community was helpful in engaging populations who were reluctant or unable to come to the clinic due to distrust </w:t>
      </w:r>
      <w:r>
        <w:rPr>
          <w:rFonts w:cstheme="minorHAnsi"/>
          <w:sz w:val="22"/>
          <w:szCs w:val="22"/>
        </w:rPr>
        <w:t>of</w:t>
      </w:r>
      <w:r w:rsidRPr="005205CF">
        <w:rPr>
          <w:rFonts w:cstheme="minorHAnsi"/>
          <w:sz w:val="22"/>
          <w:szCs w:val="22"/>
        </w:rPr>
        <w:t xml:space="preserve"> medical systems, transportation barriers, or stigma associated with accessing behavioral health services. </w:t>
      </w:r>
    </w:p>
    <w:p w14:paraId="01586368" w14:textId="77777777" w:rsidR="003F2596" w:rsidRDefault="003F2596" w:rsidP="003F2596">
      <w:pPr>
        <w:ind w:left="720"/>
        <w:rPr>
          <w:rFonts w:cstheme="minorHAnsi"/>
          <w:i/>
          <w:sz w:val="22"/>
          <w:szCs w:val="22"/>
        </w:rPr>
      </w:pPr>
    </w:p>
    <w:p w14:paraId="074C13E7" w14:textId="79EFD8AD" w:rsidR="003F2596" w:rsidRPr="005205CF" w:rsidRDefault="003F2596" w:rsidP="003F2596">
      <w:pPr>
        <w:ind w:left="720"/>
        <w:rPr>
          <w:rFonts w:cstheme="minorHAnsi"/>
          <w:i/>
          <w:sz w:val="22"/>
          <w:szCs w:val="22"/>
        </w:rPr>
      </w:pPr>
      <w:r w:rsidRPr="005205CF">
        <w:rPr>
          <w:rFonts w:cstheme="minorHAnsi"/>
          <w:i/>
          <w:sz w:val="22"/>
          <w:szCs w:val="22"/>
        </w:rPr>
        <w:t xml:space="preserve">We do more outreach. We've always been a community-based provider and have always gone beyond the four walls [service delivery]. </w:t>
      </w:r>
      <w:r w:rsidRPr="005205CF">
        <w:rPr>
          <w:rFonts w:cstheme="minorHAnsi"/>
          <w:iCs/>
          <w:sz w:val="22"/>
          <w:szCs w:val="22"/>
        </w:rPr>
        <w:t>(Lead Administrator 13)</w:t>
      </w:r>
    </w:p>
    <w:p w14:paraId="0CA43D91" w14:textId="77777777" w:rsidR="003F2596" w:rsidRPr="005205CF" w:rsidRDefault="003F2596" w:rsidP="003F2596">
      <w:pPr>
        <w:ind w:left="720"/>
        <w:rPr>
          <w:rFonts w:cstheme="minorHAnsi"/>
          <w:sz w:val="22"/>
          <w:szCs w:val="22"/>
        </w:rPr>
      </w:pPr>
    </w:p>
    <w:p w14:paraId="13DAA371" w14:textId="77777777" w:rsidR="003F2596" w:rsidRPr="005205CF" w:rsidRDefault="003F2596" w:rsidP="003F2596">
      <w:pPr>
        <w:ind w:left="720"/>
        <w:rPr>
          <w:rFonts w:cstheme="minorHAnsi"/>
          <w:iCs/>
          <w:color w:val="000000"/>
          <w:sz w:val="22"/>
          <w:szCs w:val="22"/>
        </w:rPr>
      </w:pPr>
      <w:r w:rsidRPr="005205CF">
        <w:rPr>
          <w:rFonts w:cstheme="minorHAnsi"/>
          <w:i/>
          <w:color w:val="000000"/>
          <w:sz w:val="22"/>
          <w:szCs w:val="22"/>
        </w:rPr>
        <w:t xml:space="preserve">We've also tried to do as much as we can outside the four walls of our clinic. The PPS rate allows us to do that, be a little bit more liberal with respect to our community-based staff, and certainly ensure that we have more of those staff working out in the community where they can. </w:t>
      </w:r>
      <w:r w:rsidRPr="005205CF">
        <w:rPr>
          <w:rFonts w:cstheme="minorHAnsi"/>
          <w:iCs/>
          <w:color w:val="000000"/>
          <w:sz w:val="22"/>
          <w:szCs w:val="22"/>
        </w:rPr>
        <w:t>(Lead Administrator 12)</w:t>
      </w:r>
    </w:p>
    <w:p w14:paraId="45BCEFA1" w14:textId="77777777" w:rsidR="003F2596" w:rsidRPr="005205CF" w:rsidRDefault="003F2596" w:rsidP="003F2596">
      <w:pPr>
        <w:ind w:left="720"/>
        <w:rPr>
          <w:rFonts w:cstheme="minorHAnsi"/>
          <w:i/>
          <w:sz w:val="22"/>
          <w:szCs w:val="22"/>
        </w:rPr>
      </w:pPr>
    </w:p>
    <w:p w14:paraId="7C41DB8F" w14:textId="77777777" w:rsidR="003F2596" w:rsidRPr="005205CF" w:rsidRDefault="003F2596" w:rsidP="003F2596">
      <w:pPr>
        <w:ind w:left="720"/>
        <w:rPr>
          <w:rFonts w:cstheme="minorHAnsi"/>
          <w:i/>
          <w:sz w:val="22"/>
          <w:szCs w:val="22"/>
        </w:rPr>
      </w:pPr>
      <w:r w:rsidRPr="005205CF">
        <w:rPr>
          <w:rFonts w:cstheme="minorHAnsi"/>
          <w:i/>
          <w:sz w:val="22"/>
          <w:szCs w:val="22"/>
        </w:rPr>
        <w:t xml:space="preserve">We try not to make people come into our four walls if that's not where they're comfortable. Pre-COVID, we actually paid [for] private offices in the community through the CCBHC, where people could still see our staff, but be in a private office. They didn't have to come into the mental health clinic. We could see them somewhere else because that's hard for people, especially working folks, they don't want to be seen…the stigma is still there. </w:t>
      </w:r>
      <w:r w:rsidRPr="005205CF">
        <w:rPr>
          <w:rFonts w:cstheme="minorHAnsi"/>
          <w:iCs/>
          <w:sz w:val="22"/>
          <w:szCs w:val="22"/>
        </w:rPr>
        <w:t>(Lead Clinical 08)</w:t>
      </w:r>
    </w:p>
    <w:p w14:paraId="0591089F" w14:textId="77777777" w:rsidR="003F2596" w:rsidRPr="005205CF" w:rsidRDefault="003F2596" w:rsidP="003F2596">
      <w:pPr>
        <w:rPr>
          <w:rFonts w:cstheme="minorHAnsi"/>
          <w:b/>
          <w:i/>
          <w:sz w:val="22"/>
          <w:szCs w:val="22"/>
        </w:rPr>
      </w:pPr>
    </w:p>
    <w:p w14:paraId="28045F0E" w14:textId="77777777" w:rsidR="003F2596" w:rsidRPr="003F2596" w:rsidRDefault="003F2596" w:rsidP="003F2596">
      <w:pPr>
        <w:spacing w:after="120"/>
        <w:rPr>
          <w:b/>
          <w:bCs/>
          <w:i/>
          <w:iCs/>
          <w:color w:val="6A7F0F"/>
          <w:sz w:val="22"/>
          <w:szCs w:val="22"/>
        </w:rPr>
      </w:pPr>
      <w:r w:rsidRPr="003F2596">
        <w:rPr>
          <w:b/>
          <w:bCs/>
          <w:i/>
          <w:iCs/>
          <w:color w:val="6A7F0F"/>
          <w:sz w:val="22"/>
          <w:szCs w:val="22"/>
        </w:rPr>
        <w:t>Care Coordination</w:t>
      </w:r>
    </w:p>
    <w:p w14:paraId="04646929" w14:textId="77777777" w:rsidR="00323FC9" w:rsidRPr="005205CF" w:rsidRDefault="00323FC9" w:rsidP="00323FC9">
      <w:pPr>
        <w:rPr>
          <w:rFonts w:cstheme="minorHAnsi"/>
          <w:b/>
          <w:i/>
          <w:sz w:val="22"/>
          <w:szCs w:val="22"/>
        </w:rPr>
      </w:pPr>
      <w:r w:rsidRPr="005205CF">
        <w:rPr>
          <w:rFonts w:cstheme="minorHAnsi"/>
          <w:sz w:val="22"/>
          <w:szCs w:val="22"/>
        </w:rPr>
        <w:t>Clinic leaders reported that because care coordination is an integral component of the CCBHC model, it led to more robust care coordination. Some clinics built care coordination meetings into clinic processes in order to coordinate care with both internal and external primary care providers as well as with hospitals. Several clinics reported hiring care navigators and care coordinators to specifically assist with ensuring that service users received more coordinated care.</w:t>
      </w:r>
    </w:p>
    <w:p w14:paraId="68755FFA" w14:textId="77777777" w:rsidR="003F2596" w:rsidRDefault="003F2596" w:rsidP="003F2596">
      <w:pPr>
        <w:ind w:left="720"/>
        <w:rPr>
          <w:rFonts w:cstheme="minorHAnsi"/>
          <w:i/>
          <w:sz w:val="22"/>
          <w:szCs w:val="22"/>
        </w:rPr>
      </w:pPr>
    </w:p>
    <w:p w14:paraId="2B899463" w14:textId="3B6D3ACB" w:rsidR="003F2596" w:rsidRPr="005205CF" w:rsidRDefault="003F2596" w:rsidP="003F2596">
      <w:pPr>
        <w:ind w:left="720"/>
        <w:rPr>
          <w:rFonts w:cstheme="minorHAnsi"/>
          <w:i/>
          <w:sz w:val="22"/>
          <w:szCs w:val="22"/>
        </w:rPr>
      </w:pPr>
      <w:r w:rsidRPr="005205CF">
        <w:rPr>
          <w:rFonts w:cstheme="minorHAnsi"/>
          <w:i/>
          <w:sz w:val="22"/>
          <w:szCs w:val="22"/>
        </w:rPr>
        <w:t xml:space="preserve">I think that that's one of the core pieces is the care coordination because that doesn't exist in community mental health programs. Or at least there's not really a funding source to cover that expense. The fact that the CCBHC is funded the way it is through the PPS model that allows us to have those additional ancillary things that make a difference for the client that help them progress in services. And it's all part of them getting well versus a contract that says well, no, this is what they get for that. It's different. </w:t>
      </w:r>
      <w:r w:rsidRPr="001271ED">
        <w:rPr>
          <w:rFonts w:cstheme="minorHAnsi"/>
          <w:iCs/>
          <w:sz w:val="22"/>
          <w:szCs w:val="22"/>
        </w:rPr>
        <w:t>(Lead Administrator 04)</w:t>
      </w:r>
    </w:p>
    <w:p w14:paraId="580E63FE" w14:textId="77777777" w:rsidR="003F2596" w:rsidRPr="005205CF" w:rsidRDefault="003F2596" w:rsidP="003F2596">
      <w:pPr>
        <w:ind w:left="720"/>
        <w:rPr>
          <w:rFonts w:cstheme="minorHAnsi"/>
          <w:i/>
          <w:sz w:val="22"/>
          <w:szCs w:val="22"/>
        </w:rPr>
      </w:pPr>
    </w:p>
    <w:p w14:paraId="3B1EF2CC" w14:textId="77777777" w:rsidR="003F2596" w:rsidRPr="005205CF" w:rsidRDefault="003F2596" w:rsidP="003F2596">
      <w:pPr>
        <w:ind w:left="720"/>
        <w:rPr>
          <w:rFonts w:cstheme="minorHAnsi"/>
          <w:i/>
          <w:sz w:val="22"/>
          <w:szCs w:val="22"/>
        </w:rPr>
      </w:pPr>
      <w:r w:rsidRPr="005205CF">
        <w:rPr>
          <w:rFonts w:cstheme="minorHAnsi"/>
          <w:i/>
          <w:sz w:val="22"/>
          <w:szCs w:val="22"/>
        </w:rPr>
        <w:t xml:space="preserve">We really intentionally redid how we delivered service. We have multidisciplinary team-based huddles every day where we have all the different clinic programs in a huddle together, going through who was in the ED [emergency department] that night, who's inpatient that day, who's at risk, where do we need to do a warm handoff, who's fallen through the cracks. </w:t>
      </w:r>
      <w:r w:rsidRPr="005205CF">
        <w:rPr>
          <w:rFonts w:cstheme="minorHAnsi"/>
          <w:iCs/>
          <w:sz w:val="22"/>
          <w:szCs w:val="22"/>
        </w:rPr>
        <w:t>(Lead Administrator 13)</w:t>
      </w:r>
    </w:p>
    <w:p w14:paraId="2D5548B0" w14:textId="77777777" w:rsidR="003F2596" w:rsidRPr="005205CF" w:rsidRDefault="003F2596" w:rsidP="003F2596">
      <w:pPr>
        <w:ind w:left="720"/>
        <w:rPr>
          <w:rFonts w:cstheme="minorHAnsi"/>
          <w:i/>
          <w:sz w:val="22"/>
          <w:szCs w:val="22"/>
        </w:rPr>
      </w:pPr>
    </w:p>
    <w:p w14:paraId="3BD253D7" w14:textId="77777777" w:rsidR="003F2596" w:rsidRPr="005205CF" w:rsidRDefault="003F2596" w:rsidP="003F2596">
      <w:pPr>
        <w:ind w:left="720"/>
        <w:rPr>
          <w:rFonts w:cstheme="minorHAnsi"/>
          <w:i/>
          <w:sz w:val="22"/>
          <w:szCs w:val="22"/>
        </w:rPr>
      </w:pPr>
      <w:r w:rsidRPr="005205CF">
        <w:rPr>
          <w:rFonts w:cstheme="minorHAnsi"/>
          <w:i/>
          <w:sz w:val="22"/>
          <w:szCs w:val="22"/>
        </w:rPr>
        <w:t xml:space="preserve">I think that one of the biggest benefits CCBHC has really give us the opportunity to do more integration across our own CCBHC programs, as well as with primary care and physical health and create roles and opportunities and structures. We have what we call site-based huddles. Everybody sits down from more interservice referrals and coordination. I think that is one of the big benefits I think we derived from CCBHC. </w:t>
      </w:r>
      <w:r w:rsidRPr="005205CF">
        <w:rPr>
          <w:rFonts w:cstheme="minorHAnsi"/>
          <w:iCs/>
          <w:sz w:val="22"/>
          <w:szCs w:val="22"/>
        </w:rPr>
        <w:t>(Lead Clinical 09)</w:t>
      </w:r>
    </w:p>
    <w:p w14:paraId="0EE73906" w14:textId="77777777" w:rsidR="003F2596" w:rsidRPr="005205CF" w:rsidRDefault="003F2596" w:rsidP="003F2596">
      <w:pPr>
        <w:ind w:left="720"/>
        <w:rPr>
          <w:rFonts w:cstheme="minorHAnsi"/>
          <w:i/>
          <w:sz w:val="22"/>
          <w:szCs w:val="22"/>
        </w:rPr>
      </w:pPr>
    </w:p>
    <w:p w14:paraId="276F07C2" w14:textId="77777777" w:rsidR="00CB5F47" w:rsidRDefault="00CB5F47">
      <w:pPr>
        <w:rPr>
          <w:b/>
          <w:bCs/>
          <w:i/>
          <w:iCs/>
          <w:color w:val="6A7F0F"/>
          <w:sz w:val="22"/>
          <w:szCs w:val="22"/>
        </w:rPr>
      </w:pPr>
      <w:bookmarkStart w:id="88" w:name="_Expansion_of_staff"/>
      <w:bookmarkEnd w:id="88"/>
      <w:r>
        <w:rPr>
          <w:b/>
          <w:bCs/>
          <w:i/>
          <w:iCs/>
          <w:color w:val="6A7F0F"/>
          <w:sz w:val="22"/>
          <w:szCs w:val="22"/>
        </w:rPr>
        <w:br w:type="page"/>
      </w:r>
    </w:p>
    <w:p w14:paraId="57834D75" w14:textId="2B4F9760" w:rsidR="003F2596" w:rsidRPr="003F2596" w:rsidRDefault="003F2596" w:rsidP="003F2596">
      <w:pPr>
        <w:spacing w:after="120"/>
        <w:rPr>
          <w:b/>
          <w:bCs/>
          <w:i/>
          <w:iCs/>
          <w:color w:val="6A7F0F"/>
          <w:sz w:val="22"/>
          <w:szCs w:val="22"/>
        </w:rPr>
      </w:pPr>
      <w:r w:rsidRPr="003F2596">
        <w:rPr>
          <w:b/>
          <w:bCs/>
          <w:i/>
          <w:iCs/>
          <w:color w:val="6A7F0F"/>
          <w:sz w:val="22"/>
          <w:szCs w:val="22"/>
        </w:rPr>
        <w:t>Expansion of Staff and Diversity of Staff Roles</w:t>
      </w:r>
    </w:p>
    <w:p w14:paraId="21A0F357" w14:textId="77777777" w:rsidR="00323FC9" w:rsidRPr="005205CF" w:rsidRDefault="00323FC9" w:rsidP="00323FC9">
      <w:pPr>
        <w:rPr>
          <w:rFonts w:cstheme="minorHAnsi"/>
          <w:sz w:val="22"/>
          <w:szCs w:val="22"/>
        </w:rPr>
      </w:pPr>
      <w:r w:rsidRPr="005205CF">
        <w:rPr>
          <w:rFonts w:cstheme="minorHAnsi"/>
          <w:sz w:val="22"/>
          <w:szCs w:val="22"/>
        </w:rPr>
        <w:t xml:space="preserve">CCBHCs hired additional staff and diversified staff roles. Specifically, many clinic leaders reported that they substantially increased their peer workforce and added more qualified mental health professionals (QMHP) and qualified mental health associates (QMHA). The quantity and types of staff hired varied across CCBHC sites, and included peers, QMHAs (bachelor’s level), QMHPs (licensed medical practitioners), care coordinators, care navigators, case managers, data analysts, registered nurses, nurse practitioners, community health workers, medical assistants, and primary care physicians.  </w:t>
      </w:r>
    </w:p>
    <w:p w14:paraId="5D986BD2" w14:textId="77777777" w:rsidR="003F2596" w:rsidRDefault="003F2596" w:rsidP="003F2596">
      <w:pPr>
        <w:ind w:left="720"/>
        <w:rPr>
          <w:rFonts w:cstheme="minorHAnsi"/>
          <w:i/>
          <w:sz w:val="22"/>
          <w:szCs w:val="22"/>
        </w:rPr>
      </w:pPr>
    </w:p>
    <w:p w14:paraId="0FF0B888" w14:textId="0C316265" w:rsidR="003F2596" w:rsidRPr="005205CF" w:rsidRDefault="003F2596" w:rsidP="003F2596">
      <w:pPr>
        <w:ind w:left="720"/>
        <w:rPr>
          <w:rFonts w:cstheme="minorHAnsi"/>
          <w:iCs/>
          <w:sz w:val="22"/>
          <w:szCs w:val="22"/>
        </w:rPr>
      </w:pPr>
      <w:r w:rsidRPr="005205CF">
        <w:rPr>
          <w:rFonts w:cstheme="minorHAnsi"/>
          <w:i/>
          <w:sz w:val="22"/>
          <w:szCs w:val="22"/>
        </w:rPr>
        <w:t xml:space="preserve">[The CCHBC] changed our workforce. We added nurses, we added care coordinators, QMHAs, and peer support specialists significantly. So, really to round out treatment teams to make sure they were multidisciplinary, able to do team-based, complex community-based care. </w:t>
      </w:r>
      <w:r w:rsidRPr="005205CF">
        <w:rPr>
          <w:rFonts w:cstheme="minorHAnsi"/>
          <w:iCs/>
          <w:sz w:val="22"/>
          <w:szCs w:val="22"/>
        </w:rPr>
        <w:t>(Lead Administrator 09)</w:t>
      </w:r>
    </w:p>
    <w:p w14:paraId="20E401A4" w14:textId="77777777" w:rsidR="003F2596" w:rsidRPr="005205CF" w:rsidRDefault="003F2596" w:rsidP="003F2596">
      <w:pPr>
        <w:ind w:left="720"/>
        <w:rPr>
          <w:rFonts w:cstheme="minorHAnsi"/>
          <w:i/>
          <w:sz w:val="22"/>
          <w:szCs w:val="22"/>
        </w:rPr>
      </w:pPr>
    </w:p>
    <w:p w14:paraId="661FA7F3" w14:textId="77777777" w:rsidR="003F2596" w:rsidRPr="005205CF" w:rsidRDefault="003F2596" w:rsidP="003F2596">
      <w:pPr>
        <w:ind w:left="720"/>
        <w:rPr>
          <w:rFonts w:cstheme="minorHAnsi"/>
          <w:color w:val="000000"/>
          <w:sz w:val="22"/>
          <w:szCs w:val="22"/>
        </w:rPr>
      </w:pPr>
      <w:r w:rsidRPr="005205CF">
        <w:rPr>
          <w:rFonts w:cstheme="minorHAnsi"/>
          <w:i/>
          <w:sz w:val="22"/>
          <w:szCs w:val="22"/>
        </w:rPr>
        <w:t xml:space="preserve">The addition of MAs, we call them our integrated care team, so medical assistance, LPNs. So medical professionals, that'd be again one of those snapshot qualitative differences you would see. Then they're also engaged in the assessment process. So you would see your drug and alcohol counselor, but prior to, you'd see one of our MAs who would take your blood pressure and your height and weight and ask you about chronic health conditions. Peers. Yep. Peers and then our data. We had a data analyst that came on board to help us wrangle the information out of our EHR. </w:t>
      </w:r>
      <w:r w:rsidRPr="005205CF">
        <w:rPr>
          <w:rFonts w:cstheme="minorHAnsi"/>
          <w:iCs/>
          <w:sz w:val="22"/>
          <w:szCs w:val="22"/>
        </w:rPr>
        <w:t>(Lead Administrator 07)</w:t>
      </w:r>
    </w:p>
    <w:p w14:paraId="677AF808" w14:textId="77777777" w:rsidR="003F2596" w:rsidRPr="005205CF" w:rsidRDefault="003F2596" w:rsidP="003F2596">
      <w:pPr>
        <w:ind w:left="720"/>
        <w:rPr>
          <w:rFonts w:cstheme="minorHAnsi"/>
          <w:i/>
          <w:sz w:val="22"/>
          <w:szCs w:val="22"/>
        </w:rPr>
      </w:pPr>
    </w:p>
    <w:p w14:paraId="738A342D" w14:textId="77777777" w:rsidR="003F2596" w:rsidRPr="005205CF" w:rsidRDefault="003F2596" w:rsidP="003F2596">
      <w:pPr>
        <w:ind w:left="720"/>
        <w:rPr>
          <w:rFonts w:cstheme="minorHAnsi"/>
          <w:i/>
          <w:color w:val="000000"/>
          <w:sz w:val="22"/>
          <w:szCs w:val="22"/>
        </w:rPr>
      </w:pPr>
      <w:r w:rsidRPr="005205CF">
        <w:rPr>
          <w:rFonts w:eastAsia="Calibri" w:cstheme="minorHAnsi"/>
          <w:i/>
          <w:color w:val="000000"/>
          <w:sz w:val="22"/>
          <w:szCs w:val="22"/>
        </w:rPr>
        <w:t>We added peer support QMHAs more, and I think it really helped people work at the top of their licensure. I think it can really help with being able to, as you know, right now in behavioral health, the workforce is few and far between, and being able to have people work at the top of their licensure is really important. Being able to have more appropriate services and a lot of times, peer support is going to be a much more effective intervention than seeing a psychologist…</w:t>
      </w:r>
      <w:r w:rsidRPr="005205CF">
        <w:rPr>
          <w:rFonts w:cstheme="minorHAnsi"/>
          <w:i/>
          <w:color w:val="000000"/>
          <w:sz w:val="22"/>
          <w:szCs w:val="22"/>
        </w:rPr>
        <w:t xml:space="preserve"> We've also been able to with our CCBHC…hire an application assister, and we actually have certified medical interpreters. So we're able to take care of a more diverse population.</w:t>
      </w:r>
      <w:r w:rsidRPr="005205CF">
        <w:rPr>
          <w:rFonts w:eastAsia="Calibri" w:cstheme="minorHAnsi"/>
          <w:i/>
          <w:color w:val="000000"/>
          <w:sz w:val="22"/>
          <w:szCs w:val="22"/>
        </w:rPr>
        <w:t xml:space="preserve"> </w:t>
      </w:r>
      <w:r w:rsidRPr="005205CF">
        <w:rPr>
          <w:rFonts w:eastAsia="Calibri" w:cstheme="minorHAnsi"/>
          <w:iCs/>
          <w:color w:val="000000"/>
          <w:sz w:val="22"/>
          <w:szCs w:val="22"/>
        </w:rPr>
        <w:t>(Lead Administrator</w:t>
      </w:r>
      <w:r w:rsidRPr="005205CF">
        <w:rPr>
          <w:rFonts w:cstheme="minorHAnsi"/>
          <w:iCs/>
          <w:color w:val="000000"/>
          <w:sz w:val="22"/>
          <w:szCs w:val="22"/>
        </w:rPr>
        <w:t xml:space="preserve"> 08)</w:t>
      </w:r>
    </w:p>
    <w:p w14:paraId="1800AA6C" w14:textId="77777777" w:rsidR="003F2596" w:rsidRPr="005205CF" w:rsidRDefault="003F2596" w:rsidP="003F2596">
      <w:pPr>
        <w:ind w:left="720"/>
        <w:rPr>
          <w:rFonts w:cstheme="minorHAnsi"/>
          <w:color w:val="000000"/>
          <w:sz w:val="22"/>
          <w:szCs w:val="22"/>
        </w:rPr>
      </w:pPr>
    </w:p>
    <w:p w14:paraId="6C969F50" w14:textId="77777777" w:rsidR="003F2596" w:rsidRPr="003F2596" w:rsidRDefault="003F2596" w:rsidP="003F2596">
      <w:pPr>
        <w:spacing w:after="120"/>
        <w:rPr>
          <w:b/>
          <w:bCs/>
          <w:i/>
          <w:iCs/>
          <w:color w:val="6A7F0F"/>
          <w:sz w:val="22"/>
          <w:szCs w:val="22"/>
        </w:rPr>
      </w:pPr>
      <w:bookmarkStart w:id="89" w:name="_Cultural_transformation"/>
      <w:bookmarkStart w:id="90" w:name="_Shifts_in_organizational"/>
      <w:bookmarkEnd w:id="89"/>
      <w:bookmarkEnd w:id="90"/>
      <w:r w:rsidRPr="003F2596">
        <w:rPr>
          <w:b/>
          <w:bCs/>
          <w:i/>
          <w:iCs/>
          <w:color w:val="6A7F0F"/>
          <w:sz w:val="22"/>
          <w:szCs w:val="22"/>
        </w:rPr>
        <w:t>Shifts in Organizational Culture</w:t>
      </w:r>
    </w:p>
    <w:p w14:paraId="07178744" w14:textId="77777777" w:rsidR="00323FC9" w:rsidRPr="005205CF" w:rsidRDefault="00323FC9" w:rsidP="00323FC9">
      <w:pPr>
        <w:rPr>
          <w:rFonts w:cstheme="minorHAnsi"/>
          <w:sz w:val="22"/>
          <w:szCs w:val="22"/>
        </w:rPr>
      </w:pPr>
      <w:r w:rsidRPr="005205CF">
        <w:rPr>
          <w:rFonts w:cstheme="minorHAnsi"/>
          <w:sz w:val="22"/>
          <w:szCs w:val="22"/>
        </w:rPr>
        <w:t>According to clinic leaders, the CCBHC model facilitated a shift in organizational culture. This cultur</w:t>
      </w:r>
      <w:r>
        <w:rPr>
          <w:rFonts w:cstheme="minorHAnsi"/>
          <w:sz w:val="22"/>
          <w:szCs w:val="22"/>
        </w:rPr>
        <w:t>al</w:t>
      </w:r>
      <w:r w:rsidRPr="005205CF">
        <w:rPr>
          <w:rFonts w:cstheme="minorHAnsi"/>
          <w:sz w:val="22"/>
          <w:szCs w:val="22"/>
        </w:rPr>
        <w:t xml:space="preserve"> shift was necessary in order to design and deliver services in new ways to increase access and engage more service users. Clinic leaders noted the importance of managing change, highlighting the need for staff buy-in, the importance of explaining the “why and how” of the changes, and the need to focus on long-term goals</w:t>
      </w:r>
      <w:r>
        <w:rPr>
          <w:rFonts w:cstheme="minorHAnsi"/>
          <w:sz w:val="22"/>
          <w:szCs w:val="22"/>
        </w:rPr>
        <w:t xml:space="preserve"> and </w:t>
      </w:r>
      <w:r w:rsidRPr="005205CF">
        <w:rPr>
          <w:rFonts w:cstheme="minorHAnsi"/>
          <w:sz w:val="22"/>
          <w:szCs w:val="22"/>
        </w:rPr>
        <w:t xml:space="preserve">outcomes of the program. </w:t>
      </w:r>
    </w:p>
    <w:p w14:paraId="25855143" w14:textId="77777777" w:rsidR="003F2596" w:rsidRDefault="003F2596" w:rsidP="003F2596">
      <w:pPr>
        <w:ind w:left="720"/>
        <w:rPr>
          <w:rFonts w:cstheme="minorHAnsi"/>
          <w:i/>
          <w:sz w:val="22"/>
          <w:szCs w:val="22"/>
        </w:rPr>
      </w:pPr>
    </w:p>
    <w:p w14:paraId="3DB275CB" w14:textId="60D6A503" w:rsidR="003F2596" w:rsidRPr="005205CF" w:rsidRDefault="003F2596" w:rsidP="003F2596">
      <w:pPr>
        <w:ind w:left="720"/>
        <w:rPr>
          <w:rFonts w:cstheme="minorHAnsi"/>
          <w:i/>
          <w:color w:val="000000"/>
          <w:sz w:val="22"/>
          <w:szCs w:val="22"/>
        </w:rPr>
      </w:pPr>
      <w:r w:rsidRPr="005205CF">
        <w:rPr>
          <w:rFonts w:cstheme="minorHAnsi"/>
          <w:i/>
          <w:sz w:val="22"/>
          <w:szCs w:val="22"/>
        </w:rPr>
        <w:t>In addition to just meeting requirements, this really required a full-scale culture change at our agency…working on not just the what we're going to do, but the why and the how, and then helping to try to connect that to long-term outcomes that you're not going to see in the first year or two or five or seven. I think that's one of the hardest things with CCBHC is we don't necessarily see the outcomes in a tangible way right now.</w:t>
      </w:r>
      <w:r w:rsidRPr="005205CF">
        <w:rPr>
          <w:rFonts w:cstheme="minorHAnsi"/>
          <w:i/>
          <w:color w:val="000000"/>
          <w:sz w:val="22"/>
          <w:szCs w:val="22"/>
        </w:rPr>
        <w:t xml:space="preserve"> </w:t>
      </w:r>
      <w:r w:rsidRPr="005205CF">
        <w:rPr>
          <w:rFonts w:cstheme="minorHAnsi"/>
          <w:iCs/>
          <w:color w:val="000000"/>
          <w:sz w:val="22"/>
          <w:szCs w:val="22"/>
        </w:rPr>
        <w:t>(Lead Clinical 07)</w:t>
      </w:r>
    </w:p>
    <w:p w14:paraId="025DD44D" w14:textId="77777777" w:rsidR="003F2596" w:rsidRPr="005205CF" w:rsidRDefault="003F2596" w:rsidP="003F2596">
      <w:pPr>
        <w:ind w:left="720"/>
        <w:rPr>
          <w:rFonts w:cstheme="minorHAnsi"/>
          <w:i/>
          <w:color w:val="000000"/>
          <w:sz w:val="22"/>
          <w:szCs w:val="22"/>
        </w:rPr>
      </w:pPr>
    </w:p>
    <w:p w14:paraId="64A6427F" w14:textId="77777777" w:rsidR="003F2596" w:rsidRPr="005205CF" w:rsidRDefault="003F2596" w:rsidP="003F2596">
      <w:pPr>
        <w:ind w:left="720"/>
        <w:rPr>
          <w:rFonts w:cstheme="minorHAnsi"/>
          <w:iCs/>
          <w:color w:val="000000"/>
          <w:sz w:val="22"/>
          <w:szCs w:val="22"/>
        </w:rPr>
      </w:pPr>
      <w:r w:rsidRPr="005205CF">
        <w:rPr>
          <w:rFonts w:eastAsia="Calibri" w:cstheme="minorHAnsi"/>
          <w:i/>
          <w:color w:val="000000"/>
          <w:sz w:val="22"/>
          <w:szCs w:val="22"/>
        </w:rPr>
        <w:t xml:space="preserve">Culturally, there was a shift from, </w:t>
      </w:r>
      <w:sdt>
        <w:sdtPr>
          <w:rPr>
            <w:rFonts w:cstheme="minorHAnsi"/>
            <w:i/>
            <w:sz w:val="22"/>
            <w:szCs w:val="22"/>
          </w:rPr>
          <w:tag w:val="goog_rdk_0"/>
          <w:id w:val="1684855555"/>
        </w:sdtPr>
        <w:sdtEndPr/>
        <w:sdtContent/>
      </w:sdt>
      <w:r w:rsidRPr="005205CF">
        <w:rPr>
          <w:rFonts w:eastAsia="Calibri" w:cstheme="minorHAnsi"/>
          <w:i/>
          <w:color w:val="000000"/>
          <w:sz w:val="22"/>
          <w:szCs w:val="22"/>
        </w:rPr>
        <w:t xml:space="preserve">"Treat the clients who are compliant and show up for appointments" to "Figure out how to reach the clients who don't, because they're actually the ones showing up in the ED, jail, and in the homeless camp that we should be trying to reach." So, shifting our service models to more of an engagement model. And we're not there yet. I mean, we're farther along, but we work on that every year, every month. Like, "Don't tell me about an attendance contract. Tell me what creative things you're doing to engage this person." </w:t>
      </w:r>
      <w:r w:rsidRPr="005205CF">
        <w:rPr>
          <w:rFonts w:eastAsia="Calibri" w:cstheme="minorHAnsi"/>
          <w:iCs/>
          <w:color w:val="000000"/>
          <w:sz w:val="22"/>
          <w:szCs w:val="22"/>
        </w:rPr>
        <w:t>(Lead Administrator</w:t>
      </w:r>
      <w:r w:rsidRPr="005205CF">
        <w:rPr>
          <w:rFonts w:cstheme="minorHAnsi"/>
          <w:iCs/>
          <w:color w:val="000000"/>
          <w:sz w:val="22"/>
          <w:szCs w:val="22"/>
        </w:rPr>
        <w:t xml:space="preserve"> 09)</w:t>
      </w:r>
    </w:p>
    <w:p w14:paraId="5951E8A4" w14:textId="77777777" w:rsidR="003F2596" w:rsidRPr="005205CF" w:rsidRDefault="003F2596" w:rsidP="003F2596">
      <w:pPr>
        <w:ind w:left="720"/>
        <w:rPr>
          <w:rFonts w:cstheme="minorHAnsi"/>
          <w:i/>
          <w:color w:val="000000"/>
          <w:sz w:val="22"/>
          <w:szCs w:val="22"/>
        </w:rPr>
      </w:pPr>
    </w:p>
    <w:p w14:paraId="3656B8A4" w14:textId="77777777" w:rsidR="003F2596" w:rsidRPr="005205CF" w:rsidRDefault="003F2596" w:rsidP="003F2596">
      <w:pPr>
        <w:pStyle w:val="NormalWeb"/>
        <w:spacing w:before="0" w:beforeAutospacing="0" w:after="0" w:afterAutospacing="0"/>
        <w:ind w:left="720"/>
        <w:rPr>
          <w:rFonts w:asciiTheme="minorHAnsi" w:hAnsiTheme="minorHAnsi" w:cstheme="minorHAnsi"/>
          <w:i/>
          <w:sz w:val="22"/>
          <w:szCs w:val="22"/>
        </w:rPr>
      </w:pPr>
      <w:r w:rsidRPr="000E7BAC">
        <w:rPr>
          <w:rFonts w:asciiTheme="minorHAnsi" w:hAnsiTheme="minorHAnsi" w:cstheme="minorHAnsi"/>
          <w:i/>
          <w:color w:val="000000"/>
          <w:sz w:val="22"/>
          <w:szCs w:val="22"/>
        </w:rPr>
        <w:t>In all honesty, there's a broader culture of getting people what they need because they need it, as opposed to, how are we going to pay for this? Or we don't have the money for that. Serving more people and getting them the services that they need. And the care coordination and the transition planning and the follow-up and the warm handoffs, all the stuff that CCBHC is big on, all of which a lot of times are not funded services</w:t>
      </w:r>
      <w:r w:rsidRPr="000E7BAC">
        <w:rPr>
          <w:rFonts w:asciiTheme="minorHAnsi" w:hAnsiTheme="minorHAnsi" w:cstheme="minorHAnsi"/>
          <w:iCs/>
          <w:color w:val="000000"/>
          <w:sz w:val="22"/>
          <w:szCs w:val="22"/>
        </w:rPr>
        <w:t>. (Lead Administrator 10)</w:t>
      </w:r>
    </w:p>
    <w:p w14:paraId="37F635FC" w14:textId="77777777" w:rsidR="003F2596" w:rsidRPr="005205CF" w:rsidRDefault="003F2596" w:rsidP="003F2596">
      <w:pPr>
        <w:rPr>
          <w:rFonts w:cstheme="minorHAnsi"/>
          <w:i/>
          <w:sz w:val="22"/>
          <w:szCs w:val="22"/>
        </w:rPr>
      </w:pPr>
    </w:p>
    <w:p w14:paraId="7B81C62E" w14:textId="77777777" w:rsidR="003F2596" w:rsidRPr="003F2596" w:rsidRDefault="003F2596" w:rsidP="003F2596">
      <w:pPr>
        <w:spacing w:after="120"/>
        <w:rPr>
          <w:b/>
          <w:bCs/>
          <w:i/>
          <w:iCs/>
          <w:color w:val="6A7F0F"/>
          <w:sz w:val="22"/>
          <w:szCs w:val="22"/>
        </w:rPr>
      </w:pPr>
      <w:bookmarkStart w:id="91" w:name="_Stronger_community_partnerships"/>
      <w:bookmarkEnd w:id="91"/>
      <w:r w:rsidRPr="003F2596">
        <w:rPr>
          <w:b/>
          <w:bCs/>
          <w:i/>
          <w:iCs/>
          <w:color w:val="6A7F0F"/>
          <w:sz w:val="22"/>
          <w:szCs w:val="22"/>
        </w:rPr>
        <w:t>Strengthened Community Partnerships</w:t>
      </w:r>
    </w:p>
    <w:p w14:paraId="57E443BE" w14:textId="77777777" w:rsidR="00323FC9" w:rsidRPr="005205CF" w:rsidRDefault="00323FC9" w:rsidP="00323FC9">
      <w:pPr>
        <w:rPr>
          <w:rFonts w:cstheme="minorHAnsi"/>
          <w:sz w:val="22"/>
          <w:szCs w:val="22"/>
          <w:lang w:bidi="th-TH"/>
        </w:rPr>
      </w:pPr>
      <w:r w:rsidRPr="005205CF">
        <w:rPr>
          <w:rFonts w:cstheme="minorHAnsi"/>
          <w:sz w:val="22"/>
          <w:szCs w:val="22"/>
          <w:lang w:bidi="th-TH"/>
        </w:rPr>
        <w:t xml:space="preserve">While clinic leaders reported having a network of community partners prior to CCBHC implementation, they also indicated that the CCBHC pushed them to prioritize and improve their community partnerships. CCBHCs established relationships with a variety of community partners, including primary care partners, coordinated care organizations (CCO), public health, emergency departments, other health care providers, K-12 schools, law enforcement, shelters, social service organizations, and other community-based organizations. Clinic leaders </w:t>
      </w:r>
      <w:r>
        <w:rPr>
          <w:rFonts w:cstheme="minorHAnsi"/>
          <w:sz w:val="22"/>
          <w:szCs w:val="22"/>
          <w:lang w:bidi="th-TH"/>
        </w:rPr>
        <w:t>were</w:t>
      </w:r>
      <w:r w:rsidRPr="005205CF">
        <w:rPr>
          <w:rFonts w:cstheme="minorHAnsi"/>
          <w:sz w:val="22"/>
          <w:szCs w:val="22"/>
          <w:lang w:bidi="th-TH"/>
        </w:rPr>
        <w:t xml:space="preserve"> aware of the importance of building trusting relationships with community partners.</w:t>
      </w:r>
    </w:p>
    <w:p w14:paraId="3D50D3B5" w14:textId="77777777" w:rsidR="003F2596" w:rsidRDefault="003F2596" w:rsidP="003F2596">
      <w:pPr>
        <w:ind w:left="720"/>
        <w:rPr>
          <w:rFonts w:cstheme="minorHAnsi"/>
          <w:i/>
          <w:iCs/>
          <w:sz w:val="22"/>
          <w:szCs w:val="22"/>
          <w:lang w:bidi="th-TH"/>
        </w:rPr>
      </w:pPr>
    </w:p>
    <w:p w14:paraId="6800A4FE" w14:textId="0D824944" w:rsidR="003F2596" w:rsidRPr="005205CF" w:rsidRDefault="003F2596" w:rsidP="003F2596">
      <w:pPr>
        <w:ind w:left="720"/>
        <w:rPr>
          <w:rFonts w:cstheme="minorHAnsi"/>
          <w:i/>
          <w:iCs/>
          <w:sz w:val="22"/>
          <w:szCs w:val="22"/>
          <w:lang w:bidi="th-TH"/>
        </w:rPr>
      </w:pPr>
      <w:r w:rsidRPr="005205CF">
        <w:rPr>
          <w:rFonts w:cstheme="minorHAnsi"/>
          <w:i/>
          <w:iCs/>
          <w:sz w:val="22"/>
          <w:szCs w:val="22"/>
          <w:lang w:bidi="th-TH"/>
        </w:rPr>
        <w:t xml:space="preserve">We're even better now in figuring out how we can be a catalyst with our community partners to weave in mental health. We have a really good relationship with our police department. We have a staff member now that's assigned to the police department. We participate in crisis negotiation teams… CCBHC really is the catalyst to help us, makes us go out and say, “Hey, let's get these community relationships, and try to get clients in that maybe wouldn't come into our doors.” </w:t>
      </w:r>
      <w:r w:rsidRPr="005205CF">
        <w:rPr>
          <w:rFonts w:cstheme="minorHAnsi"/>
          <w:sz w:val="22"/>
          <w:szCs w:val="22"/>
          <w:lang w:bidi="th-TH"/>
        </w:rPr>
        <w:t xml:space="preserve">(Lead </w:t>
      </w:r>
      <w:r w:rsidR="001271ED" w:rsidRPr="005205CF">
        <w:rPr>
          <w:rFonts w:cstheme="minorHAnsi"/>
          <w:sz w:val="22"/>
          <w:szCs w:val="22"/>
          <w:lang w:bidi="th-TH"/>
        </w:rPr>
        <w:t xml:space="preserve">Clinical </w:t>
      </w:r>
      <w:r w:rsidRPr="005205CF">
        <w:rPr>
          <w:rFonts w:cstheme="minorHAnsi"/>
          <w:sz w:val="22"/>
          <w:szCs w:val="22"/>
          <w:lang w:bidi="th-TH"/>
        </w:rPr>
        <w:t>08)</w:t>
      </w:r>
    </w:p>
    <w:p w14:paraId="7BC699E8" w14:textId="77777777" w:rsidR="003F2596" w:rsidRPr="005205CF" w:rsidRDefault="003F2596" w:rsidP="003F2596">
      <w:pPr>
        <w:ind w:left="720"/>
        <w:rPr>
          <w:rFonts w:cstheme="minorHAnsi"/>
          <w:i/>
          <w:iCs/>
          <w:sz w:val="22"/>
          <w:szCs w:val="22"/>
          <w:lang w:bidi="th-TH"/>
        </w:rPr>
      </w:pPr>
    </w:p>
    <w:p w14:paraId="0D0B603B" w14:textId="77777777" w:rsidR="003F2596" w:rsidRPr="005205CF" w:rsidRDefault="003F2596" w:rsidP="003F2596">
      <w:pPr>
        <w:ind w:left="720"/>
        <w:rPr>
          <w:rFonts w:cstheme="minorHAnsi"/>
          <w:i/>
          <w:iCs/>
          <w:sz w:val="22"/>
          <w:szCs w:val="22"/>
          <w:lang w:bidi="th-TH"/>
        </w:rPr>
      </w:pPr>
      <w:r w:rsidRPr="005205CF">
        <w:rPr>
          <w:rFonts w:cstheme="minorHAnsi"/>
          <w:i/>
          <w:iCs/>
          <w:sz w:val="22"/>
          <w:szCs w:val="22"/>
          <w:lang w:bidi="th-TH"/>
        </w:rPr>
        <w:t xml:space="preserve">We try to do as much as we can with respect to local partnerships. I think that's one of the ways in which we have access to those groups who may not necessarily be walking through our door… I think those organizations and those partnerships are key really to increasing our collaboration and ensuring that we're pulled in as needs arise. </w:t>
      </w:r>
      <w:r w:rsidRPr="005205CF">
        <w:rPr>
          <w:rFonts w:cstheme="minorHAnsi"/>
          <w:sz w:val="22"/>
          <w:szCs w:val="22"/>
          <w:lang w:bidi="th-TH"/>
        </w:rPr>
        <w:t>(Lead Administrator 12)</w:t>
      </w:r>
    </w:p>
    <w:p w14:paraId="08777028" w14:textId="77777777" w:rsidR="003F2596" w:rsidRPr="005205CF" w:rsidRDefault="003F2596" w:rsidP="003F2596">
      <w:pPr>
        <w:ind w:left="720"/>
        <w:rPr>
          <w:rFonts w:cstheme="minorHAnsi"/>
          <w:i/>
          <w:iCs/>
          <w:sz w:val="22"/>
          <w:szCs w:val="22"/>
          <w:lang w:bidi="th-TH"/>
        </w:rPr>
      </w:pPr>
    </w:p>
    <w:p w14:paraId="69167543" w14:textId="77777777" w:rsidR="003F2596" w:rsidRPr="005205CF" w:rsidRDefault="003F2596" w:rsidP="003F2596">
      <w:pPr>
        <w:ind w:left="720"/>
        <w:rPr>
          <w:rFonts w:cstheme="minorHAnsi"/>
          <w:i/>
          <w:iCs/>
          <w:sz w:val="22"/>
          <w:szCs w:val="22"/>
          <w:lang w:bidi="th-TH"/>
        </w:rPr>
      </w:pPr>
      <w:r w:rsidRPr="005205CF">
        <w:rPr>
          <w:rFonts w:cstheme="minorHAnsi"/>
          <w:i/>
          <w:iCs/>
          <w:sz w:val="22"/>
          <w:szCs w:val="22"/>
          <w:lang w:bidi="th-TH"/>
        </w:rPr>
        <w:t xml:space="preserve">We also have a really good relationship with law enforcement, parole and probation, and they know where we are and who we are. Also, our office is located right next to the food bank and so very easy access there. Then also the juvenile department and the veteran's office is right across the parking lot. There's a lot of easy handoffs in that respect. Let's see…we do serve the jail as well and trying to help the jail out, especially with people who become suicidal or want some behavioral health supports… We also have weekly meetings with child welfare. We also have [CBO name], which is a domestic violence shelter that we have meetings with, I believe monthly… We also have a school-based health center in [XXX High]. And so we have mental health staff staffed in there as well…we kind of have our finger on the pulse in a lot of different areas of the community. </w:t>
      </w:r>
      <w:r w:rsidRPr="005205CF">
        <w:rPr>
          <w:rFonts w:cstheme="minorHAnsi"/>
          <w:sz w:val="22"/>
          <w:szCs w:val="22"/>
          <w:lang w:bidi="th-TH"/>
        </w:rPr>
        <w:t>(Lead Clinical 01)</w:t>
      </w:r>
    </w:p>
    <w:p w14:paraId="1D9D772A" w14:textId="77777777" w:rsidR="003F2596" w:rsidRPr="005205CF" w:rsidRDefault="003F2596" w:rsidP="003F2596">
      <w:pPr>
        <w:ind w:left="720"/>
        <w:rPr>
          <w:rFonts w:cstheme="minorHAnsi"/>
          <w:i/>
          <w:iCs/>
          <w:sz w:val="22"/>
          <w:szCs w:val="22"/>
          <w:lang w:bidi="th-TH"/>
        </w:rPr>
      </w:pPr>
    </w:p>
    <w:p w14:paraId="3CF14858" w14:textId="77777777" w:rsidR="003F2596" w:rsidRPr="005205CF" w:rsidRDefault="003F2596" w:rsidP="003F2596">
      <w:pPr>
        <w:ind w:left="720"/>
        <w:rPr>
          <w:rFonts w:cstheme="minorHAnsi"/>
          <w:iCs/>
          <w:color w:val="000000"/>
          <w:sz w:val="22"/>
          <w:szCs w:val="22"/>
        </w:rPr>
      </w:pPr>
      <w:r w:rsidRPr="005205CF">
        <w:rPr>
          <w:rFonts w:eastAsia="Calibri" w:cstheme="minorHAnsi"/>
          <w:i/>
          <w:color w:val="000000"/>
          <w:sz w:val="22"/>
          <w:szCs w:val="22"/>
        </w:rPr>
        <w:t>We realize that we're more effective if we're in strong relationships with all of those community partners.</w:t>
      </w:r>
      <w:r w:rsidRPr="005205CF">
        <w:rPr>
          <w:rFonts w:cstheme="minorHAnsi"/>
          <w:color w:val="000000"/>
          <w:sz w:val="22"/>
          <w:szCs w:val="22"/>
        </w:rPr>
        <w:t xml:space="preserve"> </w:t>
      </w:r>
      <w:r w:rsidRPr="005205CF">
        <w:rPr>
          <w:rFonts w:cstheme="minorHAnsi"/>
          <w:iCs/>
          <w:color w:val="000000"/>
          <w:sz w:val="22"/>
          <w:szCs w:val="22"/>
        </w:rPr>
        <w:t>(Lead Clinical 10)</w:t>
      </w:r>
    </w:p>
    <w:p w14:paraId="05C1562B" w14:textId="77777777" w:rsidR="003F2596" w:rsidRPr="005205CF" w:rsidRDefault="003F2596" w:rsidP="003F2596">
      <w:pPr>
        <w:ind w:left="720"/>
        <w:rPr>
          <w:rFonts w:cstheme="minorHAnsi"/>
          <w:i/>
          <w:color w:val="000000"/>
          <w:sz w:val="22"/>
          <w:szCs w:val="22"/>
        </w:rPr>
      </w:pPr>
      <w:r w:rsidRPr="005205CF">
        <w:rPr>
          <w:rFonts w:eastAsia="Calibri" w:cstheme="minorHAnsi"/>
          <w:i/>
          <w:color w:val="000000"/>
          <w:sz w:val="22"/>
          <w:szCs w:val="22"/>
        </w:rPr>
        <w:t>When we do the list</w:t>
      </w:r>
      <w:r w:rsidRPr="005205CF">
        <w:rPr>
          <w:rFonts w:eastAsia="Calibri" w:cstheme="minorHAnsi"/>
          <w:i/>
          <w:sz w:val="22"/>
          <w:szCs w:val="22"/>
        </w:rPr>
        <w:t>ening</w:t>
      </w:r>
      <w:r w:rsidRPr="005205CF">
        <w:rPr>
          <w:rFonts w:eastAsia="Calibri" w:cstheme="minorHAnsi"/>
          <w:i/>
          <w:color w:val="000000"/>
          <w:sz w:val="22"/>
          <w:szCs w:val="22"/>
        </w:rPr>
        <w:t xml:space="preserve"> sessions or when we invite advocates, we [try to] create a safe environment where we don't use too much jargon and acronyms or explain w</w:t>
      </w:r>
      <w:r w:rsidRPr="005205CF">
        <w:rPr>
          <w:rFonts w:eastAsia="Calibri" w:cstheme="minorHAnsi"/>
          <w:i/>
          <w:sz w:val="22"/>
          <w:szCs w:val="22"/>
        </w:rPr>
        <w:t>hat</w:t>
      </w:r>
      <w:r w:rsidRPr="005205CF">
        <w:rPr>
          <w:rFonts w:eastAsia="Calibri" w:cstheme="minorHAnsi"/>
          <w:i/>
          <w:color w:val="000000"/>
          <w:sz w:val="22"/>
          <w:szCs w:val="22"/>
        </w:rPr>
        <w:t xml:space="preserve"> they are if we're going to use them, where we don't quickly dismiss or explain how that's not the way it's supposed to be, or that shouldn't happen or that's not actually the way we do things, but to sit with the possibility that sometimes the way we've organized things or </w:t>
      </w:r>
      <w:r w:rsidRPr="005205CF">
        <w:rPr>
          <w:rFonts w:eastAsia="Calibri" w:cstheme="minorHAnsi"/>
          <w:i/>
          <w:sz w:val="22"/>
          <w:szCs w:val="22"/>
        </w:rPr>
        <w:t xml:space="preserve">the </w:t>
      </w:r>
      <w:r w:rsidRPr="005205CF">
        <w:rPr>
          <w:rFonts w:eastAsia="Calibri" w:cstheme="minorHAnsi"/>
          <w:i/>
          <w:color w:val="000000"/>
          <w:sz w:val="22"/>
          <w:szCs w:val="22"/>
        </w:rPr>
        <w:t>top-down</w:t>
      </w:r>
      <w:r w:rsidRPr="005205CF">
        <w:rPr>
          <w:rFonts w:eastAsia="Calibri" w:cstheme="minorHAnsi"/>
          <w:i/>
          <w:sz w:val="22"/>
          <w:szCs w:val="22"/>
        </w:rPr>
        <w:t xml:space="preserve"> </w:t>
      </w:r>
      <w:r w:rsidRPr="005205CF">
        <w:rPr>
          <w:rFonts w:eastAsia="Calibri" w:cstheme="minorHAnsi"/>
          <w:i/>
          <w:color w:val="000000"/>
          <w:sz w:val="22"/>
          <w:szCs w:val="22"/>
        </w:rPr>
        <w:t>working is not the way it actually works in the community or in those private appointments or whatever. And so being open to that sort of when it's critical and constructive feedback, I think facilitates trust like, "Oh, they listen to me. They actually care."</w:t>
      </w:r>
      <w:r w:rsidRPr="005205CF">
        <w:rPr>
          <w:rFonts w:cstheme="minorHAnsi"/>
          <w:color w:val="000000"/>
          <w:sz w:val="22"/>
          <w:szCs w:val="22"/>
        </w:rPr>
        <w:t xml:space="preserve"> </w:t>
      </w:r>
      <w:r w:rsidRPr="005205CF">
        <w:rPr>
          <w:rFonts w:cstheme="minorHAnsi"/>
          <w:iCs/>
          <w:color w:val="000000"/>
          <w:sz w:val="22"/>
          <w:szCs w:val="22"/>
        </w:rPr>
        <w:t>(Lead Clinical 02)</w:t>
      </w:r>
    </w:p>
    <w:p w14:paraId="651353CF" w14:textId="77777777" w:rsidR="003F2596" w:rsidRPr="005205CF" w:rsidRDefault="003F2596" w:rsidP="003F2596">
      <w:pPr>
        <w:ind w:left="720"/>
        <w:rPr>
          <w:rFonts w:eastAsia="Calibri" w:cstheme="minorHAnsi"/>
          <w:i/>
          <w:color w:val="000000"/>
          <w:sz w:val="22"/>
          <w:szCs w:val="22"/>
        </w:rPr>
      </w:pPr>
    </w:p>
    <w:p w14:paraId="31832223" w14:textId="4735EEFC" w:rsidR="003F2596" w:rsidRPr="003F2596" w:rsidRDefault="003F2596" w:rsidP="003F2596">
      <w:pPr>
        <w:spacing w:after="120"/>
        <w:rPr>
          <w:rFonts w:cstheme="minorHAnsi"/>
          <w:b/>
          <w:bCs/>
          <w:color w:val="6A7F0F"/>
        </w:rPr>
      </w:pPr>
      <w:bookmarkStart w:id="92" w:name="_Cultural_Competency"/>
      <w:bookmarkEnd w:id="92"/>
      <w:r w:rsidRPr="003F2596">
        <w:rPr>
          <w:rFonts w:cstheme="minorHAnsi"/>
          <w:b/>
          <w:bCs/>
          <w:color w:val="6A7F0F"/>
        </w:rPr>
        <w:t>Cultural Competence</w:t>
      </w:r>
    </w:p>
    <w:p w14:paraId="28000432" w14:textId="77777777" w:rsidR="00323FC9" w:rsidRPr="005205CF" w:rsidRDefault="00323FC9" w:rsidP="00323FC9">
      <w:pPr>
        <w:rPr>
          <w:rFonts w:cstheme="minorHAnsi"/>
          <w:sz w:val="22"/>
          <w:szCs w:val="22"/>
        </w:rPr>
      </w:pPr>
      <w:r w:rsidRPr="005205CF">
        <w:rPr>
          <w:rFonts w:cstheme="minorHAnsi"/>
          <w:sz w:val="22"/>
          <w:szCs w:val="22"/>
        </w:rPr>
        <w:t>Clinic leaders recognized the importance of cultural competence in behavioral health and reported their strategies and efforts to design and implement culturally and linguistically responsive outreach and services and ensure CCBHC staff were trained in cultural competence and trauma-informed care. Across the CCBHCs, several clinic leaders recognized room for growth and indicated that improving the cultural competence of the outreach and services was a priority area for improvement.</w:t>
      </w:r>
    </w:p>
    <w:p w14:paraId="2DC4C9BA" w14:textId="77777777" w:rsidR="003F2596" w:rsidRPr="005205CF" w:rsidRDefault="003F2596" w:rsidP="003F2596">
      <w:pPr>
        <w:rPr>
          <w:rFonts w:cstheme="minorHAnsi"/>
          <w:b/>
          <w:sz w:val="22"/>
          <w:szCs w:val="22"/>
        </w:rPr>
      </w:pPr>
    </w:p>
    <w:p w14:paraId="717BA5D5" w14:textId="77777777" w:rsidR="003F2596" w:rsidRPr="000E7BAC" w:rsidRDefault="003F2596" w:rsidP="003F2596">
      <w:pPr>
        <w:spacing w:after="120"/>
        <w:rPr>
          <w:rFonts w:cstheme="minorHAnsi"/>
          <w:bCs/>
          <w:i/>
          <w:sz w:val="22"/>
          <w:szCs w:val="22"/>
        </w:rPr>
      </w:pPr>
      <w:bookmarkStart w:id="93" w:name="_Culturally_&amp;_linguistically"/>
      <w:bookmarkEnd w:id="93"/>
      <w:r w:rsidRPr="003F2596">
        <w:rPr>
          <w:b/>
          <w:bCs/>
          <w:i/>
          <w:iCs/>
          <w:color w:val="6A7F0F"/>
          <w:sz w:val="22"/>
          <w:szCs w:val="22"/>
        </w:rPr>
        <w:t>Culturally and Linguistically Responsive Outreach and Services</w:t>
      </w:r>
    </w:p>
    <w:p w14:paraId="142ABABB" w14:textId="77777777" w:rsidR="00323FC9" w:rsidRPr="005205CF" w:rsidRDefault="00323FC9" w:rsidP="00323FC9">
      <w:pPr>
        <w:rPr>
          <w:rFonts w:cstheme="minorHAnsi"/>
          <w:sz w:val="22"/>
          <w:szCs w:val="22"/>
        </w:rPr>
      </w:pPr>
      <w:r w:rsidRPr="005205CF">
        <w:rPr>
          <w:rFonts w:cstheme="minorHAnsi"/>
          <w:sz w:val="22"/>
          <w:szCs w:val="22"/>
        </w:rPr>
        <w:t>Clinic leaders reported a variety of strategies to implement culturally and linguistically responsive outreach and services, including evaluating clinic documents/websites for appropriateness for underserved populations, providing documents in Spanish as well as English, co-locating staff with community partners to facilitate access to services, diversifying board members, hosting community events or community listening sessions, and marketing/advertising to specific communities. Many clinic leaders reported more work was needed to provide culturally and linguistically responsive services.</w:t>
      </w:r>
    </w:p>
    <w:p w14:paraId="134AC13C" w14:textId="77777777" w:rsidR="00323FC9" w:rsidRDefault="00323FC9" w:rsidP="003F2596">
      <w:pPr>
        <w:ind w:left="720"/>
        <w:rPr>
          <w:rFonts w:cstheme="minorHAnsi"/>
          <w:i/>
          <w:color w:val="000000"/>
          <w:sz w:val="22"/>
          <w:szCs w:val="22"/>
        </w:rPr>
      </w:pPr>
    </w:p>
    <w:p w14:paraId="1EAFE654" w14:textId="423C02F8" w:rsidR="003F2596" w:rsidRPr="005205CF" w:rsidRDefault="003F2596" w:rsidP="003F2596">
      <w:pPr>
        <w:ind w:left="720"/>
        <w:rPr>
          <w:rFonts w:cstheme="minorHAnsi"/>
          <w:i/>
          <w:color w:val="000000"/>
          <w:sz w:val="22"/>
          <w:szCs w:val="22"/>
          <w:shd w:val="clear" w:color="auto" w:fill="FFFFFF"/>
        </w:rPr>
      </w:pPr>
      <w:r w:rsidRPr="005205CF">
        <w:rPr>
          <w:rFonts w:cstheme="minorHAnsi"/>
          <w:i/>
          <w:color w:val="000000"/>
          <w:sz w:val="22"/>
          <w:szCs w:val="22"/>
        </w:rPr>
        <w:t xml:space="preserve">I think that giving holistic care and culturally competent care will…hopefully, minimize that inequity. </w:t>
      </w:r>
      <w:r w:rsidRPr="005205CF">
        <w:rPr>
          <w:rFonts w:cstheme="minorHAnsi"/>
          <w:i/>
          <w:color w:val="000000"/>
          <w:sz w:val="22"/>
          <w:szCs w:val="22"/>
          <w:shd w:val="clear" w:color="auto" w:fill="FFFFFF"/>
        </w:rPr>
        <w:t xml:space="preserve">That is an area [with] room for improvement…most of our services are "come on in to us" and we don't go and expand and try to reach out to folks…we're working on different ways of outreach at this point, and building relationships…trying to have people located in different spots to capture underserved individuals or people who don't typically access these supports on their own” </w:t>
      </w:r>
      <w:r w:rsidRPr="005205CF">
        <w:rPr>
          <w:rFonts w:cstheme="minorHAnsi"/>
          <w:iCs/>
          <w:color w:val="000000"/>
          <w:sz w:val="22"/>
          <w:szCs w:val="22"/>
          <w:shd w:val="clear" w:color="auto" w:fill="FFFFFF"/>
        </w:rPr>
        <w:t>(Lead Clinical 11)</w:t>
      </w:r>
    </w:p>
    <w:p w14:paraId="5D23F8E2" w14:textId="77777777" w:rsidR="003F2596" w:rsidRPr="000E7BAC" w:rsidRDefault="003F2596" w:rsidP="003F2596">
      <w:pPr>
        <w:pStyle w:val="NormalWeb"/>
        <w:spacing w:before="0" w:beforeAutospacing="0" w:after="0" w:afterAutospacing="0"/>
        <w:rPr>
          <w:rFonts w:asciiTheme="minorHAnsi" w:hAnsiTheme="minorHAnsi" w:cstheme="minorHAnsi"/>
          <w:color w:val="000000"/>
          <w:sz w:val="22"/>
          <w:szCs w:val="22"/>
          <w:shd w:val="clear" w:color="auto" w:fill="FFFFFF"/>
        </w:rPr>
      </w:pPr>
    </w:p>
    <w:p w14:paraId="480FE42C" w14:textId="77777777" w:rsidR="003F2596" w:rsidRPr="005205CF" w:rsidRDefault="003F2596" w:rsidP="003F2596">
      <w:pPr>
        <w:ind w:left="720"/>
        <w:rPr>
          <w:rFonts w:cstheme="minorHAnsi"/>
          <w:iCs/>
          <w:sz w:val="22"/>
          <w:szCs w:val="22"/>
        </w:rPr>
      </w:pPr>
      <w:r w:rsidRPr="005205CF">
        <w:rPr>
          <w:rFonts w:cstheme="minorHAnsi"/>
          <w:i/>
          <w:color w:val="000000"/>
          <w:sz w:val="22"/>
          <w:szCs w:val="22"/>
        </w:rPr>
        <w:t xml:space="preserve">“I think [providing culturally relevant services] is maybe a place where we could do better, where we have the box checked. But we’re not fully meeting the spirit of CCBHC in the kind of really identifying resources for clients.” </w:t>
      </w:r>
      <w:r w:rsidRPr="005205CF">
        <w:rPr>
          <w:rFonts w:cstheme="minorHAnsi"/>
          <w:iCs/>
          <w:color w:val="000000"/>
          <w:sz w:val="22"/>
          <w:szCs w:val="22"/>
        </w:rPr>
        <w:t>(Lead Administrator 06)</w:t>
      </w:r>
    </w:p>
    <w:p w14:paraId="24B13F4E" w14:textId="77777777" w:rsidR="003F2596" w:rsidRPr="005205CF" w:rsidRDefault="003F2596" w:rsidP="003F2596">
      <w:pPr>
        <w:rPr>
          <w:rFonts w:cstheme="minorHAnsi"/>
          <w:sz w:val="22"/>
          <w:szCs w:val="22"/>
        </w:rPr>
      </w:pPr>
    </w:p>
    <w:p w14:paraId="3ED66C93" w14:textId="77777777" w:rsidR="003F2596" w:rsidRPr="005205CF" w:rsidRDefault="003F2596" w:rsidP="003F2596">
      <w:pPr>
        <w:ind w:left="720"/>
        <w:rPr>
          <w:rFonts w:cstheme="minorHAnsi"/>
          <w:i/>
          <w:color w:val="000000"/>
          <w:sz w:val="22"/>
          <w:szCs w:val="22"/>
        </w:rPr>
      </w:pPr>
      <w:r w:rsidRPr="005205CF">
        <w:rPr>
          <w:rFonts w:cstheme="minorHAnsi"/>
          <w:i/>
          <w:color w:val="000000"/>
          <w:sz w:val="22"/>
          <w:szCs w:val="22"/>
        </w:rPr>
        <w:t xml:space="preserve">Equity of access in language services is still a huge need…we meet the bare minimum with interpretation. We've struggled with that even just on the hiring, how much incentive can we give for bilingual-bicultural staff? Because they often end up with equal or higher workloads too.           </w:t>
      </w:r>
      <w:r w:rsidRPr="005205CF">
        <w:rPr>
          <w:rFonts w:cstheme="minorHAnsi"/>
          <w:iCs/>
          <w:color w:val="000000"/>
          <w:sz w:val="22"/>
          <w:szCs w:val="22"/>
        </w:rPr>
        <w:t>(Lead Clinical 02)</w:t>
      </w:r>
    </w:p>
    <w:p w14:paraId="43102A0E" w14:textId="77777777" w:rsidR="003F2596" w:rsidRPr="005205CF" w:rsidRDefault="003F2596" w:rsidP="003F2596">
      <w:pPr>
        <w:ind w:left="720"/>
        <w:rPr>
          <w:rFonts w:cstheme="minorHAnsi"/>
          <w:i/>
          <w:sz w:val="22"/>
          <w:szCs w:val="22"/>
        </w:rPr>
      </w:pPr>
    </w:p>
    <w:p w14:paraId="5E2A2F14" w14:textId="77777777" w:rsidR="003F2596" w:rsidRPr="003F2596" w:rsidRDefault="003F2596" w:rsidP="003F2596">
      <w:pPr>
        <w:spacing w:after="120"/>
        <w:rPr>
          <w:b/>
          <w:bCs/>
          <w:i/>
          <w:iCs/>
          <w:color w:val="6A7F0F"/>
          <w:sz w:val="22"/>
          <w:szCs w:val="22"/>
        </w:rPr>
      </w:pPr>
      <w:bookmarkStart w:id="94" w:name="_Cultural_competency_&amp;"/>
      <w:bookmarkEnd w:id="94"/>
      <w:r w:rsidRPr="003F2596">
        <w:rPr>
          <w:b/>
          <w:bCs/>
          <w:i/>
          <w:iCs/>
          <w:color w:val="6A7F0F"/>
          <w:sz w:val="22"/>
          <w:szCs w:val="22"/>
        </w:rPr>
        <w:t>Cultural Competence and Trauma-Informed Training</w:t>
      </w:r>
    </w:p>
    <w:p w14:paraId="7E2853B6" w14:textId="77777777" w:rsidR="00323FC9" w:rsidRPr="005205CF" w:rsidRDefault="00323FC9" w:rsidP="00323FC9">
      <w:pPr>
        <w:contextualSpacing/>
        <w:rPr>
          <w:rFonts w:cstheme="minorHAnsi"/>
          <w:sz w:val="22"/>
          <w:szCs w:val="22"/>
          <w:lang w:bidi="th-TH"/>
        </w:rPr>
      </w:pPr>
      <w:r w:rsidRPr="005205CF">
        <w:rPr>
          <w:rFonts w:cstheme="minorHAnsi"/>
          <w:sz w:val="22"/>
          <w:szCs w:val="22"/>
          <w:lang w:bidi="th-TH"/>
        </w:rPr>
        <w:t>Several clinic leaders reported that the CCBHC enabled them to invest in staff</w:t>
      </w:r>
      <w:r w:rsidRPr="005205CF">
        <w:rPr>
          <w:rFonts w:cstheme="minorHAnsi"/>
          <w:sz w:val="22"/>
          <w:szCs w:val="22"/>
        </w:rPr>
        <w:t xml:space="preserve"> training</w:t>
      </w:r>
      <w:r w:rsidRPr="005205CF">
        <w:rPr>
          <w:rFonts w:cstheme="minorHAnsi"/>
          <w:sz w:val="22"/>
          <w:szCs w:val="22"/>
          <w:lang w:bidi="th-TH"/>
        </w:rPr>
        <w:t xml:space="preserve">. All recognized the importance of training on cultural competence and trauma-informed care, but how they ensured their staff got that training varied. CCBHC staff received trainings as part of onboarding at the CCBHC, through clinic workshops, via clinic learning management systems, or by participating in trainings sponsored or hosted by community partners. Some clinic leaders expressed anxiety or uncertainty about how to select the right training. A few clinic leaders reported they faced resistance to some of their efforts to implement cultural competence training from both within and outside the clinic.    </w:t>
      </w:r>
    </w:p>
    <w:p w14:paraId="7269D07B" w14:textId="77777777" w:rsidR="003F2596" w:rsidRPr="005205CF" w:rsidRDefault="003F2596" w:rsidP="003F2596">
      <w:pPr>
        <w:contextualSpacing/>
        <w:rPr>
          <w:rFonts w:cstheme="minorHAnsi"/>
          <w:sz w:val="22"/>
          <w:szCs w:val="22"/>
          <w:lang w:bidi="th-TH"/>
        </w:rPr>
      </w:pPr>
    </w:p>
    <w:p w14:paraId="606FFC69"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r w:rsidRPr="000E7BAC">
        <w:rPr>
          <w:rFonts w:asciiTheme="minorHAnsi" w:hAnsiTheme="minorHAnsi" w:cstheme="minorHAnsi"/>
          <w:i/>
          <w:color w:val="000000"/>
          <w:sz w:val="22"/>
          <w:szCs w:val="22"/>
        </w:rPr>
        <w:t xml:space="preserve">We have a really strong [Equity, Diversity, Inclusion] EDI department that is also very much connected within the community and cultural resources, and organizations that respond to culturally kind of specific needs of the community. I think that is probably maybe our greatest asset. We have so many trainings, many of them are optional. Some of them are not from our clinic, but come from within the community. Then we also have a staff training and development department that kind of works closely with both our equity, diversity and inclusion department, as well as the quality department. </w:t>
      </w:r>
      <w:r w:rsidRPr="000E7BAC">
        <w:rPr>
          <w:rFonts w:asciiTheme="minorHAnsi" w:hAnsiTheme="minorHAnsi" w:cstheme="minorHAnsi"/>
          <w:iCs/>
          <w:color w:val="000000"/>
          <w:sz w:val="22"/>
          <w:szCs w:val="22"/>
        </w:rPr>
        <w:t>(Lead Administrator 06)</w:t>
      </w:r>
    </w:p>
    <w:p w14:paraId="4333408E"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p>
    <w:p w14:paraId="20405D75"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r w:rsidRPr="000E7BAC">
        <w:rPr>
          <w:rFonts w:asciiTheme="minorHAnsi" w:hAnsiTheme="minorHAnsi" w:cstheme="minorHAnsi"/>
          <w:i/>
          <w:color w:val="000000"/>
          <w:sz w:val="22"/>
          <w:szCs w:val="22"/>
        </w:rPr>
        <w:t xml:space="preserve">Trauma informed [care] is a big deal. So again, you can do tons of trainings on that, right? But does it really guide your treatment? What we look at is we do an adverse childhood events trauma scale on every admission. We know from the beginning what their trauma scores are. Then when we do their assessment, we can look at that score, and it's also a part in your diagnosis as well, because you can see, for PTSD, obviously, but even in other behavioral health issues, trauma's a huge factor. </w:t>
      </w:r>
      <w:r>
        <w:rPr>
          <w:rFonts w:asciiTheme="minorHAnsi" w:hAnsiTheme="minorHAnsi" w:cstheme="minorHAnsi"/>
          <w:i/>
          <w:color w:val="000000"/>
          <w:sz w:val="22"/>
          <w:szCs w:val="22"/>
        </w:rPr>
        <w:t>W</w:t>
      </w:r>
      <w:r w:rsidRPr="000E7BAC">
        <w:rPr>
          <w:rFonts w:asciiTheme="minorHAnsi" w:hAnsiTheme="minorHAnsi" w:cstheme="minorHAnsi"/>
          <w:i/>
          <w:color w:val="000000"/>
          <w:sz w:val="22"/>
          <w:szCs w:val="22"/>
        </w:rPr>
        <w:t xml:space="preserve">e know that, and we train our clinicians on how to do the ACEs. What's the importance of those scores? When you look at treatment planning, how does that allow you to do treatment planning that's... I don't know, is it client appropriate, client-centered around their trauma experiences. </w:t>
      </w:r>
      <w:r w:rsidRPr="000E7BAC">
        <w:rPr>
          <w:rFonts w:asciiTheme="minorHAnsi" w:hAnsiTheme="minorHAnsi" w:cstheme="minorHAnsi"/>
          <w:iCs/>
          <w:color w:val="000000"/>
          <w:sz w:val="22"/>
          <w:szCs w:val="22"/>
        </w:rPr>
        <w:t>(Lead Administrator 01)</w:t>
      </w:r>
    </w:p>
    <w:p w14:paraId="604E0B1F"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p>
    <w:p w14:paraId="2D0D9841"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r w:rsidRPr="000E7BAC">
        <w:rPr>
          <w:rFonts w:asciiTheme="minorHAnsi" w:hAnsiTheme="minorHAnsi" w:cstheme="minorHAnsi"/>
          <w:i/>
          <w:color w:val="000000"/>
          <w:sz w:val="22"/>
          <w:szCs w:val="22"/>
        </w:rPr>
        <w:t>They receive [training in] cultural competency. It's not a good one. I mean, it's checking a box. We need a whole process here. But they at least get exposed to the concepts… We did a decent job with trauma-informed care. We had some good early cultural competency training. And then, all those staff are gone. We really need to do another one. The language has changed and the social backdrop has changed. I would like to launch another training and I'm having some angst about it because I think the conversation about cultural competency, and diversity, and equity has become more fraught, and more polarizing. Remember that I work in [rural Oregon] ... Our workforce is overwhelmingly liberal, and wants to think of themselves as DEI-informed, but they're overwhelmingly white</w:t>
      </w:r>
      <w:r w:rsidRPr="000E7BAC">
        <w:rPr>
          <w:rFonts w:asciiTheme="minorHAnsi" w:hAnsiTheme="minorHAnsi" w:cstheme="minorHAnsi"/>
          <w:iCs/>
          <w:color w:val="000000"/>
          <w:sz w:val="22"/>
          <w:szCs w:val="22"/>
        </w:rPr>
        <w:t>. (Lead Administrator 09)</w:t>
      </w:r>
    </w:p>
    <w:p w14:paraId="7D96AFFB" w14:textId="77777777" w:rsidR="003F2596" w:rsidRPr="000E7BAC" w:rsidRDefault="003F2596" w:rsidP="003F2596">
      <w:pPr>
        <w:pStyle w:val="NormalWeb"/>
        <w:spacing w:before="0" w:beforeAutospacing="0" w:after="0" w:afterAutospacing="0"/>
        <w:ind w:left="720"/>
        <w:rPr>
          <w:rFonts w:asciiTheme="minorHAnsi" w:hAnsiTheme="minorHAnsi" w:cstheme="minorHAnsi"/>
          <w:i/>
          <w:color w:val="000000"/>
          <w:sz w:val="22"/>
          <w:szCs w:val="22"/>
        </w:rPr>
      </w:pPr>
    </w:p>
    <w:p w14:paraId="18EA1D22" w14:textId="77777777" w:rsidR="003F2596" w:rsidRPr="000E7BAC" w:rsidRDefault="003F2596" w:rsidP="003F2596">
      <w:pPr>
        <w:pStyle w:val="NormalWeb"/>
        <w:spacing w:before="0" w:beforeAutospacing="0" w:after="0" w:afterAutospacing="0"/>
        <w:ind w:left="720"/>
        <w:rPr>
          <w:rFonts w:asciiTheme="minorHAnsi" w:hAnsiTheme="minorHAnsi" w:cstheme="minorHAnsi"/>
          <w:iCs/>
          <w:color w:val="000000"/>
          <w:sz w:val="22"/>
          <w:szCs w:val="22"/>
        </w:rPr>
      </w:pPr>
      <w:r w:rsidRPr="000E7BAC">
        <w:rPr>
          <w:rFonts w:asciiTheme="minorHAnsi" w:hAnsiTheme="minorHAnsi" w:cstheme="minorHAnsi"/>
          <w:i/>
          <w:color w:val="000000"/>
          <w:sz w:val="22"/>
          <w:szCs w:val="22"/>
        </w:rPr>
        <w:t xml:space="preserve">We also had a very public debate a couple of years ago about requiring mandated training for all of our staff on cultural diversity training. Half of us have [continuing education units] CEU requirements to do it anyway. We did a mandatory training and it became a political issue debated by our board and concerns about what the content was going to be and wanting to have an outline of the presentation and all of that because it's a political hot-button issue. So there's been things like that as well, where even the things that we might want to do as an organization are questioned or challenged. </w:t>
      </w:r>
      <w:r w:rsidRPr="000E7BAC">
        <w:rPr>
          <w:rFonts w:asciiTheme="minorHAnsi" w:hAnsiTheme="minorHAnsi" w:cstheme="minorHAnsi"/>
          <w:iCs/>
          <w:color w:val="000000"/>
          <w:sz w:val="22"/>
          <w:szCs w:val="22"/>
        </w:rPr>
        <w:t>(Lead Clinical 02)</w:t>
      </w:r>
    </w:p>
    <w:p w14:paraId="686C5905" w14:textId="77777777" w:rsidR="003F2596" w:rsidRPr="005205CF" w:rsidRDefault="003F2596" w:rsidP="003F2596">
      <w:pPr>
        <w:pStyle w:val="NormalWeb"/>
        <w:spacing w:before="0" w:beforeAutospacing="0" w:after="0" w:afterAutospacing="0"/>
        <w:ind w:left="720"/>
        <w:rPr>
          <w:rFonts w:asciiTheme="minorHAnsi" w:hAnsiTheme="minorHAnsi" w:cstheme="minorHAnsi"/>
          <w:sz w:val="22"/>
          <w:szCs w:val="22"/>
          <w:lang w:bidi="th-TH"/>
        </w:rPr>
      </w:pPr>
    </w:p>
    <w:p w14:paraId="1FA01373" w14:textId="06C0284C" w:rsidR="003F2596" w:rsidRPr="003F2596" w:rsidRDefault="003F2596" w:rsidP="003F2596">
      <w:pPr>
        <w:spacing w:after="120"/>
        <w:rPr>
          <w:rFonts w:cstheme="minorHAnsi"/>
          <w:b/>
          <w:bCs/>
          <w:color w:val="6A7F0F"/>
        </w:rPr>
      </w:pPr>
      <w:bookmarkStart w:id="95" w:name="_Implementation_&amp;_sustainability"/>
      <w:bookmarkEnd w:id="95"/>
      <w:r w:rsidRPr="003F2596">
        <w:rPr>
          <w:rFonts w:cstheme="minorHAnsi"/>
          <w:b/>
          <w:bCs/>
          <w:color w:val="6A7F0F"/>
        </w:rPr>
        <w:t>Implementation and Sustainability</w:t>
      </w:r>
    </w:p>
    <w:p w14:paraId="5EC3127D" w14:textId="77777777" w:rsidR="00323FC9" w:rsidRPr="005205CF" w:rsidRDefault="00323FC9" w:rsidP="00323FC9">
      <w:pPr>
        <w:rPr>
          <w:rFonts w:cstheme="minorHAnsi"/>
          <w:sz w:val="22"/>
          <w:szCs w:val="22"/>
        </w:rPr>
      </w:pPr>
      <w:r w:rsidRPr="005205CF">
        <w:rPr>
          <w:rFonts w:cstheme="minorHAnsi"/>
          <w:sz w:val="22"/>
          <w:szCs w:val="22"/>
        </w:rPr>
        <w:t xml:space="preserve">Clinic leaders reported barriers and challenges during the implementation of the CCBHC model. </w:t>
      </w:r>
      <w:r w:rsidRPr="005205CF">
        <w:rPr>
          <w:rFonts w:cstheme="minorHAnsi"/>
          <w:iCs/>
          <w:sz w:val="22"/>
          <w:szCs w:val="22"/>
        </w:rPr>
        <w:t xml:space="preserve">Key findings relate to </w:t>
      </w:r>
      <w:r w:rsidRPr="005205CF">
        <w:rPr>
          <w:rFonts w:cstheme="minorHAnsi"/>
          <w:sz w:val="22"/>
          <w:szCs w:val="22"/>
        </w:rPr>
        <w:t xml:space="preserve">funding, equity, workforce, community partnerships, administrative burden, metrics, data infrastructure, the Oregon CCBHC primary care requirement, and resources and support, all of which are important to support expansion and sustainability of the CCBHC program. </w:t>
      </w:r>
    </w:p>
    <w:p w14:paraId="15FE0F19" w14:textId="77777777" w:rsidR="003F2596" w:rsidRPr="000E7BAC" w:rsidRDefault="003F2596" w:rsidP="003F2596">
      <w:pPr>
        <w:pStyle w:val="ListParagraph"/>
        <w:ind w:left="360"/>
        <w:rPr>
          <w:rFonts w:cstheme="minorHAnsi"/>
          <w:b/>
          <w:sz w:val="22"/>
          <w:szCs w:val="22"/>
        </w:rPr>
      </w:pPr>
    </w:p>
    <w:p w14:paraId="4E95F870" w14:textId="77777777" w:rsidR="003F2596" w:rsidRPr="003F2596" w:rsidRDefault="003F2596" w:rsidP="003F2596">
      <w:pPr>
        <w:spacing w:after="120"/>
        <w:rPr>
          <w:b/>
          <w:bCs/>
          <w:i/>
          <w:iCs/>
          <w:color w:val="6A7F0F"/>
          <w:sz w:val="22"/>
          <w:szCs w:val="22"/>
        </w:rPr>
      </w:pPr>
      <w:bookmarkStart w:id="96" w:name="_Funding"/>
      <w:bookmarkEnd w:id="96"/>
      <w:r w:rsidRPr="003F2596">
        <w:rPr>
          <w:b/>
          <w:bCs/>
          <w:i/>
          <w:iCs/>
          <w:color w:val="6A7F0F"/>
          <w:sz w:val="22"/>
          <w:szCs w:val="22"/>
        </w:rPr>
        <w:t>Funding</w:t>
      </w:r>
    </w:p>
    <w:p w14:paraId="42B45687"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Clinic leaders stressed that adequate funding is critical; they noted the importance of predictable and sustainable funding. In addition, several clinic leaders expressed concerns about the stability of the CCBHC program and what that would mean for their clinics, given the magnitude of the commitment involved in becoming a CCBHC. </w:t>
      </w:r>
    </w:p>
    <w:p w14:paraId="1490E4E5" w14:textId="77777777" w:rsidR="003F2596" w:rsidRDefault="003F2596" w:rsidP="003F2596">
      <w:pPr>
        <w:ind w:left="720"/>
        <w:rPr>
          <w:rFonts w:cstheme="minorHAnsi"/>
          <w:i/>
          <w:sz w:val="22"/>
          <w:szCs w:val="22"/>
          <w:lang w:val="en" w:bidi="th-TH"/>
        </w:rPr>
      </w:pPr>
    </w:p>
    <w:p w14:paraId="52019999" w14:textId="602F605E" w:rsidR="003F2596" w:rsidRPr="005205CF" w:rsidRDefault="003F2596" w:rsidP="003F2596">
      <w:pPr>
        <w:ind w:left="720"/>
        <w:rPr>
          <w:rFonts w:cstheme="minorHAnsi"/>
          <w:iCs/>
          <w:sz w:val="22"/>
          <w:szCs w:val="22"/>
          <w:lang w:val="en" w:bidi="th-TH"/>
        </w:rPr>
      </w:pPr>
      <w:r w:rsidRPr="005205CF">
        <w:rPr>
          <w:rFonts w:cstheme="minorHAnsi"/>
          <w:i/>
          <w:sz w:val="22"/>
          <w:szCs w:val="22"/>
          <w:lang w:val="en" w:bidi="th-TH"/>
        </w:rPr>
        <w:t>It takes so much time and energy to start a program, whether you're hiring, training…if there were some kind of a guarantee that there was going to be some funding throughout, maybe beyond 5 or 10 years, that would create sustainability</w:t>
      </w:r>
      <w:r w:rsidRPr="005205CF">
        <w:rPr>
          <w:rFonts w:cstheme="minorHAnsi"/>
          <w:sz w:val="22"/>
          <w:szCs w:val="22"/>
          <w:lang w:val="en" w:bidi="th-TH"/>
        </w:rPr>
        <w:t xml:space="preserve">. </w:t>
      </w:r>
      <w:r w:rsidRPr="005205CF">
        <w:rPr>
          <w:rFonts w:cstheme="minorHAnsi"/>
          <w:iCs/>
          <w:sz w:val="22"/>
          <w:szCs w:val="22"/>
          <w:lang w:val="en" w:bidi="th-TH"/>
        </w:rPr>
        <w:t>(Lead Clinical 01)</w:t>
      </w:r>
    </w:p>
    <w:p w14:paraId="226E627E" w14:textId="77777777" w:rsidR="003F2596" w:rsidRPr="005205CF" w:rsidRDefault="003F2596" w:rsidP="003F2596">
      <w:pPr>
        <w:ind w:left="720"/>
        <w:rPr>
          <w:rFonts w:cstheme="minorHAnsi"/>
          <w:sz w:val="22"/>
          <w:szCs w:val="22"/>
          <w:lang w:val="en" w:bidi="th-TH"/>
        </w:rPr>
      </w:pPr>
    </w:p>
    <w:p w14:paraId="7FC5426D" w14:textId="77777777"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We had the initial expansion grant, always knowing that it could go away in three years. And then it did go away after three years. Everything that went into building it up and then having to dismantle it, that was pretty traumatic for everybody… You end up feeling like you're taking a lot of risks, if there's not that certainty or stability</w:t>
      </w:r>
      <w:r w:rsidRPr="005205CF">
        <w:rPr>
          <w:rFonts w:cstheme="minorHAnsi"/>
          <w:sz w:val="22"/>
          <w:szCs w:val="22"/>
          <w:lang w:val="en" w:bidi="th-TH"/>
        </w:rPr>
        <w:t xml:space="preserve">. </w:t>
      </w:r>
      <w:r w:rsidRPr="005205CF">
        <w:rPr>
          <w:rFonts w:cstheme="minorHAnsi"/>
          <w:iCs/>
          <w:sz w:val="22"/>
          <w:szCs w:val="22"/>
          <w:lang w:val="en" w:bidi="th-TH"/>
        </w:rPr>
        <w:t>(Lead Administrator 08)</w:t>
      </w:r>
    </w:p>
    <w:p w14:paraId="4D925AD0" w14:textId="77777777" w:rsidR="003F2596" w:rsidRPr="005205CF" w:rsidRDefault="003F2596" w:rsidP="003F2596">
      <w:pPr>
        <w:ind w:left="720"/>
        <w:rPr>
          <w:rFonts w:cstheme="minorHAnsi"/>
          <w:i/>
          <w:sz w:val="22"/>
          <w:szCs w:val="22"/>
          <w:lang w:val="en" w:bidi="th-TH"/>
        </w:rPr>
      </w:pPr>
    </w:p>
    <w:p w14:paraId="02B2CA4A" w14:textId="77777777" w:rsidR="003F2596" w:rsidRPr="005205CF" w:rsidRDefault="003F2596" w:rsidP="003F2596">
      <w:pPr>
        <w:ind w:left="720"/>
        <w:rPr>
          <w:rFonts w:cstheme="minorHAnsi"/>
          <w:iCs/>
          <w:sz w:val="22"/>
          <w:szCs w:val="22"/>
          <w:lang w:val="en" w:bidi="th-TH"/>
        </w:rPr>
      </w:pPr>
      <w:r w:rsidRPr="005205CF">
        <w:rPr>
          <w:rFonts w:cstheme="minorHAnsi"/>
          <w:i/>
          <w:sz w:val="22"/>
          <w:szCs w:val="22"/>
          <w:lang w:bidi="th-TH"/>
        </w:rPr>
        <w:t xml:space="preserve">CCBHC was sort of a focus of stability. Yeah, that PPS rate was huge for us. Again, we didn't go on a huge spree of capital expenses and we did some and staffing. I think we had a conservative and I think which was prudent at the time to not just we're going to hire 25 new staff and look at all this. We're going to be you know. It's interesting. I mean, our needs assessment really showed that maybe we do need to grow. </w:t>
      </w:r>
      <w:r w:rsidRPr="005205CF">
        <w:rPr>
          <w:rFonts w:cstheme="minorHAnsi"/>
          <w:iCs/>
          <w:sz w:val="22"/>
          <w:szCs w:val="22"/>
          <w:lang w:bidi="th-TH"/>
        </w:rPr>
        <w:t>(Lead Administrator 07)</w:t>
      </w:r>
    </w:p>
    <w:p w14:paraId="20071B81" w14:textId="77777777" w:rsidR="003F2596" w:rsidRPr="005205CF" w:rsidRDefault="003F2596" w:rsidP="003F2596">
      <w:pPr>
        <w:rPr>
          <w:rFonts w:cstheme="minorHAnsi"/>
          <w:sz w:val="22"/>
          <w:szCs w:val="22"/>
          <w:lang w:val="en" w:bidi="th-TH"/>
        </w:rPr>
      </w:pPr>
    </w:p>
    <w:p w14:paraId="72F9EFF4"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The PPS was seen as the critical element that enabled clinics to expand access to integrated behavioral healthcare. Without reliable funding that enables clinics to maintain their staff, coordinate care, and provide services in non-clinic settings, several clinic leaders suggested it would be nearly impossible to meet CCBHC program objectives. </w:t>
      </w:r>
    </w:p>
    <w:p w14:paraId="45657467" w14:textId="27BF5A5A" w:rsidR="003F2596" w:rsidRDefault="00101CB3" w:rsidP="003F2596">
      <w:pPr>
        <w:ind w:left="720"/>
        <w:rPr>
          <w:rFonts w:cstheme="minorHAnsi"/>
          <w:sz w:val="22"/>
          <w:szCs w:val="22"/>
          <w:lang w:val="en" w:bidi="th-TH"/>
        </w:rPr>
      </w:pPr>
      <w:sdt>
        <w:sdtPr>
          <w:rPr>
            <w:rFonts w:cstheme="minorHAnsi"/>
            <w:sz w:val="22"/>
            <w:szCs w:val="22"/>
            <w:lang w:val="en" w:bidi="th-TH"/>
          </w:rPr>
          <w:tag w:val="goog_rdk_8"/>
          <w:id w:val="-1932275946"/>
          <w:showingPlcHdr/>
        </w:sdtPr>
        <w:sdtEndPr/>
        <w:sdtContent>
          <w:r w:rsidR="00323FC9">
            <w:rPr>
              <w:rFonts w:cstheme="minorHAnsi"/>
              <w:sz w:val="22"/>
              <w:szCs w:val="22"/>
              <w:lang w:val="en" w:bidi="th-TH"/>
            </w:rPr>
            <w:t xml:space="preserve">     </w:t>
          </w:r>
        </w:sdtContent>
      </w:sdt>
    </w:p>
    <w:p w14:paraId="3FF752B6" w14:textId="6577F100"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The payment model is the bottom line. It allows a CCBHC to serve people holistically. </w:t>
      </w:r>
      <w:r w:rsidRPr="005205CF">
        <w:rPr>
          <w:rFonts w:cstheme="minorHAnsi"/>
          <w:iCs/>
          <w:sz w:val="22"/>
          <w:szCs w:val="22"/>
          <w:lang w:val="en" w:bidi="th-TH"/>
        </w:rPr>
        <w:t>(Lead Clinical 12)</w:t>
      </w:r>
    </w:p>
    <w:p w14:paraId="0E2CF413" w14:textId="77777777" w:rsidR="003F2596" w:rsidRPr="005205CF" w:rsidRDefault="003F2596" w:rsidP="003F2596">
      <w:pPr>
        <w:ind w:left="720"/>
        <w:rPr>
          <w:rFonts w:cstheme="minorHAnsi"/>
          <w:sz w:val="22"/>
          <w:szCs w:val="22"/>
          <w:lang w:val="en" w:bidi="th-TH"/>
        </w:rPr>
      </w:pPr>
    </w:p>
    <w:p w14:paraId="6D9C3C37" w14:textId="77777777" w:rsidR="003F2596" w:rsidRPr="005205CF" w:rsidRDefault="003F2596" w:rsidP="003F2596">
      <w:pPr>
        <w:ind w:left="720"/>
        <w:rPr>
          <w:rFonts w:cstheme="minorHAnsi"/>
          <w:i/>
          <w:sz w:val="22"/>
          <w:szCs w:val="22"/>
          <w:lang w:bidi="th-TH"/>
        </w:rPr>
      </w:pPr>
      <w:r w:rsidRPr="005205CF">
        <w:rPr>
          <w:rFonts w:cstheme="minorHAnsi"/>
          <w:i/>
          <w:sz w:val="22"/>
          <w:szCs w:val="22"/>
          <w:lang w:bidi="th-TH"/>
        </w:rPr>
        <w:t xml:space="preserve">In full disclosure, [CCBHC name] would be in huge financial trouble if we didn't have the CCBHC PPS payment… It's bringing parity to behavioral health in a way like FQHCs. So FQHCs are there to be the safety net clinic for medical services for the indigent and underinsured. Community mental health centers are as well, they've never been paid that way. While it allowed us to offer more services in a more targeted way around integration by bringing healthcare coordinators, primary care, and other services in, it stabilized the organization in a way that we've never had before … </w:t>
      </w:r>
      <w:r w:rsidRPr="005205CF">
        <w:rPr>
          <w:rFonts w:cstheme="minorHAnsi"/>
          <w:i/>
          <w:sz w:val="22"/>
          <w:szCs w:val="22"/>
          <w:lang w:val="en" w:bidi="th-TH"/>
        </w:rPr>
        <w:t>that PPS is just unbelievably instrumental to the survival of community mental health centers, and long overdue because FQHCs have been in this model for a very long time</w:t>
      </w:r>
      <w:r w:rsidRPr="005205CF">
        <w:rPr>
          <w:rFonts w:cstheme="minorHAnsi"/>
          <w:sz w:val="22"/>
          <w:szCs w:val="22"/>
          <w:lang w:val="en" w:bidi="th-TH"/>
        </w:rPr>
        <w:t xml:space="preserve">. </w:t>
      </w:r>
      <w:r w:rsidRPr="005205CF">
        <w:rPr>
          <w:rFonts w:cstheme="minorHAnsi"/>
          <w:iCs/>
          <w:sz w:val="22"/>
          <w:szCs w:val="22"/>
          <w:lang w:val="en" w:bidi="th-TH"/>
        </w:rPr>
        <w:t>(Lead Administrator 13)</w:t>
      </w:r>
    </w:p>
    <w:p w14:paraId="1DBEF67B" w14:textId="77777777" w:rsidR="003F2596" w:rsidRPr="005205CF" w:rsidRDefault="003F2596" w:rsidP="003F2596">
      <w:pPr>
        <w:rPr>
          <w:rFonts w:cstheme="minorHAnsi"/>
          <w:sz w:val="22"/>
          <w:szCs w:val="22"/>
          <w:lang w:val="en" w:bidi="th-TH"/>
        </w:rPr>
      </w:pPr>
    </w:p>
    <w:p w14:paraId="420280C2" w14:textId="77777777" w:rsidR="003F2596" w:rsidRPr="003F2596" w:rsidRDefault="003F2596" w:rsidP="003F2596">
      <w:pPr>
        <w:spacing w:after="120"/>
        <w:rPr>
          <w:b/>
          <w:bCs/>
          <w:i/>
          <w:iCs/>
          <w:color w:val="6A7F0F"/>
          <w:sz w:val="22"/>
          <w:szCs w:val="22"/>
        </w:rPr>
      </w:pPr>
      <w:bookmarkStart w:id="97" w:name="_Equity"/>
      <w:bookmarkEnd w:id="97"/>
      <w:r w:rsidRPr="003F2596">
        <w:rPr>
          <w:b/>
          <w:bCs/>
          <w:i/>
          <w:iCs/>
          <w:color w:val="6A7F0F"/>
          <w:sz w:val="22"/>
          <w:szCs w:val="22"/>
        </w:rPr>
        <w:t>Equity</w:t>
      </w:r>
    </w:p>
    <w:p w14:paraId="137AAEAD" w14:textId="77777777" w:rsidR="00323FC9" w:rsidRPr="005205CF" w:rsidRDefault="00323FC9" w:rsidP="00323FC9">
      <w:pPr>
        <w:rPr>
          <w:rFonts w:cstheme="minorHAnsi"/>
          <w:b/>
          <w:i/>
          <w:sz w:val="22"/>
          <w:szCs w:val="22"/>
        </w:rPr>
      </w:pPr>
      <w:r w:rsidRPr="005205CF">
        <w:rPr>
          <w:rFonts w:cstheme="minorHAnsi"/>
          <w:sz w:val="22"/>
          <w:szCs w:val="22"/>
        </w:rPr>
        <w:t>Clinic leaders reported that</w:t>
      </w:r>
      <w:r w:rsidRPr="005205CF">
        <w:rPr>
          <w:rFonts w:cstheme="minorHAnsi"/>
          <w:b/>
          <w:i/>
          <w:sz w:val="22"/>
          <w:szCs w:val="22"/>
        </w:rPr>
        <w:t xml:space="preserve"> </w:t>
      </w:r>
      <w:r w:rsidRPr="005205CF">
        <w:rPr>
          <w:rFonts w:cstheme="minorHAnsi"/>
          <w:sz w:val="22"/>
          <w:szCs w:val="22"/>
        </w:rPr>
        <w:t>CCBHCs have a critical role in addressing health inequities, but they must be well funded, trained, and supported by the state in order to do this effectively. One respondent cautioned that the CCBHC model could be done without any focus on equity, highlighting the importance of communicating the importance of centering equity in CCBHCs. Clinic administrators and clinical leaders indicated guidance and technical assistance would help CCBHCs center equity in their work, implement culturally and linguistically responsive outreach and services, and measure progress towards the goal of eliminating health inequities.</w:t>
      </w:r>
    </w:p>
    <w:p w14:paraId="5B1F05A2" w14:textId="77777777" w:rsidR="003F2596" w:rsidRDefault="003F2596" w:rsidP="003F2596">
      <w:pPr>
        <w:ind w:left="720"/>
        <w:rPr>
          <w:rFonts w:cstheme="minorHAnsi"/>
          <w:i/>
          <w:sz w:val="22"/>
          <w:szCs w:val="22"/>
        </w:rPr>
      </w:pPr>
    </w:p>
    <w:p w14:paraId="6033C130" w14:textId="42C6AE71" w:rsidR="003F2596" w:rsidRPr="005205CF" w:rsidRDefault="003F2596" w:rsidP="003F2596">
      <w:pPr>
        <w:ind w:left="720"/>
        <w:rPr>
          <w:rFonts w:cstheme="minorHAnsi"/>
          <w:i/>
          <w:sz w:val="22"/>
          <w:szCs w:val="22"/>
        </w:rPr>
      </w:pPr>
      <w:r w:rsidRPr="005205CF">
        <w:rPr>
          <w:rFonts w:cstheme="minorHAnsi"/>
          <w:i/>
          <w:sz w:val="22"/>
          <w:szCs w:val="22"/>
        </w:rPr>
        <w:t xml:space="preserve">I think CCBHCs, by their very nature, the fact that we are open to everyone makes us best suited to eliminate health disparities. But we probably need help in identifying strategies for how to do that because not every CCBHC has that experience. We've got a spot in our org chart for a health equity manager, but even when we fill that position, it's really going to be a while before we're running with that and really making a difference. So the state could bring resources to bear to help us understand how to best do that. </w:t>
      </w:r>
      <w:r w:rsidRPr="005205CF">
        <w:rPr>
          <w:rFonts w:cstheme="minorHAnsi"/>
          <w:iCs/>
          <w:sz w:val="22"/>
          <w:szCs w:val="22"/>
        </w:rPr>
        <w:t>(Lead Administrator 04)</w:t>
      </w:r>
    </w:p>
    <w:p w14:paraId="3C874619" w14:textId="77777777" w:rsidR="003F2596" w:rsidRPr="005205CF" w:rsidRDefault="003F2596" w:rsidP="003F2596">
      <w:pPr>
        <w:ind w:left="720"/>
        <w:rPr>
          <w:rFonts w:cstheme="minorHAnsi"/>
          <w:i/>
          <w:sz w:val="22"/>
          <w:szCs w:val="22"/>
        </w:rPr>
      </w:pPr>
    </w:p>
    <w:p w14:paraId="2C9909FF" w14:textId="77777777" w:rsidR="003F2596" w:rsidRPr="005205CF" w:rsidRDefault="003F2596" w:rsidP="003F2596">
      <w:pPr>
        <w:ind w:left="720"/>
        <w:rPr>
          <w:rFonts w:cstheme="minorHAnsi"/>
          <w:i/>
          <w:sz w:val="22"/>
          <w:szCs w:val="22"/>
        </w:rPr>
      </w:pPr>
      <w:r w:rsidRPr="005205CF">
        <w:rPr>
          <w:rFonts w:cstheme="minorHAnsi"/>
          <w:i/>
          <w:sz w:val="22"/>
          <w:szCs w:val="22"/>
        </w:rPr>
        <w:t xml:space="preserve">Well, definitely having primary care on board [helps address health inequities]. And pushing the notion of health equity, and what that actually means. I think CCBHC all by itself, you could do it and not do anything about diversity or equity. I think, because of its structure…the expectations around, outside the four walls work and those kinds of things, to get at populations who are often underserved, I think helps with that. </w:t>
      </w:r>
      <w:r w:rsidRPr="005205CF">
        <w:rPr>
          <w:rFonts w:cstheme="minorHAnsi"/>
          <w:iCs/>
          <w:sz w:val="22"/>
          <w:szCs w:val="22"/>
        </w:rPr>
        <w:t>(Lead Clinical 03)</w:t>
      </w:r>
    </w:p>
    <w:p w14:paraId="0621381C" w14:textId="77777777" w:rsidR="003F2596" w:rsidRPr="005205CF" w:rsidRDefault="003F2596" w:rsidP="003F2596">
      <w:pPr>
        <w:ind w:left="720"/>
        <w:rPr>
          <w:rFonts w:cstheme="minorHAnsi"/>
          <w:b/>
          <w:i/>
          <w:sz w:val="22"/>
          <w:szCs w:val="22"/>
        </w:rPr>
      </w:pPr>
    </w:p>
    <w:p w14:paraId="43722DB0" w14:textId="77777777" w:rsidR="003F2596" w:rsidRPr="000E7BAC" w:rsidRDefault="003F2596" w:rsidP="003F2596">
      <w:pPr>
        <w:pStyle w:val="NormalWeb"/>
        <w:spacing w:before="0" w:beforeAutospacing="0" w:after="0" w:afterAutospacing="0"/>
        <w:ind w:left="720"/>
        <w:rPr>
          <w:rFonts w:asciiTheme="minorHAnsi" w:hAnsiTheme="minorHAnsi" w:cstheme="minorHAnsi"/>
          <w:iCs/>
          <w:color w:val="000000"/>
          <w:sz w:val="22"/>
          <w:szCs w:val="22"/>
        </w:rPr>
      </w:pPr>
      <w:r w:rsidRPr="000E7BAC">
        <w:rPr>
          <w:rFonts w:asciiTheme="minorHAnsi" w:hAnsiTheme="minorHAnsi" w:cstheme="minorHAnsi"/>
          <w:i/>
          <w:color w:val="000000"/>
          <w:sz w:val="22"/>
          <w:szCs w:val="22"/>
          <w:shd w:val="clear" w:color="auto" w:fill="FFFFFF"/>
        </w:rPr>
        <w:t>By</w:t>
      </w:r>
      <w:r w:rsidRPr="000E7BAC">
        <w:rPr>
          <w:rFonts w:asciiTheme="minorHAnsi" w:hAnsiTheme="minorHAnsi" w:cstheme="minorHAnsi"/>
          <w:i/>
          <w:color w:val="000000"/>
          <w:sz w:val="22"/>
          <w:szCs w:val="22"/>
        </w:rPr>
        <w:t xml:space="preserve"> definition, we're serving low income people. We're disproportionately serving people of color, people of other groups who are underserved and basically have additional barriers to accessing services. I think we have flexibility and we have relationships, both with clients and other community stakeholders, to be responsive and to adapt and adjust our services to meet the needs. </w:t>
      </w:r>
      <w:r w:rsidRPr="000E7BAC">
        <w:rPr>
          <w:rFonts w:asciiTheme="minorHAnsi" w:hAnsiTheme="minorHAnsi" w:cstheme="minorHAnsi"/>
          <w:iCs/>
          <w:color w:val="000000"/>
          <w:sz w:val="22"/>
          <w:szCs w:val="22"/>
        </w:rPr>
        <w:t>(Lead Clinical 09)</w:t>
      </w:r>
    </w:p>
    <w:p w14:paraId="0E4F9687" w14:textId="77777777" w:rsidR="003F2596" w:rsidRPr="000E7BAC" w:rsidRDefault="003F2596" w:rsidP="003F2596">
      <w:pPr>
        <w:pStyle w:val="NormalWeb"/>
        <w:spacing w:before="0" w:beforeAutospacing="0" w:after="0" w:afterAutospacing="0"/>
        <w:ind w:left="720"/>
        <w:rPr>
          <w:rFonts w:asciiTheme="minorHAnsi" w:hAnsiTheme="minorHAnsi" w:cstheme="minorHAnsi"/>
          <w:i/>
          <w:sz w:val="22"/>
          <w:szCs w:val="22"/>
        </w:rPr>
      </w:pPr>
    </w:p>
    <w:p w14:paraId="1E4E6780" w14:textId="77777777" w:rsidR="003F2596" w:rsidRPr="005205CF" w:rsidRDefault="003F2596" w:rsidP="003F2596">
      <w:pPr>
        <w:ind w:left="720"/>
        <w:rPr>
          <w:rFonts w:cstheme="minorHAnsi"/>
          <w:i/>
          <w:color w:val="000000"/>
          <w:sz w:val="22"/>
          <w:szCs w:val="22"/>
        </w:rPr>
      </w:pPr>
      <w:r w:rsidRPr="005205CF">
        <w:rPr>
          <w:rFonts w:cstheme="minorHAnsi"/>
          <w:i/>
          <w:color w:val="000000"/>
          <w:sz w:val="22"/>
          <w:szCs w:val="22"/>
        </w:rPr>
        <w:t xml:space="preserve">I think they should be responsible…for having those equity programs, and making sure that they can accommodate all the different cultures and the needs that come into the building… If we can't provide something, we should at least have resources to be able to reach out, to help people. I do think CCBHCs are going to be paramount in that, because you can give us measures that says, "You will do this," and we'll have to do it. </w:t>
      </w:r>
      <w:r w:rsidRPr="005205CF">
        <w:rPr>
          <w:rFonts w:cstheme="minorHAnsi"/>
          <w:iCs/>
          <w:color w:val="000000"/>
          <w:sz w:val="22"/>
          <w:szCs w:val="22"/>
        </w:rPr>
        <w:t>(Lead Clinical 08)</w:t>
      </w:r>
    </w:p>
    <w:p w14:paraId="40E564A7" w14:textId="77777777" w:rsidR="003F2596" w:rsidRPr="005205CF" w:rsidRDefault="003F2596" w:rsidP="003F2596">
      <w:pPr>
        <w:ind w:left="720"/>
        <w:rPr>
          <w:rFonts w:cstheme="minorHAnsi"/>
          <w:b/>
          <w:i/>
          <w:sz w:val="22"/>
          <w:szCs w:val="22"/>
        </w:rPr>
      </w:pPr>
    </w:p>
    <w:p w14:paraId="3B533BA0" w14:textId="77777777" w:rsidR="003F2596" w:rsidRPr="003F2596" w:rsidRDefault="003F2596" w:rsidP="003F2596">
      <w:pPr>
        <w:spacing w:after="120"/>
        <w:rPr>
          <w:b/>
          <w:bCs/>
          <w:i/>
          <w:iCs/>
          <w:color w:val="6A7F0F"/>
          <w:sz w:val="22"/>
          <w:szCs w:val="22"/>
        </w:rPr>
      </w:pPr>
      <w:bookmarkStart w:id="98" w:name="_Workforce"/>
      <w:bookmarkEnd w:id="98"/>
      <w:r w:rsidRPr="003F2596">
        <w:rPr>
          <w:b/>
          <w:bCs/>
          <w:i/>
          <w:iCs/>
          <w:color w:val="6A7F0F"/>
          <w:sz w:val="22"/>
          <w:szCs w:val="22"/>
        </w:rPr>
        <w:t>Workforce</w:t>
      </w:r>
    </w:p>
    <w:p w14:paraId="7F6087C5"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Most clinic leaders reported the broader behavioral health workforce shortage is one the most significant barriers they face in terms of expanding and maintaining capacity. Clinics leaders described struggling to recruit and retain staff, especially master’s level clinicians, and particularly in, but not limited to, rural communities. While many clinic leaders reported that PPS payments enabled them to expand their staff, PPS did not eliminate recruitment and retention challenges. Clinic leaders largely attributed this challenge to lower pay compared to private practice and a high level of burnout. </w:t>
      </w:r>
    </w:p>
    <w:p w14:paraId="1055B328" w14:textId="77777777" w:rsidR="003F2596" w:rsidRDefault="003F2596" w:rsidP="003F2596">
      <w:pPr>
        <w:ind w:left="720"/>
        <w:rPr>
          <w:rFonts w:cstheme="minorHAnsi"/>
          <w:i/>
          <w:sz w:val="22"/>
          <w:szCs w:val="22"/>
          <w:lang w:val="en" w:bidi="th-TH"/>
        </w:rPr>
      </w:pPr>
    </w:p>
    <w:p w14:paraId="7B0C0C8E" w14:textId="2C63EBB1"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It's dependent on staffing. We're just struggling. We have some programs that are at 30, 40% staffed. </w:t>
      </w:r>
      <w:r w:rsidRPr="005205CF">
        <w:rPr>
          <w:rFonts w:cstheme="minorHAnsi"/>
          <w:iCs/>
          <w:sz w:val="22"/>
          <w:szCs w:val="22"/>
          <w:lang w:val="en" w:bidi="th-TH"/>
        </w:rPr>
        <w:t>(Lead Clinical 03)</w:t>
      </w:r>
    </w:p>
    <w:p w14:paraId="184A9568" w14:textId="77777777" w:rsidR="003F2596" w:rsidRPr="005205CF" w:rsidRDefault="003F2596" w:rsidP="003F2596">
      <w:pPr>
        <w:ind w:left="720"/>
        <w:rPr>
          <w:rFonts w:cstheme="minorHAnsi"/>
          <w:i/>
          <w:sz w:val="22"/>
          <w:szCs w:val="22"/>
          <w:lang w:val="en" w:bidi="th-TH"/>
        </w:rPr>
      </w:pPr>
    </w:p>
    <w:p w14:paraId="1FF9BFF9" w14:textId="77777777" w:rsidR="00CB5F47" w:rsidRPr="005205CF" w:rsidRDefault="00CB5F47" w:rsidP="00CB5F47">
      <w:pPr>
        <w:ind w:left="720"/>
        <w:rPr>
          <w:rFonts w:cstheme="minorHAnsi"/>
          <w:i/>
          <w:sz w:val="22"/>
          <w:szCs w:val="22"/>
          <w:lang w:val="en" w:bidi="th-TH"/>
        </w:rPr>
      </w:pPr>
      <w:r w:rsidRPr="005205CF">
        <w:rPr>
          <w:rFonts w:cstheme="minorHAnsi"/>
          <w:i/>
          <w:sz w:val="22"/>
          <w:szCs w:val="22"/>
          <w:lang w:val="en" w:bidi="th-TH"/>
        </w:rPr>
        <w:t xml:space="preserve">There are a lot of opportunities for additional funding coming out from OHA, which is exceptional. It’s also terrible timing because most of what we want to do with funding is hire staff to expand capacity. We are faced with opportunities for increased funding, and it just adds more vacancies. We're not often able to fill those positions. The sustainability of [the CCBHC] is in part tied to the workforce and whether or not there is a rate or amount that allows us to be more competitive in the recruitment of people. </w:t>
      </w:r>
      <w:r w:rsidRPr="005205CF">
        <w:rPr>
          <w:rFonts w:cstheme="minorHAnsi"/>
          <w:iCs/>
          <w:sz w:val="22"/>
          <w:szCs w:val="22"/>
          <w:lang w:val="en" w:bidi="th-TH"/>
        </w:rPr>
        <w:t>(Lead Clinical 02)</w:t>
      </w:r>
    </w:p>
    <w:p w14:paraId="4B4682F5" w14:textId="77777777" w:rsidR="00CB5F47" w:rsidRPr="005205CF" w:rsidRDefault="00CB5F47" w:rsidP="00CB5F47">
      <w:pPr>
        <w:ind w:left="720"/>
        <w:rPr>
          <w:rFonts w:cstheme="minorHAnsi"/>
          <w:i/>
          <w:sz w:val="22"/>
          <w:szCs w:val="22"/>
          <w:lang w:val="en" w:bidi="th-TH"/>
        </w:rPr>
      </w:pPr>
    </w:p>
    <w:p w14:paraId="00527DE4" w14:textId="77777777"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At some point, we're going to have to figure out a way to deal with the capacity problems because there's not enough workforce. </w:t>
      </w:r>
      <w:r w:rsidRPr="005205CF">
        <w:rPr>
          <w:rFonts w:cstheme="minorHAnsi"/>
          <w:iCs/>
          <w:sz w:val="22"/>
          <w:szCs w:val="22"/>
          <w:lang w:val="en" w:bidi="th-TH"/>
        </w:rPr>
        <w:t>(Lead Administrator 04)</w:t>
      </w:r>
    </w:p>
    <w:p w14:paraId="77B455C3" w14:textId="77777777" w:rsidR="003F2596" w:rsidRPr="005205CF" w:rsidRDefault="003F2596" w:rsidP="003F2596">
      <w:pPr>
        <w:ind w:left="720"/>
        <w:rPr>
          <w:rFonts w:cstheme="minorHAnsi"/>
          <w:i/>
          <w:sz w:val="22"/>
          <w:szCs w:val="22"/>
          <w:lang w:val="en" w:bidi="th-TH"/>
        </w:rPr>
      </w:pPr>
    </w:p>
    <w:p w14:paraId="5C4B140C" w14:textId="77777777" w:rsidR="003F2596" w:rsidRPr="005205CF" w:rsidRDefault="003F2596" w:rsidP="003F2596">
      <w:pPr>
        <w:ind w:left="720"/>
        <w:rPr>
          <w:rFonts w:cstheme="minorHAnsi"/>
          <w:iCs/>
          <w:sz w:val="22"/>
          <w:szCs w:val="22"/>
          <w:lang w:val="en" w:bidi="th-TH"/>
        </w:rPr>
      </w:pPr>
      <w:r w:rsidRPr="005205CF">
        <w:rPr>
          <w:rFonts w:cstheme="minorHAnsi"/>
          <w:i/>
          <w:sz w:val="22"/>
          <w:szCs w:val="22"/>
          <w:lang w:val="en" w:bidi="th-TH"/>
        </w:rPr>
        <w:t xml:space="preserve">There's not a lot of professionals…it's really hard to recruit, especially to get a master's level. And then, once you get somebody there, if they come from [elsewhere], they don't stay long. </w:t>
      </w:r>
      <w:r w:rsidRPr="005205CF">
        <w:rPr>
          <w:rFonts w:cstheme="minorHAnsi"/>
          <w:iCs/>
          <w:sz w:val="22"/>
          <w:szCs w:val="22"/>
          <w:lang w:val="en" w:bidi="th-TH"/>
        </w:rPr>
        <w:t>(Lead Clinical 01)</w:t>
      </w:r>
    </w:p>
    <w:p w14:paraId="474D027A" w14:textId="77777777" w:rsidR="003F2596" w:rsidRPr="005205CF" w:rsidRDefault="003F2596" w:rsidP="003F2596">
      <w:pPr>
        <w:ind w:left="720"/>
        <w:rPr>
          <w:rFonts w:cstheme="minorHAnsi"/>
          <w:i/>
          <w:sz w:val="22"/>
          <w:szCs w:val="22"/>
          <w:lang w:val="en" w:bidi="th-TH"/>
        </w:rPr>
      </w:pPr>
    </w:p>
    <w:p w14:paraId="6A44285D" w14:textId="77777777"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We’re in dire need of greater stratification in the pay ranges across our workforce. [There is a need] to think differently about incentivizing additional certifications and qualifications. That would help in terms of the draw of staying in what is…really a high acuity, really stressful, intensive work. </w:t>
      </w:r>
      <w:r w:rsidRPr="005205CF">
        <w:rPr>
          <w:rFonts w:cstheme="minorHAnsi"/>
          <w:iCs/>
          <w:sz w:val="22"/>
          <w:szCs w:val="22"/>
          <w:lang w:val="en" w:bidi="th-TH"/>
        </w:rPr>
        <w:t>(Lead Administrator 12)</w:t>
      </w:r>
    </w:p>
    <w:p w14:paraId="53CD7AC2" w14:textId="77777777" w:rsidR="003F2596" w:rsidRPr="005205CF" w:rsidRDefault="003F2596" w:rsidP="003F2596">
      <w:pPr>
        <w:rPr>
          <w:rFonts w:cstheme="minorHAnsi"/>
          <w:i/>
          <w:sz w:val="22"/>
          <w:szCs w:val="22"/>
          <w:lang w:val="en" w:bidi="th-TH"/>
        </w:rPr>
      </w:pPr>
    </w:p>
    <w:p w14:paraId="0612FDA2" w14:textId="77777777" w:rsidR="00323FC9" w:rsidRPr="005205CF" w:rsidRDefault="00323FC9" w:rsidP="00323FC9">
      <w:pPr>
        <w:rPr>
          <w:rFonts w:cstheme="minorHAnsi"/>
          <w:sz w:val="22"/>
          <w:szCs w:val="22"/>
        </w:rPr>
      </w:pPr>
      <w:r w:rsidRPr="005205CF">
        <w:rPr>
          <w:rFonts w:cstheme="minorHAnsi"/>
          <w:sz w:val="22"/>
          <w:szCs w:val="22"/>
        </w:rPr>
        <w:t>Many clinic leaders also recognized the need to diversify their staff to better reflect the communities they serve but noted the challenges of doing so, given Oregon’s broader behavioral workforce shortage; this was particularly challenging in rural communities. One creative strategy reported by some clinics included covering the cost or a portion of the cost for current staff from underrepresented communities to receive additional training and credentials. Some clinic leaders noted that upstream solutions, such as targeting educational institutions, are needed to address this issue.</w:t>
      </w:r>
    </w:p>
    <w:p w14:paraId="7CD25716" w14:textId="77777777" w:rsidR="003F2596" w:rsidRDefault="003F2596" w:rsidP="003F2596">
      <w:pPr>
        <w:ind w:left="720"/>
        <w:rPr>
          <w:rFonts w:cstheme="minorHAnsi"/>
          <w:i/>
          <w:sz w:val="22"/>
          <w:szCs w:val="22"/>
        </w:rPr>
      </w:pPr>
    </w:p>
    <w:p w14:paraId="3AADD979" w14:textId="1B112C04" w:rsidR="003F2596" w:rsidRPr="005205CF" w:rsidRDefault="003F2596" w:rsidP="003F2596">
      <w:pPr>
        <w:ind w:left="720"/>
        <w:rPr>
          <w:rFonts w:cstheme="minorHAnsi"/>
          <w:i/>
          <w:sz w:val="22"/>
          <w:szCs w:val="22"/>
        </w:rPr>
      </w:pPr>
      <w:r w:rsidRPr="005205CF">
        <w:rPr>
          <w:rFonts w:cstheme="minorHAnsi"/>
          <w:i/>
          <w:sz w:val="22"/>
          <w:szCs w:val="22"/>
        </w:rPr>
        <w:t xml:space="preserve">A big area of focus in our community is transgender youth and adults, and really trying to make sure that we have programs that specifically address their needs, and also really thinking about BIPOC community, and making sure that we have staff that are representative from the BIPOC community, and really focus on issues of racial trauma as part of their work. I think where we still have more work to do is a Spanish-speaking community, and we have bilingual staff, but I think we could do more work in terms of being culturally specific, and it's a large enough part of the community here, that’s probably an area that we need to continue to focus on too. </w:t>
      </w:r>
      <w:r w:rsidRPr="005205CF">
        <w:rPr>
          <w:rFonts w:cstheme="minorHAnsi"/>
          <w:iCs/>
          <w:sz w:val="22"/>
          <w:szCs w:val="22"/>
        </w:rPr>
        <w:t>(Lead Administrator 08)</w:t>
      </w:r>
    </w:p>
    <w:p w14:paraId="3A7CD30B" w14:textId="77777777" w:rsidR="003F2596" w:rsidRPr="005205CF" w:rsidRDefault="003F2596" w:rsidP="003F2596">
      <w:pPr>
        <w:ind w:left="720"/>
        <w:rPr>
          <w:rFonts w:cstheme="minorHAnsi"/>
          <w:i/>
          <w:sz w:val="22"/>
          <w:szCs w:val="22"/>
        </w:rPr>
      </w:pPr>
    </w:p>
    <w:p w14:paraId="61B92FE6" w14:textId="77777777" w:rsidR="003F2596" w:rsidRPr="005205CF" w:rsidRDefault="003F2596" w:rsidP="003F2596">
      <w:pPr>
        <w:ind w:left="720"/>
        <w:rPr>
          <w:rFonts w:cstheme="minorHAnsi"/>
          <w:i/>
          <w:sz w:val="22"/>
          <w:szCs w:val="22"/>
        </w:rPr>
      </w:pPr>
      <w:r w:rsidRPr="005205CF">
        <w:rPr>
          <w:rFonts w:cstheme="minorHAnsi"/>
          <w:i/>
          <w:sz w:val="22"/>
          <w:szCs w:val="22"/>
        </w:rPr>
        <w:t xml:space="preserve">I'm careful about saying this, because what I don't want to have is this underclass of staff who are in lower paid positions and represent our diversity. But it has been a way for us to bring people in who are not traditionally trained. And, at least get a foot in the door and we've developed ways we're trying to bring them further into the profession. We pay tuition reimbursement, we pay CADC stipends, and we pay a peer the same stipend we pay a master's level clinician if they have a CADC. We do things to try to really value that workforce and encourage them to get higher education. </w:t>
      </w:r>
      <w:r w:rsidRPr="005205CF">
        <w:rPr>
          <w:rFonts w:cstheme="minorHAnsi"/>
          <w:iCs/>
          <w:sz w:val="22"/>
          <w:szCs w:val="22"/>
        </w:rPr>
        <w:t>(Lead Administrator 09)</w:t>
      </w:r>
    </w:p>
    <w:p w14:paraId="186F81C5" w14:textId="77777777" w:rsidR="003F2596" w:rsidRPr="005205CF" w:rsidRDefault="003F2596" w:rsidP="003F2596">
      <w:pPr>
        <w:ind w:left="720"/>
        <w:rPr>
          <w:rFonts w:cstheme="minorHAnsi"/>
          <w:i/>
          <w:sz w:val="22"/>
          <w:szCs w:val="22"/>
        </w:rPr>
      </w:pPr>
    </w:p>
    <w:p w14:paraId="08D215AC" w14:textId="77777777" w:rsidR="003F2596" w:rsidRPr="005205CF" w:rsidRDefault="003F2596" w:rsidP="003F2596">
      <w:pPr>
        <w:ind w:left="720"/>
        <w:rPr>
          <w:rFonts w:cstheme="minorHAnsi"/>
          <w:i/>
          <w:sz w:val="22"/>
          <w:szCs w:val="22"/>
        </w:rPr>
      </w:pPr>
      <w:r w:rsidRPr="005205CF">
        <w:rPr>
          <w:rFonts w:cstheme="minorHAnsi"/>
          <w:i/>
          <w:sz w:val="22"/>
          <w:szCs w:val="22"/>
        </w:rPr>
        <w:t xml:space="preserve">Language is a barrier. We offer extra benefits for clinicians who can help us serve the Hispanic population. But again, when we're talking about disparities, it is not only in the access to services for these clients, but it's also the disparities in access to education so that they can get the credentials needed to be able to provide those services. When we talk about eliminating these disparities, we really also have to talk about what are we doing to eliminate the disparities in education so that we can attract a more culturally diverse population into the career field so that we can then provide the services that are going to reach that population. It's that piece. We've identified that there's a gap, we're hiring specifically to fill that need, but there's not a lot of diversity coming out of the schools of therapy and behavioral health. </w:t>
      </w:r>
      <w:r w:rsidRPr="005205CF">
        <w:rPr>
          <w:rFonts w:cstheme="minorHAnsi"/>
          <w:iCs/>
          <w:sz w:val="22"/>
          <w:szCs w:val="22"/>
        </w:rPr>
        <w:t>(Lead Administrator 05)</w:t>
      </w:r>
    </w:p>
    <w:p w14:paraId="7E961650" w14:textId="77777777" w:rsidR="003F2596" w:rsidRPr="005205CF" w:rsidRDefault="003F2596" w:rsidP="003F2596">
      <w:pPr>
        <w:rPr>
          <w:rFonts w:cstheme="minorHAnsi"/>
          <w:b/>
          <w:i/>
          <w:sz w:val="22"/>
          <w:szCs w:val="22"/>
        </w:rPr>
      </w:pPr>
    </w:p>
    <w:p w14:paraId="5EE2E90E" w14:textId="77777777" w:rsidR="003F2596" w:rsidRPr="003F2596" w:rsidRDefault="003F2596" w:rsidP="003F2596">
      <w:pPr>
        <w:spacing w:after="120"/>
        <w:rPr>
          <w:b/>
          <w:bCs/>
          <w:i/>
          <w:iCs/>
          <w:color w:val="6A7F0F"/>
          <w:sz w:val="22"/>
          <w:szCs w:val="22"/>
        </w:rPr>
      </w:pPr>
      <w:bookmarkStart w:id="99" w:name="_Data_infrastructure"/>
      <w:bookmarkEnd w:id="99"/>
      <w:r w:rsidRPr="003F2596">
        <w:rPr>
          <w:b/>
          <w:bCs/>
          <w:i/>
          <w:iCs/>
          <w:color w:val="6A7F0F"/>
          <w:sz w:val="22"/>
          <w:szCs w:val="22"/>
        </w:rPr>
        <w:t>Data Infrastructure</w:t>
      </w:r>
    </w:p>
    <w:p w14:paraId="4B168DB8"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Several clinic leaders reported that their data systems are not capable of the data collection and reporting necessary for CCBHCs. Data and analytics are critical success factors of the CCBHC program. Better data systems and people who can make sense of that data were identified by clinic leaders as potential efforts to center equity, coordinate care, and engage in quality improvement. </w:t>
      </w:r>
    </w:p>
    <w:p w14:paraId="2A91164C" w14:textId="77777777" w:rsidR="003F2596" w:rsidRDefault="003F2596" w:rsidP="003F2596">
      <w:pPr>
        <w:ind w:left="720"/>
        <w:rPr>
          <w:rFonts w:cstheme="minorHAnsi"/>
          <w:i/>
          <w:sz w:val="22"/>
          <w:szCs w:val="22"/>
          <w:lang w:val="en" w:bidi="th-TH"/>
        </w:rPr>
      </w:pPr>
    </w:p>
    <w:p w14:paraId="087285D6" w14:textId="40AF926C" w:rsidR="003F2596" w:rsidRPr="005205CF" w:rsidRDefault="003F2596" w:rsidP="003F2596">
      <w:pPr>
        <w:ind w:left="720"/>
        <w:rPr>
          <w:rFonts w:cstheme="minorHAnsi"/>
          <w:sz w:val="22"/>
          <w:szCs w:val="22"/>
          <w:lang w:val="en" w:bidi="th-TH"/>
        </w:rPr>
      </w:pPr>
      <w:r w:rsidRPr="005205CF">
        <w:rPr>
          <w:rFonts w:cstheme="minorHAnsi"/>
          <w:i/>
          <w:sz w:val="22"/>
          <w:szCs w:val="22"/>
          <w:lang w:val="en" w:bidi="th-TH"/>
        </w:rPr>
        <w:t>Sharing data is still one of our biggest challenges. We still have lots of data gaps and have different systems that don't communicate well with each other. I think there are opportunities to have better systems that share data and also have people who can really look at the data</w:t>
      </w:r>
      <w:r w:rsidRPr="005205CF">
        <w:rPr>
          <w:rFonts w:cstheme="minorHAnsi"/>
          <w:sz w:val="22"/>
          <w:szCs w:val="22"/>
          <w:lang w:val="en" w:bidi="th-TH"/>
        </w:rPr>
        <w:t xml:space="preserve">. (Lead Clinical 09) </w:t>
      </w:r>
    </w:p>
    <w:p w14:paraId="2C8522A8" w14:textId="77777777" w:rsidR="003F2596" w:rsidRPr="005205CF" w:rsidRDefault="003F2596" w:rsidP="003F2596">
      <w:pPr>
        <w:ind w:left="720"/>
        <w:rPr>
          <w:rFonts w:cstheme="minorHAnsi"/>
          <w:sz w:val="22"/>
          <w:szCs w:val="22"/>
          <w:lang w:val="en" w:bidi="th-TH"/>
        </w:rPr>
      </w:pPr>
    </w:p>
    <w:p w14:paraId="0A8F5E8D" w14:textId="77777777" w:rsidR="003F2596" w:rsidRPr="005205CF" w:rsidRDefault="003F2596" w:rsidP="003F2596">
      <w:pPr>
        <w:ind w:left="720"/>
        <w:rPr>
          <w:rFonts w:cstheme="minorHAnsi"/>
          <w:sz w:val="22"/>
          <w:szCs w:val="22"/>
          <w:lang w:val="en" w:bidi="th-TH"/>
        </w:rPr>
      </w:pPr>
      <w:r w:rsidRPr="005205CF">
        <w:rPr>
          <w:rFonts w:cstheme="minorHAnsi"/>
          <w:i/>
          <w:sz w:val="22"/>
          <w:szCs w:val="22"/>
          <w:lang w:val="en" w:bidi="th-TH"/>
        </w:rPr>
        <w:t>You can have the best clinicians in the world, but you've got to have the infrastructure to do the things like data collection and have it integrated into your EHR, so people aren't doing double charting and double work with documentation</w:t>
      </w:r>
      <w:r w:rsidRPr="005205CF">
        <w:rPr>
          <w:rFonts w:cstheme="minorHAnsi"/>
          <w:sz w:val="22"/>
          <w:szCs w:val="22"/>
          <w:lang w:val="en" w:bidi="th-TH"/>
        </w:rPr>
        <w:t xml:space="preserve">. (Lead Clinical 07) </w:t>
      </w:r>
    </w:p>
    <w:p w14:paraId="392B00B2" w14:textId="77777777" w:rsidR="003F2596" w:rsidRPr="005205CF" w:rsidRDefault="003F2596" w:rsidP="003F2596">
      <w:pPr>
        <w:ind w:left="720"/>
        <w:rPr>
          <w:rFonts w:cstheme="minorHAnsi"/>
          <w:sz w:val="22"/>
          <w:szCs w:val="22"/>
          <w:lang w:val="en" w:bidi="th-TH"/>
        </w:rPr>
      </w:pPr>
    </w:p>
    <w:p w14:paraId="41C66C5A" w14:textId="77777777" w:rsidR="003F2596" w:rsidRPr="005205CF" w:rsidRDefault="003F2596" w:rsidP="003F2596">
      <w:pPr>
        <w:ind w:left="720"/>
        <w:rPr>
          <w:rFonts w:cstheme="minorHAnsi"/>
          <w:sz w:val="22"/>
          <w:szCs w:val="22"/>
          <w:lang w:val="en" w:bidi="th-TH"/>
        </w:rPr>
      </w:pPr>
      <w:r w:rsidRPr="005205CF">
        <w:rPr>
          <w:rFonts w:cstheme="minorHAnsi"/>
          <w:i/>
          <w:sz w:val="22"/>
          <w:szCs w:val="22"/>
          <w:lang w:bidi="th-TH"/>
        </w:rPr>
        <w:t xml:space="preserve">Mental health records are not set up for some of this data stuff. And we've been very creative. Our actual old EHR was very old, and it was like a 20-year-old system, but we had it working as good as we could. And we just switched to a new system. Some of the built-in systems we had, didn't transfer over as well. And it's really complicated because the medical records are used to doing some of this stuff, mental health records aren't. What we really need to get is a business intelligence [BI] program to be able to analyze some of the data. Because we can get it in and we can kind of get it out, but we need to have a BI program to really make good use of it. I have spreadsheets, on spreadsheets, on spreadsheets to track some of this stuff. I have people that do nothing but spreadsheets, because it's really hard to do in our EHRs. </w:t>
      </w:r>
      <w:r w:rsidRPr="005205CF">
        <w:rPr>
          <w:rFonts w:cstheme="minorHAnsi"/>
          <w:iCs/>
          <w:sz w:val="22"/>
          <w:szCs w:val="22"/>
          <w:lang w:bidi="th-TH"/>
        </w:rPr>
        <w:t>(Lead Clinical 08)</w:t>
      </w:r>
    </w:p>
    <w:p w14:paraId="7437A1AB" w14:textId="77777777" w:rsidR="003F2596" w:rsidRPr="005205CF" w:rsidRDefault="003F2596" w:rsidP="003F2596">
      <w:pPr>
        <w:ind w:left="720"/>
        <w:rPr>
          <w:rFonts w:cstheme="minorHAnsi"/>
          <w:sz w:val="22"/>
          <w:szCs w:val="22"/>
          <w:lang w:val="en" w:bidi="th-TH"/>
        </w:rPr>
      </w:pPr>
    </w:p>
    <w:p w14:paraId="15420952" w14:textId="77777777" w:rsidR="003F2596" w:rsidRPr="003F2596" w:rsidRDefault="003F2596" w:rsidP="003F2596">
      <w:pPr>
        <w:spacing w:after="120"/>
        <w:rPr>
          <w:b/>
          <w:bCs/>
          <w:i/>
          <w:iCs/>
          <w:color w:val="6A7F0F"/>
          <w:sz w:val="22"/>
          <w:szCs w:val="22"/>
        </w:rPr>
      </w:pPr>
      <w:bookmarkStart w:id="100" w:name="_Community_partnerships"/>
      <w:bookmarkEnd w:id="100"/>
      <w:r w:rsidRPr="003F2596">
        <w:rPr>
          <w:b/>
          <w:bCs/>
          <w:i/>
          <w:iCs/>
          <w:color w:val="6A7F0F"/>
          <w:sz w:val="22"/>
          <w:szCs w:val="22"/>
        </w:rPr>
        <w:t>Community Partnerships</w:t>
      </w:r>
    </w:p>
    <w:p w14:paraId="0309760F"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While many clinic leaders reported developing effective local partnerships to achieve mutually beneficial relationships with local partners </w:t>
      </w:r>
      <w:r>
        <w:rPr>
          <w:rFonts w:cstheme="minorHAnsi"/>
          <w:sz w:val="22"/>
          <w:szCs w:val="22"/>
          <w:lang w:val="en" w:bidi="th-TH"/>
        </w:rPr>
        <w:t>(</w:t>
      </w:r>
      <w:r w:rsidRPr="005205CF">
        <w:rPr>
          <w:rFonts w:cstheme="minorHAnsi"/>
          <w:sz w:val="22"/>
          <w:szCs w:val="22"/>
          <w:lang w:val="en" w:bidi="th-TH"/>
        </w:rPr>
        <w:t>such as coordinated care organizations, county services, health systems, behavioral and physical health providers, law enforcement, K-12 education, and others</w:t>
      </w:r>
      <w:r>
        <w:rPr>
          <w:rFonts w:cstheme="minorHAnsi"/>
          <w:sz w:val="22"/>
          <w:szCs w:val="22"/>
          <w:lang w:val="en" w:bidi="th-TH"/>
        </w:rPr>
        <w:t>)</w:t>
      </w:r>
      <w:r w:rsidRPr="005205CF">
        <w:rPr>
          <w:rFonts w:cstheme="minorHAnsi"/>
          <w:sz w:val="22"/>
          <w:szCs w:val="22"/>
          <w:lang w:val="en" w:bidi="th-TH"/>
        </w:rPr>
        <w:t xml:space="preserve">, they felt strengthening collaboration with key community partners would facilitate better care coordination and improve access to behavioral health. In addition, clinic leaders indicated that diversifying their community partners may help the clinics develop a better understanding of service gaps in the community and provide an opportunity to get essential feedback and guidance on implementing culturally specific outreach and services. </w:t>
      </w:r>
    </w:p>
    <w:p w14:paraId="68EF557D" w14:textId="77777777" w:rsidR="003F2596" w:rsidRDefault="003F2596" w:rsidP="003F2596">
      <w:pPr>
        <w:ind w:left="720"/>
        <w:rPr>
          <w:rFonts w:cstheme="minorHAnsi"/>
          <w:i/>
          <w:sz w:val="22"/>
          <w:szCs w:val="22"/>
          <w:lang w:bidi="th-TH"/>
        </w:rPr>
      </w:pPr>
    </w:p>
    <w:p w14:paraId="473A04F0" w14:textId="77777777" w:rsidR="003F2596" w:rsidRPr="005205CF" w:rsidRDefault="003F2596" w:rsidP="003F2596">
      <w:pPr>
        <w:ind w:left="720"/>
        <w:rPr>
          <w:rFonts w:cstheme="minorHAnsi"/>
          <w:i/>
          <w:sz w:val="22"/>
          <w:szCs w:val="22"/>
          <w:lang w:bidi="th-TH"/>
        </w:rPr>
      </w:pPr>
      <w:r w:rsidRPr="005205CF">
        <w:rPr>
          <w:rFonts w:cstheme="minorHAnsi"/>
          <w:i/>
          <w:sz w:val="22"/>
          <w:szCs w:val="22"/>
          <w:lang w:bidi="th-TH"/>
        </w:rPr>
        <w:t xml:space="preserve">I think the other piece is again a bit of a broken record, but is how do we build those alliances collaborations? How do we co-locate services with our veterans population? How do we co-locate with [CBO name] who actually has a pretty amazing outreach with the Native community, especially around COVID and food scarcity issues? Rather than having to trail blaze it, how do we join those entities already? I think that's probably it is how do we don't have to do it all and be it all here. We can join forces with those people that are already trying to reach out to those groups. </w:t>
      </w:r>
      <w:r w:rsidRPr="005205CF">
        <w:rPr>
          <w:rFonts w:cstheme="minorHAnsi"/>
          <w:iCs/>
          <w:sz w:val="22"/>
          <w:szCs w:val="22"/>
          <w:lang w:bidi="th-TH"/>
        </w:rPr>
        <w:t>(Lead Administrator 07)</w:t>
      </w:r>
    </w:p>
    <w:p w14:paraId="17DC46D4" w14:textId="77777777" w:rsidR="003F2596" w:rsidRPr="005205CF" w:rsidRDefault="003F2596" w:rsidP="003F2596">
      <w:pPr>
        <w:ind w:left="720"/>
        <w:rPr>
          <w:rFonts w:cstheme="minorHAnsi"/>
          <w:i/>
          <w:sz w:val="22"/>
          <w:szCs w:val="22"/>
          <w:lang w:bidi="th-TH"/>
        </w:rPr>
      </w:pPr>
    </w:p>
    <w:p w14:paraId="7895EC1C" w14:textId="77777777" w:rsidR="003F2596" w:rsidRPr="005205CF" w:rsidRDefault="003F2596" w:rsidP="003F2596">
      <w:pPr>
        <w:ind w:left="720"/>
        <w:rPr>
          <w:rFonts w:cstheme="minorHAnsi"/>
          <w:iCs/>
          <w:sz w:val="22"/>
          <w:szCs w:val="22"/>
          <w:lang w:bidi="th-TH"/>
        </w:rPr>
      </w:pPr>
      <w:r w:rsidRPr="005205CF">
        <w:rPr>
          <w:rFonts w:cstheme="minorHAnsi"/>
          <w:i/>
          <w:sz w:val="22"/>
          <w:szCs w:val="22"/>
          <w:lang w:bidi="th-TH"/>
        </w:rPr>
        <w:t>We have created and partnered with some community</w:t>
      </w:r>
      <w:r>
        <w:rPr>
          <w:rFonts w:cstheme="minorHAnsi"/>
          <w:i/>
          <w:sz w:val="22"/>
          <w:szCs w:val="22"/>
          <w:lang w:bidi="th-TH"/>
        </w:rPr>
        <w:t>-</w:t>
      </w:r>
      <w:r w:rsidRPr="005205CF">
        <w:rPr>
          <w:rFonts w:cstheme="minorHAnsi"/>
          <w:i/>
          <w:sz w:val="22"/>
          <w:szCs w:val="22"/>
          <w:lang w:bidi="th-TH"/>
        </w:rPr>
        <w:t xml:space="preserve">based organizations. There's this [CBO name], for example, and working with them in the community and going on site to places where people work to try to engage them in different ways, and trying to find ways where we can be flexible with kind of our intake process, because again, we have these rules that dictate what we have to do to complete an assessment and to be able to then bill for services, but that, again, doesn't work... It doesn't work for a lot of people, but in particular, different cultures may really, really be guarded about coming in, and then just kind of going through a laborious interview process and not feeling like they're being heard. But I still feel like we have a lot of work to do and making sure we're continuing to do work in the community and find ways to be flexible where we can. </w:t>
      </w:r>
      <w:r w:rsidRPr="005205CF">
        <w:rPr>
          <w:rFonts w:cstheme="minorHAnsi"/>
          <w:iCs/>
          <w:sz w:val="22"/>
          <w:szCs w:val="22"/>
          <w:lang w:bidi="th-TH"/>
        </w:rPr>
        <w:t>(Lead Clinical 05)</w:t>
      </w:r>
    </w:p>
    <w:p w14:paraId="2A8FD7BF" w14:textId="31CE28D3" w:rsidR="003F2596" w:rsidRDefault="003F2596" w:rsidP="003F2596">
      <w:pPr>
        <w:rPr>
          <w:rFonts w:cstheme="minorHAnsi"/>
          <w:sz w:val="22"/>
          <w:szCs w:val="22"/>
          <w:lang w:val="en" w:bidi="th-TH"/>
        </w:rPr>
      </w:pPr>
    </w:p>
    <w:p w14:paraId="39B93C3D" w14:textId="77777777" w:rsidR="00CB5F47" w:rsidRPr="005205CF" w:rsidRDefault="00CB5F47" w:rsidP="00CB5F47">
      <w:pPr>
        <w:ind w:left="720"/>
        <w:rPr>
          <w:rFonts w:cstheme="minorHAnsi"/>
          <w:i/>
          <w:sz w:val="22"/>
          <w:szCs w:val="22"/>
          <w:lang w:bidi="th-TH"/>
        </w:rPr>
      </w:pPr>
      <w:r w:rsidRPr="005205CF">
        <w:rPr>
          <w:rFonts w:cstheme="minorHAnsi"/>
          <w:i/>
          <w:sz w:val="22"/>
          <w:szCs w:val="22"/>
          <w:lang w:bidi="th-TH"/>
        </w:rPr>
        <w:t xml:space="preserve">We could be a lot more effective at what we do if we had greater collaboration amongst all the payers, the contractors, and oversight sears. The CCBHC model could be really robust. </w:t>
      </w:r>
      <w:r w:rsidRPr="005205CF">
        <w:rPr>
          <w:rFonts w:cstheme="minorHAnsi"/>
          <w:iCs/>
          <w:sz w:val="22"/>
          <w:szCs w:val="22"/>
          <w:lang w:bidi="th-TH"/>
        </w:rPr>
        <w:t>(Lead Administrator 03)</w:t>
      </w:r>
    </w:p>
    <w:p w14:paraId="4D00FB65" w14:textId="77777777" w:rsidR="00CB5F47" w:rsidRPr="005205CF" w:rsidRDefault="00CB5F47" w:rsidP="003F2596">
      <w:pPr>
        <w:rPr>
          <w:rFonts w:cstheme="minorHAnsi"/>
          <w:sz w:val="22"/>
          <w:szCs w:val="22"/>
          <w:lang w:val="en" w:bidi="th-TH"/>
        </w:rPr>
      </w:pPr>
    </w:p>
    <w:p w14:paraId="7C7ABE1C"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 xml:space="preserve">Several clinic leaders noted that their community partners were likely unaware of their CCBHC status. Elevating awareness of CCBHCs and their unique attributes, particularly the integration of primary care and the requirement to accept anyone regardless of insurance status, was a suggested strategy that could help communities better leverage the CCBHCs. </w:t>
      </w:r>
    </w:p>
    <w:p w14:paraId="3A09FA74" w14:textId="77777777" w:rsidR="003F2596" w:rsidRDefault="003F2596" w:rsidP="003F2596">
      <w:pPr>
        <w:ind w:left="720"/>
        <w:rPr>
          <w:rFonts w:cstheme="minorHAnsi"/>
          <w:i/>
          <w:sz w:val="22"/>
          <w:szCs w:val="22"/>
          <w:lang w:bidi="th-TH"/>
        </w:rPr>
      </w:pPr>
    </w:p>
    <w:p w14:paraId="26658B24" w14:textId="3883F991" w:rsidR="003F2596" w:rsidRPr="005205CF" w:rsidRDefault="003F2596" w:rsidP="003F2596">
      <w:pPr>
        <w:ind w:left="720"/>
        <w:rPr>
          <w:rFonts w:cstheme="minorHAnsi"/>
          <w:iCs/>
          <w:sz w:val="22"/>
          <w:szCs w:val="22"/>
          <w:lang w:bidi="th-TH"/>
        </w:rPr>
      </w:pPr>
      <w:r w:rsidRPr="005205CF">
        <w:rPr>
          <w:rFonts w:cstheme="minorHAnsi"/>
          <w:i/>
          <w:sz w:val="22"/>
          <w:szCs w:val="22"/>
          <w:lang w:bidi="th-TH"/>
        </w:rPr>
        <w:t xml:space="preserve">It's interesting because I don't know how many of our providers are really aware of how we've been doing what we do or why we do what we do. I think they just think we do all these things. I don't think that they realize. Everyone knows that we are a federally qualified health center, but I don't know that they realize that we are a certified community behavioral health center. Maybe the hospital would be aware. Those who we have an MOU with would be aware just because we have those MOUs. But if you were to call the schools, they would like, "They're what?" </w:t>
      </w:r>
      <w:r w:rsidRPr="005205CF">
        <w:rPr>
          <w:rFonts w:cstheme="minorHAnsi"/>
          <w:iCs/>
          <w:sz w:val="22"/>
          <w:szCs w:val="22"/>
          <w:lang w:bidi="th-TH"/>
        </w:rPr>
        <w:t>(Lead Administrator 04)</w:t>
      </w:r>
    </w:p>
    <w:p w14:paraId="2097B022" w14:textId="77777777" w:rsidR="003F2596" w:rsidRPr="005205CF" w:rsidRDefault="003F2596" w:rsidP="003F2596">
      <w:pPr>
        <w:ind w:left="720"/>
        <w:rPr>
          <w:rFonts w:cstheme="minorHAnsi"/>
          <w:i/>
          <w:sz w:val="22"/>
          <w:szCs w:val="22"/>
          <w:lang w:bidi="th-TH"/>
        </w:rPr>
      </w:pPr>
    </w:p>
    <w:p w14:paraId="764CC9D6" w14:textId="77777777" w:rsidR="003F2596" w:rsidRPr="005205CF" w:rsidRDefault="003F2596" w:rsidP="003F2596">
      <w:pPr>
        <w:ind w:left="720"/>
        <w:rPr>
          <w:rFonts w:cstheme="minorHAnsi"/>
          <w:i/>
          <w:sz w:val="22"/>
          <w:szCs w:val="22"/>
          <w:lang w:bidi="th-TH"/>
        </w:rPr>
      </w:pPr>
      <w:r w:rsidRPr="005205CF">
        <w:rPr>
          <w:rFonts w:cstheme="minorHAnsi"/>
          <w:i/>
          <w:sz w:val="22"/>
          <w:szCs w:val="22"/>
          <w:lang w:bidi="th-TH"/>
        </w:rPr>
        <w:t xml:space="preserve">I don't know if any of the community partners that we work with, they understand it. We're a CCBHC, but I don't know if they really understand the difference between a CCBHC and a CMHP. </w:t>
      </w:r>
      <w:r w:rsidRPr="005205CF">
        <w:rPr>
          <w:rFonts w:cstheme="minorHAnsi"/>
          <w:iCs/>
          <w:sz w:val="22"/>
          <w:szCs w:val="22"/>
          <w:lang w:bidi="th-TH"/>
        </w:rPr>
        <w:t>(Lead Administrator 03)</w:t>
      </w:r>
    </w:p>
    <w:p w14:paraId="7AE80D80" w14:textId="77777777" w:rsidR="003F2596" w:rsidRPr="005205CF" w:rsidRDefault="003F2596" w:rsidP="003F2596">
      <w:pPr>
        <w:ind w:left="720"/>
        <w:rPr>
          <w:rFonts w:cstheme="minorHAnsi"/>
          <w:i/>
          <w:sz w:val="22"/>
          <w:szCs w:val="22"/>
        </w:rPr>
      </w:pPr>
    </w:p>
    <w:p w14:paraId="335AE3F5" w14:textId="77777777" w:rsidR="003F2596" w:rsidRPr="003F2596" w:rsidRDefault="003F2596" w:rsidP="003F2596">
      <w:pPr>
        <w:spacing w:after="120"/>
        <w:rPr>
          <w:b/>
          <w:bCs/>
          <w:i/>
          <w:iCs/>
          <w:color w:val="6A7F0F"/>
          <w:sz w:val="22"/>
          <w:szCs w:val="22"/>
        </w:rPr>
      </w:pPr>
      <w:bookmarkStart w:id="101" w:name="_Administrative_burden"/>
      <w:bookmarkEnd w:id="101"/>
      <w:r w:rsidRPr="003F2596">
        <w:rPr>
          <w:b/>
          <w:bCs/>
          <w:i/>
          <w:iCs/>
          <w:color w:val="6A7F0F"/>
          <w:sz w:val="22"/>
          <w:szCs w:val="22"/>
        </w:rPr>
        <w:t>Administrative Burden</w:t>
      </w:r>
    </w:p>
    <w:p w14:paraId="5E816EAB" w14:textId="77777777" w:rsidR="00323FC9" w:rsidRPr="005205CF" w:rsidRDefault="00323FC9" w:rsidP="00323FC9">
      <w:pPr>
        <w:rPr>
          <w:rFonts w:cstheme="minorHAnsi"/>
          <w:sz w:val="22"/>
          <w:szCs w:val="22"/>
          <w:lang w:val="en" w:bidi="th-TH"/>
        </w:rPr>
      </w:pPr>
      <w:r w:rsidRPr="005205CF">
        <w:rPr>
          <w:rFonts w:cstheme="minorHAnsi"/>
          <w:sz w:val="22"/>
          <w:szCs w:val="22"/>
          <w:lang w:val="en" w:bidi="th-TH"/>
        </w:rPr>
        <w:t>Many clinic leaders noted that metrics and reporting requirements contributed to high administrative burden. Clinic leaders generally believed that relieving some of the administrative burden would be a practical step toward reducing burnout among staff. Some clinic leaders suggested that consolidating the requirements for various contracts within the state, where possible, could also help reduce the administrative burden placed on clinics.</w:t>
      </w:r>
    </w:p>
    <w:p w14:paraId="05A5A547" w14:textId="77777777" w:rsidR="00323FC9" w:rsidRDefault="00323FC9" w:rsidP="003F2596">
      <w:pPr>
        <w:ind w:left="720"/>
        <w:rPr>
          <w:rFonts w:cstheme="minorHAnsi"/>
          <w:i/>
          <w:sz w:val="22"/>
          <w:szCs w:val="22"/>
          <w:lang w:val="en" w:bidi="th-TH"/>
        </w:rPr>
      </w:pPr>
    </w:p>
    <w:p w14:paraId="1ED28E8B" w14:textId="52C90A86" w:rsidR="003F2596" w:rsidRPr="005205CF" w:rsidRDefault="003F2596" w:rsidP="003F2596">
      <w:pPr>
        <w:ind w:left="720"/>
        <w:rPr>
          <w:rFonts w:cstheme="minorHAnsi"/>
          <w:sz w:val="22"/>
          <w:szCs w:val="22"/>
          <w:lang w:val="en" w:bidi="th-TH"/>
        </w:rPr>
      </w:pPr>
      <w:r w:rsidRPr="005205CF">
        <w:rPr>
          <w:rFonts w:cstheme="minorHAnsi"/>
          <w:i/>
          <w:sz w:val="22"/>
          <w:szCs w:val="22"/>
          <w:lang w:val="en" w:bidi="th-TH"/>
        </w:rPr>
        <w:t xml:space="preserve">My request is fewer hoops to jump through so that clinical staff can focus more on client care. That would be really valuable. I know there have to be checks and balances. However, sometimes I think it’s not necessary to do as many as are required. </w:t>
      </w:r>
      <w:r w:rsidRPr="005205CF">
        <w:rPr>
          <w:rFonts w:cstheme="minorHAnsi"/>
          <w:sz w:val="22"/>
          <w:szCs w:val="22"/>
          <w:lang w:val="en" w:bidi="th-TH"/>
        </w:rPr>
        <w:t xml:space="preserve">(Lead Clinical 04) </w:t>
      </w:r>
    </w:p>
    <w:p w14:paraId="0EB321DF" w14:textId="77777777" w:rsidR="003F2596" w:rsidRPr="005205CF" w:rsidRDefault="003F2596" w:rsidP="003F2596">
      <w:pPr>
        <w:ind w:left="720"/>
        <w:rPr>
          <w:rFonts w:cstheme="minorHAnsi"/>
          <w:sz w:val="22"/>
          <w:szCs w:val="22"/>
          <w:lang w:val="en" w:bidi="th-TH"/>
        </w:rPr>
      </w:pPr>
    </w:p>
    <w:p w14:paraId="09272468" w14:textId="77777777" w:rsidR="003F2596" w:rsidRPr="005205CF" w:rsidRDefault="003F2596" w:rsidP="003F2596">
      <w:pPr>
        <w:ind w:left="720"/>
        <w:rPr>
          <w:rFonts w:cstheme="minorHAnsi"/>
          <w:sz w:val="22"/>
          <w:szCs w:val="22"/>
          <w:lang w:val="en" w:bidi="th-TH"/>
        </w:rPr>
      </w:pPr>
      <w:r w:rsidRPr="005205CF">
        <w:rPr>
          <w:rFonts w:cstheme="minorHAnsi"/>
          <w:i/>
          <w:sz w:val="22"/>
          <w:szCs w:val="22"/>
          <w:lang w:val="en" w:bidi="th-TH"/>
        </w:rPr>
        <w:t>There are three major systems (CCHBC, CMHP, CCO) that are separate, all with different requirements… Aligning those funding sources better, and aligning the requirements and the metrics and the auditing and the certifications and all of that would be huge to better sustain us. Just pick the highest bar that we're going for here and go with that one. Don't have three different bars that are all at different levels</w:t>
      </w:r>
      <w:r w:rsidRPr="005205CF">
        <w:rPr>
          <w:rFonts w:cstheme="minorHAnsi"/>
          <w:sz w:val="22"/>
          <w:szCs w:val="22"/>
          <w:lang w:val="en" w:bidi="th-TH"/>
        </w:rPr>
        <w:t>. (Lead Clinical 07)</w:t>
      </w:r>
    </w:p>
    <w:p w14:paraId="1AD2A403" w14:textId="77777777" w:rsidR="003F2596" w:rsidRPr="003F2596" w:rsidRDefault="003F2596" w:rsidP="003F2596">
      <w:pPr>
        <w:spacing w:after="120"/>
        <w:rPr>
          <w:b/>
          <w:bCs/>
          <w:i/>
          <w:iCs/>
          <w:color w:val="6A7F0F"/>
          <w:sz w:val="22"/>
          <w:szCs w:val="22"/>
        </w:rPr>
      </w:pPr>
      <w:bookmarkStart w:id="102" w:name="_Primary_care_requirement"/>
      <w:bookmarkEnd w:id="102"/>
      <w:r w:rsidRPr="003F2596">
        <w:rPr>
          <w:b/>
          <w:bCs/>
          <w:i/>
          <w:iCs/>
          <w:color w:val="6A7F0F"/>
          <w:sz w:val="22"/>
          <w:szCs w:val="22"/>
        </w:rPr>
        <w:t>Meaningful Metrics</w:t>
      </w:r>
    </w:p>
    <w:p w14:paraId="3EF0CA04" w14:textId="77777777" w:rsidR="00323FC9" w:rsidRPr="005205CF" w:rsidRDefault="00323FC9" w:rsidP="00323FC9">
      <w:pPr>
        <w:rPr>
          <w:rFonts w:cstheme="minorHAnsi"/>
          <w:sz w:val="22"/>
          <w:szCs w:val="22"/>
        </w:rPr>
      </w:pPr>
      <w:r w:rsidRPr="005205CF">
        <w:rPr>
          <w:rFonts w:cstheme="minorHAnsi"/>
          <w:sz w:val="22"/>
          <w:szCs w:val="22"/>
          <w:lang w:val="en" w:bidi="th-TH"/>
        </w:rPr>
        <w:t>Some clinic leaders questioned the suitability of the current metrics and expressed a desire for better alignment with the intended goals of the CCBHC program. Clinic leaders held varied opinions on how the metrics could be improved and acknowledged that it is difficult to develop appropriate metrics. One c</w:t>
      </w:r>
      <w:r w:rsidRPr="005205CF">
        <w:rPr>
          <w:rFonts w:cstheme="minorHAnsi"/>
          <w:sz w:val="22"/>
          <w:szCs w:val="22"/>
          <w:lang w:bidi="th-TH"/>
        </w:rPr>
        <w:t xml:space="preserve">linic leader expressed concern that it is hard to measure short-term outcomes of CCBHC's effects and that it is necessary to have a long-term plan to measure outcomes. </w:t>
      </w:r>
      <w:r w:rsidRPr="005205CF">
        <w:rPr>
          <w:rFonts w:cstheme="minorHAnsi"/>
          <w:sz w:val="22"/>
          <w:szCs w:val="22"/>
          <w:lang w:val="en" w:bidi="th-TH"/>
        </w:rPr>
        <w:t>Overall, clinic leaders supported rigorous data collection for evaluation but wanted to ensure metrics are meaningful and actionable and not unnecessarily burdensome.</w:t>
      </w:r>
      <w:r w:rsidRPr="005205CF">
        <w:rPr>
          <w:rFonts w:cstheme="minorHAnsi"/>
          <w:sz w:val="22"/>
          <w:szCs w:val="22"/>
        </w:rPr>
        <w:t xml:space="preserve"> </w:t>
      </w:r>
    </w:p>
    <w:p w14:paraId="37CE4C74" w14:textId="77777777" w:rsidR="003F2596" w:rsidRDefault="003F2596" w:rsidP="003F2596">
      <w:pPr>
        <w:ind w:left="720"/>
        <w:rPr>
          <w:rFonts w:cstheme="minorHAnsi"/>
          <w:i/>
          <w:sz w:val="22"/>
          <w:szCs w:val="22"/>
          <w:lang w:val="en" w:bidi="th-TH"/>
        </w:rPr>
      </w:pPr>
    </w:p>
    <w:p w14:paraId="503527A9" w14:textId="3BF4C249"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So much of CCBHC isn’t easily measurable. </w:t>
      </w:r>
      <w:r w:rsidRPr="005205CF">
        <w:rPr>
          <w:rFonts w:cstheme="minorHAnsi"/>
          <w:iCs/>
          <w:sz w:val="22"/>
          <w:szCs w:val="22"/>
          <w:lang w:val="en" w:bidi="th-TH"/>
        </w:rPr>
        <w:t>(Lead Administrator 06)</w:t>
      </w:r>
      <w:r w:rsidRPr="005205CF">
        <w:rPr>
          <w:rFonts w:cstheme="minorHAnsi"/>
          <w:i/>
          <w:sz w:val="22"/>
          <w:szCs w:val="22"/>
          <w:lang w:val="en" w:bidi="th-TH"/>
        </w:rPr>
        <w:t xml:space="preserve"> </w:t>
      </w:r>
    </w:p>
    <w:p w14:paraId="223F4D99" w14:textId="77777777" w:rsidR="003F2596" w:rsidRPr="005205CF" w:rsidRDefault="003F2596" w:rsidP="003F2596">
      <w:pPr>
        <w:ind w:left="720"/>
        <w:rPr>
          <w:rFonts w:cstheme="minorHAnsi"/>
          <w:i/>
          <w:sz w:val="22"/>
          <w:szCs w:val="22"/>
          <w:lang w:val="en" w:bidi="th-TH"/>
        </w:rPr>
      </w:pPr>
    </w:p>
    <w:p w14:paraId="719099D5" w14:textId="77777777" w:rsidR="003F2596" w:rsidRPr="005205CF" w:rsidRDefault="003F2596" w:rsidP="003F2596">
      <w:pPr>
        <w:ind w:left="720"/>
        <w:rPr>
          <w:rFonts w:cstheme="minorHAnsi"/>
          <w:i/>
          <w:sz w:val="22"/>
          <w:szCs w:val="22"/>
          <w:lang w:val="en" w:bidi="th-TH"/>
        </w:rPr>
      </w:pPr>
      <w:r w:rsidRPr="005205CF">
        <w:rPr>
          <w:rFonts w:cstheme="minorHAnsi"/>
          <w:i/>
          <w:sz w:val="22"/>
          <w:szCs w:val="22"/>
          <w:lang w:bidi="th-TH"/>
        </w:rPr>
        <w:t>I think that the CCBHC model has allowed us to collect information, reflect on that information, reflect on how we can improve care and care delivery. We're tracking that much more robustly and much more efficiently, but it's also at this point, I think helping us in the two years, since I've been here, really reflect on what we should be tracking or what would be more meaningful for us to track, to improve quality of care… I'm hoping that the primary gist of all this is to create improved quality of care. With quality, comes improved outcomes … there's some of what we're tracking. I'd really like to see [the metrics] changed.</w:t>
      </w:r>
      <w:r w:rsidRPr="005205CF">
        <w:rPr>
          <w:rFonts w:eastAsia="Calibri" w:cstheme="minorHAnsi"/>
          <w:color w:val="000000"/>
          <w:sz w:val="22"/>
          <w:szCs w:val="22"/>
        </w:rPr>
        <w:t xml:space="preserve"> </w:t>
      </w:r>
      <w:r w:rsidRPr="005205CF">
        <w:rPr>
          <w:rFonts w:eastAsia="Calibri" w:cstheme="minorHAnsi"/>
          <w:i/>
          <w:color w:val="000000"/>
          <w:sz w:val="22"/>
          <w:szCs w:val="22"/>
        </w:rPr>
        <w:t>What is the purpose [of the metrics]? What is the meaning? Where is it driving our care? How am I supposed to use that information? I think that's what's never been shared with us is, "Here's this information you're collecting. This is how you should use it."</w:t>
      </w:r>
      <w:r w:rsidRPr="005205CF">
        <w:rPr>
          <w:rFonts w:cstheme="minorHAnsi"/>
          <w:color w:val="000000"/>
          <w:sz w:val="22"/>
          <w:szCs w:val="22"/>
        </w:rPr>
        <w:t xml:space="preserve"> (</w:t>
      </w:r>
      <w:r w:rsidRPr="005205CF">
        <w:rPr>
          <w:rFonts w:eastAsia="Calibri" w:cstheme="minorHAnsi"/>
          <w:color w:val="000000"/>
          <w:sz w:val="22"/>
          <w:szCs w:val="22"/>
        </w:rPr>
        <w:t>Lead Administrator 03)</w:t>
      </w:r>
    </w:p>
    <w:p w14:paraId="536A6382" w14:textId="77777777" w:rsidR="003F2596" w:rsidRPr="005205CF" w:rsidRDefault="003F2596" w:rsidP="003F2596">
      <w:pPr>
        <w:ind w:left="720"/>
        <w:rPr>
          <w:rFonts w:cstheme="minorHAnsi"/>
          <w:i/>
          <w:sz w:val="22"/>
          <w:szCs w:val="22"/>
          <w:lang w:val="en" w:bidi="th-TH"/>
        </w:rPr>
      </w:pPr>
    </w:p>
    <w:p w14:paraId="3378580E" w14:textId="77777777" w:rsidR="003F2596" w:rsidRPr="005205CF" w:rsidRDefault="003F2596" w:rsidP="003F2596">
      <w:pPr>
        <w:ind w:left="720"/>
        <w:rPr>
          <w:rFonts w:cstheme="minorHAnsi"/>
          <w:i/>
          <w:color w:val="000000"/>
          <w:sz w:val="22"/>
          <w:szCs w:val="22"/>
        </w:rPr>
      </w:pPr>
      <w:r w:rsidRPr="005205CF">
        <w:rPr>
          <w:rFonts w:cstheme="minorHAnsi"/>
          <w:i/>
          <w:color w:val="000000"/>
          <w:sz w:val="22"/>
          <w:szCs w:val="22"/>
        </w:rPr>
        <w:t xml:space="preserve">I know there was a big push on the data and the outcomes. We've pushed back pretty hard on what we think some of the benefits and limitations of those are. I'm not sure those are the best ways to ask those questions. I think the other challenge is that its sort of an investment in a long term, how do we ask these [questions] longitudinally over three, five, 10 years? </w:t>
      </w:r>
      <w:r w:rsidRPr="005205CF">
        <w:rPr>
          <w:rFonts w:cstheme="minorHAnsi"/>
          <w:iCs/>
          <w:color w:val="000000"/>
          <w:sz w:val="22"/>
          <w:szCs w:val="22"/>
        </w:rPr>
        <w:t>(Lead Administrator 07)</w:t>
      </w:r>
    </w:p>
    <w:p w14:paraId="2AD6E528" w14:textId="77777777" w:rsidR="003F2596" w:rsidRPr="005205CF" w:rsidRDefault="003F2596" w:rsidP="003F2596">
      <w:pPr>
        <w:rPr>
          <w:rFonts w:cstheme="minorHAnsi"/>
          <w:sz w:val="22"/>
          <w:szCs w:val="22"/>
        </w:rPr>
      </w:pPr>
    </w:p>
    <w:p w14:paraId="112201BB" w14:textId="77777777" w:rsidR="003F2596" w:rsidRPr="003F2596" w:rsidRDefault="003F2596" w:rsidP="003F2596">
      <w:pPr>
        <w:spacing w:after="120"/>
        <w:rPr>
          <w:b/>
          <w:bCs/>
          <w:i/>
          <w:iCs/>
          <w:color w:val="6A7F0F"/>
          <w:sz w:val="22"/>
          <w:szCs w:val="22"/>
        </w:rPr>
      </w:pPr>
      <w:bookmarkStart w:id="103" w:name="_Primary_care_requirement_1"/>
      <w:bookmarkEnd w:id="103"/>
      <w:r w:rsidRPr="003F2596">
        <w:rPr>
          <w:b/>
          <w:bCs/>
          <w:i/>
          <w:iCs/>
          <w:color w:val="6A7F0F"/>
          <w:sz w:val="22"/>
          <w:szCs w:val="22"/>
        </w:rPr>
        <w:t>Primary Care Requirement</w:t>
      </w:r>
    </w:p>
    <w:p w14:paraId="38EE1B3E" w14:textId="77777777" w:rsidR="00323FC9" w:rsidRPr="005205CF" w:rsidRDefault="00323FC9" w:rsidP="00323FC9">
      <w:pPr>
        <w:rPr>
          <w:rFonts w:cstheme="minorHAnsi"/>
          <w:sz w:val="22"/>
          <w:szCs w:val="22"/>
        </w:rPr>
      </w:pPr>
      <w:r w:rsidRPr="005205CF">
        <w:rPr>
          <w:rFonts w:cstheme="minorHAnsi"/>
          <w:sz w:val="22"/>
          <w:szCs w:val="22"/>
        </w:rPr>
        <w:t xml:space="preserve">While many clinic leaders expressed appreciation for the primary care requirement, some clinic leaders reported difficulty in meeting the 20-hour-per-week primary care requirement. Several reported that integrating primary care was one of the more challenging aspects of meeting the CCBHC program criteria. Some noted that they could not ensure a </w:t>
      </w:r>
      <w:r>
        <w:rPr>
          <w:rFonts w:cstheme="minorHAnsi"/>
          <w:sz w:val="22"/>
          <w:szCs w:val="22"/>
        </w:rPr>
        <w:t xml:space="preserve">patient </w:t>
      </w:r>
      <w:r w:rsidRPr="005205CF">
        <w:rPr>
          <w:rFonts w:cstheme="minorHAnsi"/>
          <w:sz w:val="22"/>
          <w:szCs w:val="22"/>
        </w:rPr>
        <w:t xml:space="preserve">panel to support 20 hours, while others indicated that service users preferred to establish primary care elsewhere. A few indicated that while primary care was available on-site, the infrastructure necessary to support integration of care was not in place. In addition, </w:t>
      </w:r>
      <w:r>
        <w:rPr>
          <w:rFonts w:cstheme="minorHAnsi"/>
          <w:sz w:val="22"/>
          <w:szCs w:val="22"/>
        </w:rPr>
        <w:t>some</w:t>
      </w:r>
      <w:r w:rsidRPr="005205CF">
        <w:rPr>
          <w:rFonts w:cstheme="minorHAnsi"/>
          <w:sz w:val="22"/>
          <w:szCs w:val="22"/>
        </w:rPr>
        <w:t xml:space="preserve"> clinic leaders </w:t>
      </w:r>
      <w:r>
        <w:rPr>
          <w:rFonts w:cstheme="minorHAnsi"/>
          <w:sz w:val="22"/>
          <w:szCs w:val="22"/>
        </w:rPr>
        <w:t>wanted</w:t>
      </w:r>
      <w:r w:rsidRPr="005205CF">
        <w:rPr>
          <w:rFonts w:cstheme="minorHAnsi"/>
          <w:sz w:val="22"/>
          <w:szCs w:val="22"/>
        </w:rPr>
        <w:t xml:space="preserve"> more flexibility in Oregon’s primary care requirement.</w:t>
      </w:r>
    </w:p>
    <w:p w14:paraId="032E7FC4" w14:textId="77777777" w:rsidR="003F2596" w:rsidRDefault="003F2596" w:rsidP="003F2596">
      <w:pPr>
        <w:ind w:left="720"/>
        <w:rPr>
          <w:rFonts w:cstheme="minorHAnsi"/>
          <w:i/>
          <w:sz w:val="22"/>
          <w:szCs w:val="22"/>
        </w:rPr>
      </w:pPr>
    </w:p>
    <w:p w14:paraId="534BDA9D" w14:textId="518F57F7" w:rsidR="003F2596" w:rsidRPr="005205CF" w:rsidRDefault="003F2596" w:rsidP="003F2596">
      <w:pPr>
        <w:ind w:left="720"/>
        <w:rPr>
          <w:rFonts w:cstheme="minorHAnsi"/>
          <w:i/>
          <w:color w:val="000000"/>
          <w:sz w:val="22"/>
          <w:szCs w:val="22"/>
        </w:rPr>
      </w:pPr>
      <w:r w:rsidRPr="005205CF">
        <w:rPr>
          <w:rFonts w:cstheme="minorHAnsi"/>
          <w:i/>
          <w:sz w:val="22"/>
          <w:szCs w:val="22"/>
        </w:rPr>
        <w:t xml:space="preserve">It was 20 hours at each clinic site where you had to provide primary care. I mean, that is expensive. If you're just starting up, that's like, "Whew." I think we actually got a waiver to work with [primary care partner] on their site for primary care. They had a preexisting relationship. We actually used the opportunity. We spent most of our CCBHC money on getting our primary care up and going. It's been good for us because we are now an FQHC. </w:t>
      </w:r>
      <w:r w:rsidRPr="005205CF">
        <w:rPr>
          <w:rFonts w:cstheme="minorHAnsi"/>
          <w:iCs/>
          <w:sz w:val="22"/>
          <w:szCs w:val="22"/>
        </w:rPr>
        <w:t>(Lead Administrator</w:t>
      </w:r>
      <w:r w:rsidRPr="005205CF">
        <w:rPr>
          <w:rFonts w:cstheme="minorHAnsi"/>
          <w:iCs/>
          <w:color w:val="000000"/>
          <w:sz w:val="22"/>
          <w:szCs w:val="22"/>
        </w:rPr>
        <w:t xml:space="preserve"> 06) </w:t>
      </w:r>
    </w:p>
    <w:p w14:paraId="200EADC7" w14:textId="77777777" w:rsidR="003F2596" w:rsidRPr="005205CF" w:rsidRDefault="003F2596" w:rsidP="003F2596">
      <w:pPr>
        <w:ind w:left="720"/>
        <w:rPr>
          <w:rFonts w:cstheme="minorHAnsi"/>
          <w:i/>
          <w:sz w:val="22"/>
          <w:szCs w:val="22"/>
        </w:rPr>
      </w:pPr>
    </w:p>
    <w:p w14:paraId="6E2D5E9E" w14:textId="77777777" w:rsidR="003F2596" w:rsidRPr="005205CF" w:rsidRDefault="003F2596" w:rsidP="003F2596">
      <w:pPr>
        <w:ind w:left="720"/>
        <w:rPr>
          <w:rFonts w:cstheme="minorHAnsi"/>
          <w:i/>
          <w:sz w:val="22"/>
          <w:szCs w:val="22"/>
        </w:rPr>
      </w:pPr>
      <w:r w:rsidRPr="005205CF">
        <w:rPr>
          <w:rFonts w:cstheme="minorHAnsi"/>
          <w:i/>
          <w:sz w:val="22"/>
          <w:szCs w:val="22"/>
        </w:rPr>
        <w:t xml:space="preserve">It took us about a year to stand that up where we're co-located with our local FQHC, but that did happen. That was a huge success. And downtown, we had already had [primary care partner] embedded, so that was just kind of a place we could learn from. That's continued to be a great partnership at our downtown clinic. [One location] there wasn't the demand for the 20 hours. They were really reluctant to continue to provide medical services for up to 20 hours when there wasn't enough financial incentive for them. </w:t>
      </w:r>
      <w:r w:rsidRPr="005205CF">
        <w:rPr>
          <w:rFonts w:cstheme="minorHAnsi"/>
          <w:iCs/>
          <w:sz w:val="22"/>
          <w:szCs w:val="22"/>
        </w:rPr>
        <w:t>(Lead Administrator 09)</w:t>
      </w:r>
    </w:p>
    <w:p w14:paraId="5D93BD7F" w14:textId="77777777" w:rsidR="003F2596" w:rsidRPr="005205CF" w:rsidRDefault="003F2596" w:rsidP="003F2596">
      <w:pPr>
        <w:ind w:left="720"/>
        <w:rPr>
          <w:rFonts w:cstheme="minorHAnsi"/>
          <w:i/>
          <w:color w:val="0070C0"/>
          <w:sz w:val="22"/>
          <w:szCs w:val="22"/>
        </w:rPr>
      </w:pPr>
    </w:p>
    <w:p w14:paraId="07D992C6" w14:textId="7C202C03" w:rsidR="003F2596" w:rsidRPr="005205CF" w:rsidRDefault="003F2596" w:rsidP="003F2596">
      <w:pPr>
        <w:ind w:left="720"/>
        <w:rPr>
          <w:rFonts w:cstheme="minorHAnsi"/>
          <w:i/>
          <w:sz w:val="22"/>
          <w:szCs w:val="22"/>
        </w:rPr>
      </w:pPr>
      <w:r w:rsidRPr="005205CF">
        <w:rPr>
          <w:rFonts w:cstheme="minorHAnsi"/>
          <w:i/>
          <w:sz w:val="22"/>
          <w:szCs w:val="22"/>
        </w:rPr>
        <w:t>OHA had a higher level of expectation than other CCBHCs around the country that said, you need to have at least 20 hours. We asked for a waiver, now we had already brought in one of our partners to one of our clinics…to offer primary care on site, but getting to 20 hours? We have never really achieved that. I think part of the issue is, as I said, that we have an FQHC literally down the street. Trying to tell people, make this your long-term primary care home in your episode of care with us, maybe six months, year, three months. Why? Why not just go down the street and establish primary care with someone there that really can be my long</w:t>
      </w:r>
      <w:r w:rsidR="00CB5F47">
        <w:rPr>
          <w:rFonts w:cstheme="minorHAnsi"/>
          <w:i/>
          <w:sz w:val="22"/>
          <w:szCs w:val="22"/>
        </w:rPr>
        <w:t>-</w:t>
      </w:r>
      <w:r w:rsidRPr="005205CF">
        <w:rPr>
          <w:rFonts w:cstheme="minorHAnsi"/>
          <w:i/>
          <w:sz w:val="22"/>
          <w:szCs w:val="22"/>
        </w:rPr>
        <w:t xml:space="preserve">term provider. </w:t>
      </w:r>
      <w:r w:rsidRPr="005205CF">
        <w:rPr>
          <w:rFonts w:cstheme="minorHAnsi"/>
          <w:iCs/>
          <w:sz w:val="22"/>
          <w:szCs w:val="22"/>
        </w:rPr>
        <w:t>(Lead Administrator 13)</w:t>
      </w:r>
    </w:p>
    <w:p w14:paraId="40E05D0B" w14:textId="77777777" w:rsidR="003F2596" w:rsidRPr="005205CF" w:rsidRDefault="003F2596" w:rsidP="003F2596">
      <w:pPr>
        <w:ind w:left="720"/>
        <w:rPr>
          <w:rFonts w:cstheme="minorHAnsi"/>
          <w:i/>
          <w:sz w:val="22"/>
          <w:szCs w:val="22"/>
        </w:rPr>
      </w:pPr>
    </w:p>
    <w:p w14:paraId="7A5E41CA" w14:textId="77777777" w:rsidR="003F2596" w:rsidRPr="005205CF" w:rsidRDefault="003F2596" w:rsidP="003F2596">
      <w:pPr>
        <w:ind w:left="720"/>
        <w:rPr>
          <w:rFonts w:cstheme="minorHAnsi"/>
          <w:i/>
          <w:sz w:val="22"/>
          <w:szCs w:val="22"/>
        </w:rPr>
      </w:pPr>
      <w:r w:rsidRPr="005205CF">
        <w:rPr>
          <w:rFonts w:cstheme="minorHAnsi"/>
          <w:i/>
          <w:sz w:val="22"/>
          <w:szCs w:val="22"/>
        </w:rPr>
        <w:t>It</w:t>
      </w:r>
      <w:r w:rsidRPr="005205CF">
        <w:rPr>
          <w:rFonts w:cstheme="minorHAnsi"/>
          <w:i/>
          <w:color w:val="000000"/>
          <w:sz w:val="22"/>
          <w:szCs w:val="22"/>
        </w:rPr>
        <w:t xml:space="preserve"> would be nice if that wasn't there. I mean, we did it. It would be nice if it lined up more federally, because the Feds don't require that 20 hours, that's a state thing. Then we could decide whether we still had it or not. We would probably continue, but I tell you, it costs more than it brings in. </w:t>
      </w:r>
      <w:r w:rsidRPr="005205CF">
        <w:rPr>
          <w:rFonts w:cstheme="minorHAnsi"/>
          <w:iCs/>
          <w:color w:val="000000"/>
          <w:sz w:val="22"/>
          <w:szCs w:val="22"/>
        </w:rPr>
        <w:t>(Lead Clinical 09)</w:t>
      </w:r>
    </w:p>
    <w:p w14:paraId="0D0ED793" w14:textId="77777777" w:rsidR="003F2596" w:rsidRPr="005205CF" w:rsidRDefault="003F2596" w:rsidP="003F2596">
      <w:pPr>
        <w:rPr>
          <w:rFonts w:cstheme="minorHAnsi"/>
          <w:sz w:val="22"/>
          <w:szCs w:val="22"/>
        </w:rPr>
      </w:pPr>
    </w:p>
    <w:p w14:paraId="0D70D92E" w14:textId="77777777" w:rsidR="003F2596" w:rsidRPr="003F2596" w:rsidRDefault="003F2596" w:rsidP="003F2596">
      <w:pPr>
        <w:spacing w:after="120"/>
        <w:rPr>
          <w:b/>
          <w:bCs/>
          <w:i/>
          <w:iCs/>
          <w:color w:val="6A7F0F"/>
          <w:sz w:val="22"/>
          <w:szCs w:val="22"/>
        </w:rPr>
      </w:pPr>
      <w:bookmarkStart w:id="104" w:name="_PPS_and_Medicaid"/>
      <w:bookmarkEnd w:id="104"/>
      <w:r w:rsidRPr="003F2596">
        <w:rPr>
          <w:b/>
          <w:bCs/>
          <w:i/>
          <w:iCs/>
          <w:color w:val="6A7F0F"/>
          <w:sz w:val="22"/>
          <w:szCs w:val="22"/>
        </w:rPr>
        <w:t>PPS and Medicaid Reimbursement Rates</w:t>
      </w:r>
    </w:p>
    <w:p w14:paraId="3D4864B8" w14:textId="0449E333" w:rsidR="003F2596" w:rsidRPr="005205CF" w:rsidRDefault="00805EB4" w:rsidP="003F2596">
      <w:pPr>
        <w:rPr>
          <w:rFonts w:cstheme="minorHAnsi"/>
          <w:sz w:val="22"/>
          <w:szCs w:val="22"/>
          <w:lang w:val="en" w:bidi="th-TH"/>
        </w:rPr>
      </w:pPr>
      <w:r w:rsidRPr="005205CF">
        <w:rPr>
          <w:rFonts w:cstheme="minorHAnsi"/>
          <w:sz w:val="22"/>
          <w:szCs w:val="22"/>
          <w:lang w:val="en" w:bidi="th-TH"/>
        </w:rPr>
        <w:t>Clinic leaders discussed the importance of the PPS rates for enabling them to increase access in their communities by providing services “outside the four walls,” engaging more intentionally in care coordination, and expanding their staff. However, clinic leaders expressed concerns that the PPS rate had not been adjusted in recent years to keep pace with increases in the Medicaid reimbursement rates</w:t>
      </w:r>
      <w:r w:rsidR="003F2596" w:rsidRPr="005205CF">
        <w:rPr>
          <w:rFonts w:cstheme="minorHAnsi"/>
          <w:sz w:val="22"/>
          <w:szCs w:val="22"/>
          <w:lang w:val="en" w:bidi="th-TH"/>
        </w:rPr>
        <w:t>.</w:t>
      </w:r>
    </w:p>
    <w:p w14:paraId="73FA7B78" w14:textId="77777777" w:rsidR="003F2596" w:rsidRDefault="003F2596" w:rsidP="003F2596">
      <w:pPr>
        <w:ind w:left="720"/>
        <w:rPr>
          <w:rFonts w:cstheme="minorHAnsi"/>
          <w:i/>
          <w:sz w:val="22"/>
          <w:szCs w:val="22"/>
          <w:lang w:val="en" w:bidi="th-TH"/>
        </w:rPr>
      </w:pPr>
    </w:p>
    <w:p w14:paraId="1D4CCABA" w14:textId="18F46CB1"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Rate setting [is] hugely important. You can't increase Medicaid rates and not increase the CCBHC rates, because the CCBHCs will never see it…</w:t>
      </w:r>
      <w:r w:rsidRPr="005205CF">
        <w:rPr>
          <w:rFonts w:cstheme="minorHAnsi"/>
          <w:i/>
          <w:sz w:val="22"/>
          <w:szCs w:val="22"/>
          <w:lang w:bidi="th-TH"/>
        </w:rPr>
        <w:t>that's a sustainability issue.</w:t>
      </w:r>
      <w:r w:rsidRPr="005205CF">
        <w:rPr>
          <w:rFonts w:cstheme="minorHAnsi"/>
          <w:i/>
          <w:sz w:val="22"/>
          <w:szCs w:val="22"/>
          <w:lang w:val="en" w:bidi="th-TH"/>
        </w:rPr>
        <w:t xml:space="preserve"> </w:t>
      </w:r>
      <w:r w:rsidRPr="005205CF">
        <w:rPr>
          <w:rFonts w:cstheme="minorHAnsi"/>
          <w:iCs/>
          <w:sz w:val="22"/>
          <w:szCs w:val="22"/>
          <w:lang w:val="en" w:bidi="th-TH"/>
        </w:rPr>
        <w:t>(Lead Administrator 01)</w:t>
      </w:r>
    </w:p>
    <w:p w14:paraId="2609F9EB" w14:textId="77777777" w:rsidR="003F2596" w:rsidRPr="005205CF" w:rsidRDefault="003F2596" w:rsidP="003F2596">
      <w:pPr>
        <w:ind w:left="720"/>
        <w:rPr>
          <w:rFonts w:cstheme="minorHAnsi"/>
          <w:i/>
          <w:sz w:val="22"/>
          <w:szCs w:val="22"/>
          <w:lang w:val="en" w:bidi="th-TH"/>
        </w:rPr>
      </w:pPr>
    </w:p>
    <w:p w14:paraId="67C5769F" w14:textId="77777777" w:rsidR="003F2596" w:rsidRPr="005205CF" w:rsidRDefault="003F2596" w:rsidP="003F2596">
      <w:pPr>
        <w:ind w:left="720"/>
        <w:rPr>
          <w:rFonts w:cstheme="minorHAnsi"/>
          <w:i/>
          <w:color w:val="000000"/>
          <w:sz w:val="22"/>
          <w:szCs w:val="22"/>
        </w:rPr>
      </w:pPr>
      <w:r w:rsidRPr="005205CF">
        <w:rPr>
          <w:rFonts w:eastAsia="Calibri" w:cstheme="minorHAnsi"/>
          <w:i/>
          <w:color w:val="000000"/>
          <w:sz w:val="22"/>
          <w:szCs w:val="22"/>
        </w:rPr>
        <w:t>There</w:t>
      </w:r>
      <w:r>
        <w:rPr>
          <w:rFonts w:eastAsia="Calibri" w:cstheme="minorHAnsi"/>
          <w:i/>
          <w:color w:val="000000"/>
          <w:sz w:val="22"/>
          <w:szCs w:val="22"/>
        </w:rPr>
        <w:t xml:space="preserve"> are</w:t>
      </w:r>
      <w:r w:rsidRPr="005205CF">
        <w:rPr>
          <w:rFonts w:eastAsia="Calibri" w:cstheme="minorHAnsi"/>
          <w:i/>
          <w:color w:val="000000"/>
          <w:sz w:val="22"/>
          <w:szCs w:val="22"/>
        </w:rPr>
        <w:t xml:space="preserve"> some concerns recently about accessing PPS rates or payments, the p</w:t>
      </w:r>
      <w:r w:rsidRPr="005205CF">
        <w:rPr>
          <w:rFonts w:eastAsia="Calibri" w:cstheme="minorHAnsi"/>
          <w:i/>
          <w:sz w:val="22"/>
          <w:szCs w:val="22"/>
        </w:rPr>
        <w:t>rosp</w:t>
      </w:r>
      <w:r w:rsidRPr="005205CF">
        <w:rPr>
          <w:rFonts w:eastAsia="Calibri" w:cstheme="minorHAnsi"/>
          <w:i/>
          <w:color w:val="000000"/>
          <w:sz w:val="22"/>
          <w:szCs w:val="22"/>
        </w:rPr>
        <w:t>ective payment. Our business officer could speak on this for days, and very eloquently, and I can't, but I know there's real concern. If we can't access the PPS payment, because there's enhanced rates elsewhere, but those enhanced rates aren't covering the cost of us doing business, that's a problem.</w:t>
      </w:r>
      <w:r w:rsidRPr="005205CF">
        <w:rPr>
          <w:rFonts w:cstheme="minorHAnsi"/>
          <w:i/>
          <w:color w:val="000000"/>
          <w:sz w:val="22"/>
          <w:szCs w:val="22"/>
        </w:rPr>
        <w:t xml:space="preserve"> </w:t>
      </w:r>
      <w:r w:rsidRPr="005205CF">
        <w:rPr>
          <w:rFonts w:cstheme="minorHAnsi"/>
          <w:iCs/>
          <w:color w:val="000000"/>
          <w:sz w:val="22"/>
          <w:szCs w:val="22"/>
        </w:rPr>
        <w:t>(Lead Clinical 05)</w:t>
      </w:r>
    </w:p>
    <w:p w14:paraId="1D64B231" w14:textId="77777777" w:rsidR="003F2596" w:rsidRPr="005205CF" w:rsidRDefault="003F2596" w:rsidP="003F2596">
      <w:pPr>
        <w:ind w:left="720"/>
        <w:rPr>
          <w:rFonts w:cstheme="minorHAnsi"/>
          <w:i/>
          <w:sz w:val="22"/>
          <w:szCs w:val="22"/>
          <w:lang w:val="en" w:bidi="th-TH"/>
        </w:rPr>
      </w:pPr>
    </w:p>
    <w:p w14:paraId="3B14C204" w14:textId="77777777" w:rsidR="003F2596" w:rsidRPr="005205CF" w:rsidRDefault="003F2596" w:rsidP="003F2596">
      <w:pPr>
        <w:ind w:left="720"/>
        <w:rPr>
          <w:rFonts w:cstheme="minorHAnsi"/>
          <w:iCs/>
          <w:sz w:val="22"/>
          <w:szCs w:val="22"/>
          <w:lang w:val="en" w:bidi="th-TH"/>
        </w:rPr>
      </w:pPr>
      <w:r w:rsidRPr="005205CF">
        <w:rPr>
          <w:rFonts w:cstheme="minorHAnsi"/>
          <w:i/>
          <w:sz w:val="22"/>
          <w:szCs w:val="22"/>
          <w:lang w:bidi="th-TH"/>
        </w:rPr>
        <w:t xml:space="preserve">We need a recalculation of the rates. I mean, you know that the state just did this huge behavioral health fee increase. That’s probably going to make it impossible for us to ever get any CCBHC revenue, maybe that's okay. Maybe all of this results in our being flush and being able to operate without an enhanced Medicaid payment. I don't think so, because even with the increases, it's a 10%, 17%, 30%, the CCBHC PPS is a three to one. It's just massive by comparison. All those increases get us up over a threshold, which means we can't draw down the enhanced rate. </w:t>
      </w:r>
      <w:r w:rsidRPr="005205CF">
        <w:rPr>
          <w:rFonts w:cstheme="minorHAnsi"/>
          <w:iCs/>
          <w:sz w:val="22"/>
          <w:szCs w:val="22"/>
          <w:lang w:bidi="th-TH"/>
        </w:rPr>
        <w:t>(Lead Administrator</w:t>
      </w:r>
      <w:r w:rsidRPr="005205CF">
        <w:rPr>
          <w:rFonts w:cstheme="minorHAnsi"/>
          <w:iCs/>
          <w:color w:val="000000"/>
          <w:sz w:val="22"/>
          <w:szCs w:val="22"/>
        </w:rPr>
        <w:t xml:space="preserve"> 10)</w:t>
      </w:r>
    </w:p>
    <w:p w14:paraId="2663E07B" w14:textId="77777777" w:rsidR="003F2596" w:rsidRPr="005205CF" w:rsidRDefault="003F2596" w:rsidP="003F2596">
      <w:pPr>
        <w:rPr>
          <w:rFonts w:cstheme="minorHAnsi"/>
          <w:sz w:val="22"/>
          <w:szCs w:val="22"/>
        </w:rPr>
      </w:pPr>
    </w:p>
    <w:p w14:paraId="60A79E08" w14:textId="77777777" w:rsidR="003F2596" w:rsidRPr="003F2596" w:rsidRDefault="003F2596" w:rsidP="003F2596">
      <w:pPr>
        <w:spacing w:after="120"/>
        <w:rPr>
          <w:b/>
          <w:bCs/>
          <w:i/>
          <w:iCs/>
          <w:color w:val="6A7F0F"/>
          <w:sz w:val="22"/>
          <w:szCs w:val="22"/>
        </w:rPr>
      </w:pPr>
      <w:bookmarkStart w:id="105" w:name="_Resources_&amp;_support"/>
      <w:bookmarkEnd w:id="105"/>
      <w:r w:rsidRPr="003F2596">
        <w:rPr>
          <w:b/>
          <w:bCs/>
          <w:i/>
          <w:iCs/>
          <w:color w:val="6A7F0F"/>
          <w:sz w:val="22"/>
          <w:szCs w:val="22"/>
        </w:rPr>
        <w:t>Resources and Support</w:t>
      </w:r>
    </w:p>
    <w:p w14:paraId="3C691E90" w14:textId="77777777" w:rsidR="00805EB4" w:rsidRPr="005205CF" w:rsidRDefault="00805EB4" w:rsidP="00805EB4">
      <w:pPr>
        <w:rPr>
          <w:rFonts w:cstheme="minorHAnsi"/>
          <w:sz w:val="22"/>
          <w:szCs w:val="22"/>
          <w:lang w:val="en" w:bidi="th-TH"/>
        </w:rPr>
      </w:pPr>
      <w:r w:rsidRPr="005205CF">
        <w:rPr>
          <w:rFonts w:cstheme="minorHAnsi"/>
          <w:sz w:val="22"/>
          <w:szCs w:val="22"/>
          <w:lang w:val="en" w:bidi="th-TH"/>
        </w:rPr>
        <w:t xml:space="preserve">Several clinic leaders remarked on limited OHA involvement at the beginning of the demonstration program, while expressing gratitude for recent increases in OHA communication and support. During the CCBHC implementation, some clinic leaders shared that they would have preferred more training and technical assistance, especially with some of the administrative functions, including billing, data collection and reporting, and setting up data infrastructure to best facilitate these processes. Going forward, clinic leaders expressed hope that OHA would continue to provide more regular opportunities for Oregon’s CCBHCs to convene and learn from each other. While clinic leaders spoke generally about the importance of OHA guidance and support, they identified an opportunity for OHA to specifically provide more guidance to CCBHCs on all facets of the program, including using data for quality improvement, identifying service gaps in the community, and engaging community and service users to develop and implement culturally specific outreach and services. </w:t>
      </w:r>
    </w:p>
    <w:p w14:paraId="5EA83ABD" w14:textId="77777777" w:rsidR="00805EB4" w:rsidRDefault="00805EB4" w:rsidP="003F2596">
      <w:pPr>
        <w:ind w:left="720"/>
        <w:rPr>
          <w:rFonts w:cstheme="minorHAnsi"/>
          <w:i/>
          <w:sz w:val="22"/>
          <w:szCs w:val="22"/>
          <w:lang w:val="en" w:bidi="th-TH"/>
        </w:rPr>
      </w:pPr>
    </w:p>
    <w:p w14:paraId="0C5AE365" w14:textId="4EF9C285"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The more training we do, the more guidance is given [from OHA] … it’s really valuable to make sure we're heading in the right direction. </w:t>
      </w:r>
      <w:r w:rsidRPr="005205CF">
        <w:rPr>
          <w:rFonts w:cstheme="minorHAnsi"/>
          <w:iCs/>
          <w:sz w:val="22"/>
          <w:szCs w:val="22"/>
          <w:lang w:val="en" w:bidi="th-TH"/>
        </w:rPr>
        <w:t>(Lead Clinical 04)</w:t>
      </w:r>
    </w:p>
    <w:p w14:paraId="15D259D5" w14:textId="77777777" w:rsidR="003F2596" w:rsidRPr="005205CF" w:rsidRDefault="003F2596" w:rsidP="003F2596">
      <w:pPr>
        <w:ind w:left="720"/>
        <w:rPr>
          <w:rFonts w:cstheme="minorHAnsi"/>
          <w:i/>
          <w:sz w:val="22"/>
          <w:szCs w:val="22"/>
          <w:lang w:val="en" w:bidi="th-TH"/>
        </w:rPr>
      </w:pPr>
    </w:p>
    <w:p w14:paraId="41CD0670" w14:textId="77777777" w:rsidR="003F2596" w:rsidRPr="005205CF" w:rsidRDefault="003F2596" w:rsidP="003F2596">
      <w:pPr>
        <w:ind w:left="720"/>
        <w:rPr>
          <w:rFonts w:cstheme="minorHAnsi"/>
          <w:i/>
          <w:sz w:val="22"/>
          <w:szCs w:val="22"/>
          <w:lang w:val="en" w:bidi="th-TH"/>
        </w:rPr>
      </w:pPr>
      <w:r w:rsidRPr="005205CF">
        <w:rPr>
          <w:rFonts w:cstheme="minorHAnsi"/>
          <w:i/>
          <w:sz w:val="22"/>
          <w:szCs w:val="22"/>
          <w:lang w:val="en" w:bidi="th-TH"/>
        </w:rPr>
        <w:t xml:space="preserve">I think having the technical assistance and support from the state is really important. And because there's a learning curve, I think it’s important to feel like it's a supportive process, rather than a punitive process. </w:t>
      </w:r>
      <w:r w:rsidRPr="005205CF">
        <w:rPr>
          <w:rFonts w:cstheme="minorHAnsi"/>
          <w:iCs/>
          <w:sz w:val="22"/>
          <w:szCs w:val="22"/>
          <w:lang w:val="en" w:bidi="th-TH"/>
        </w:rPr>
        <w:t xml:space="preserve">(Lead Administrator 08) </w:t>
      </w:r>
    </w:p>
    <w:p w14:paraId="717CCA28" w14:textId="77777777" w:rsidR="003F2596" w:rsidRPr="005205CF" w:rsidRDefault="003F2596" w:rsidP="003F2596">
      <w:pPr>
        <w:ind w:left="720"/>
        <w:rPr>
          <w:rFonts w:cstheme="minorHAnsi"/>
          <w:i/>
          <w:sz w:val="22"/>
          <w:szCs w:val="22"/>
          <w:lang w:val="en" w:bidi="th-TH"/>
        </w:rPr>
      </w:pPr>
    </w:p>
    <w:p w14:paraId="5B6447B5" w14:textId="77777777" w:rsidR="003F2596" w:rsidRPr="005205CF" w:rsidRDefault="003F2596" w:rsidP="003F2596">
      <w:pPr>
        <w:ind w:left="720"/>
        <w:rPr>
          <w:rFonts w:cstheme="minorHAnsi"/>
          <w:iCs/>
          <w:sz w:val="22"/>
          <w:szCs w:val="22"/>
          <w:lang w:val="en" w:bidi="th-TH"/>
        </w:rPr>
      </w:pPr>
      <w:r w:rsidRPr="005205CF">
        <w:rPr>
          <w:rFonts w:cstheme="minorHAnsi"/>
          <w:i/>
          <w:sz w:val="22"/>
          <w:szCs w:val="22"/>
          <w:lang w:val="en" w:bidi="th-TH"/>
        </w:rPr>
        <w:t xml:space="preserve">I get the most value from talking to my colleagues, the other community mental health programs, and CCBHCs. </w:t>
      </w:r>
      <w:r w:rsidRPr="005205CF">
        <w:rPr>
          <w:rFonts w:cstheme="minorHAnsi"/>
          <w:iCs/>
          <w:sz w:val="22"/>
          <w:szCs w:val="22"/>
          <w:lang w:val="en" w:bidi="th-TH"/>
        </w:rPr>
        <w:t xml:space="preserve">(Lead Administrator 07) </w:t>
      </w:r>
    </w:p>
    <w:p w14:paraId="0420088E" w14:textId="7881ADA9" w:rsidR="00F1430C" w:rsidRDefault="00F1430C" w:rsidP="00F1430C"/>
    <w:p w14:paraId="21F02E2C" w14:textId="561336D8" w:rsidR="001D23F4" w:rsidRDefault="001D23F4">
      <w:r>
        <w:br w:type="page"/>
      </w:r>
    </w:p>
    <w:p w14:paraId="5786E4FA" w14:textId="4D134E9B" w:rsidR="00DE38DB" w:rsidRPr="00000D4B" w:rsidRDefault="00DE38DB" w:rsidP="0058670B">
      <w:pPr>
        <w:pStyle w:val="Heading2"/>
        <w:spacing w:before="0"/>
        <w:jc w:val="center"/>
        <w:rPr>
          <w:rFonts w:asciiTheme="minorHAnsi" w:hAnsiTheme="minorHAnsi" w:cstheme="minorHAnsi"/>
          <w:b/>
          <w:bCs/>
          <w:color w:val="6A7F0F"/>
        </w:rPr>
      </w:pPr>
      <w:bookmarkStart w:id="106" w:name="_Appendix_6:_Appendix"/>
      <w:bookmarkStart w:id="107" w:name="_Toc126068197"/>
      <w:bookmarkEnd w:id="106"/>
      <w:r w:rsidRPr="00000D4B">
        <w:rPr>
          <w:rFonts w:asciiTheme="minorHAnsi" w:hAnsiTheme="minorHAnsi" w:cstheme="minorHAnsi"/>
          <w:b/>
          <w:bCs/>
          <w:color w:val="6A7F0F"/>
        </w:rPr>
        <w:t>Appendix 6</w:t>
      </w:r>
      <w:r w:rsidR="00A460F8" w:rsidRPr="00000D4B">
        <w:rPr>
          <w:rFonts w:asciiTheme="minorHAnsi" w:hAnsiTheme="minorHAnsi" w:cstheme="minorHAnsi"/>
          <w:b/>
          <w:bCs/>
          <w:color w:val="6A7F0F"/>
        </w:rPr>
        <w:t>: Extended Report of Feedback from Key Interested Parties</w:t>
      </w:r>
      <w:r w:rsidR="00E37DAB" w:rsidRPr="00000D4B">
        <w:rPr>
          <w:rFonts w:asciiTheme="minorHAnsi" w:hAnsiTheme="minorHAnsi" w:cstheme="minorHAnsi"/>
          <w:b/>
          <w:bCs/>
          <w:color w:val="6A7F0F"/>
        </w:rPr>
        <w:t xml:space="preserve"> and</w:t>
      </w:r>
      <w:r w:rsidR="00A460F8" w:rsidRPr="00000D4B">
        <w:rPr>
          <w:rFonts w:asciiTheme="minorHAnsi" w:hAnsiTheme="minorHAnsi" w:cstheme="minorHAnsi"/>
          <w:b/>
          <w:bCs/>
          <w:color w:val="6A7F0F"/>
        </w:rPr>
        <w:t xml:space="preserve"> Community-Based Organizations</w:t>
      </w:r>
      <w:bookmarkEnd w:id="107"/>
      <w:r w:rsidR="00A460F8" w:rsidRPr="00000D4B">
        <w:rPr>
          <w:rFonts w:asciiTheme="minorHAnsi" w:hAnsiTheme="minorHAnsi" w:cstheme="minorHAnsi"/>
          <w:b/>
          <w:bCs/>
          <w:color w:val="6A7F0F"/>
        </w:rPr>
        <w:t xml:space="preserve"> </w:t>
      </w:r>
    </w:p>
    <w:p w14:paraId="0B68E905" w14:textId="77777777" w:rsidR="00E847F0" w:rsidRDefault="00E847F0" w:rsidP="00E847F0">
      <w:pPr>
        <w:rPr>
          <w:rFonts w:cstheme="minorHAnsi"/>
          <w:bCs/>
          <w:sz w:val="22"/>
          <w:szCs w:val="22"/>
        </w:rPr>
      </w:pPr>
    </w:p>
    <w:p w14:paraId="611CDF51" w14:textId="55E7BE75" w:rsidR="00805EB4" w:rsidRPr="00333A08" w:rsidRDefault="00805EB4" w:rsidP="00805EB4">
      <w:pPr>
        <w:rPr>
          <w:rFonts w:cstheme="minorHAnsi"/>
          <w:bCs/>
          <w:sz w:val="22"/>
          <w:szCs w:val="22"/>
        </w:rPr>
      </w:pPr>
      <w:r w:rsidRPr="00333A08">
        <w:rPr>
          <w:rFonts w:cstheme="minorHAnsi"/>
          <w:bCs/>
          <w:sz w:val="22"/>
          <w:szCs w:val="22"/>
        </w:rPr>
        <w:t xml:space="preserve">This extended report of feedback from key interested parties, including community-based organizations (CBO), provides a summary of the themes that emerged from interviews, focus groups, and surveys with key interested parties and CBO representatives. Data collection methods and analysis are </w:t>
      </w:r>
      <w:r>
        <w:rPr>
          <w:rFonts w:cstheme="minorHAnsi"/>
          <w:bCs/>
          <w:sz w:val="22"/>
          <w:szCs w:val="22"/>
        </w:rPr>
        <w:t>describ</w:t>
      </w:r>
      <w:r w:rsidRPr="00333A08">
        <w:rPr>
          <w:rFonts w:cstheme="minorHAnsi"/>
          <w:bCs/>
          <w:sz w:val="22"/>
          <w:szCs w:val="22"/>
        </w:rPr>
        <w:t xml:space="preserve">ed in detail in </w:t>
      </w:r>
      <w:hyperlink w:anchor="_Appendix_3:_Detailed" w:history="1">
        <w:r w:rsidRPr="00805EB4">
          <w:rPr>
            <w:rStyle w:val="Hyperlink"/>
            <w:rFonts w:cstheme="minorHAnsi"/>
            <w:bCs/>
            <w:sz w:val="22"/>
            <w:szCs w:val="22"/>
          </w:rPr>
          <w:t>Appendix 3</w:t>
        </w:r>
      </w:hyperlink>
      <w:r w:rsidRPr="00333A08">
        <w:rPr>
          <w:rFonts w:cstheme="minorHAnsi"/>
          <w:bCs/>
          <w:sz w:val="22"/>
          <w:szCs w:val="22"/>
        </w:rPr>
        <w:t>.</w:t>
      </w:r>
    </w:p>
    <w:p w14:paraId="0AAB62AE" w14:textId="77777777" w:rsidR="00E847F0" w:rsidRPr="00333A08" w:rsidRDefault="00E847F0" w:rsidP="00E847F0">
      <w:pPr>
        <w:rPr>
          <w:rFonts w:cstheme="minorHAnsi"/>
          <w:bCs/>
          <w:sz w:val="22"/>
          <w:szCs w:val="22"/>
        </w:rPr>
      </w:pPr>
    </w:p>
    <w:p w14:paraId="6BF5585E" w14:textId="77777777" w:rsidR="00E847F0" w:rsidRPr="00A17C4D" w:rsidRDefault="00E847F0" w:rsidP="00A17C4D">
      <w:pPr>
        <w:spacing w:after="120"/>
        <w:rPr>
          <w:b/>
          <w:bCs/>
          <w:i/>
          <w:iCs/>
          <w:color w:val="6A7F0F"/>
          <w:highlight w:val="white"/>
        </w:rPr>
      </w:pPr>
      <w:bookmarkStart w:id="108" w:name="_Key_Interested_Parties"/>
      <w:bookmarkEnd w:id="108"/>
      <w:r w:rsidRPr="00A17C4D">
        <w:rPr>
          <w:b/>
          <w:bCs/>
          <w:i/>
          <w:iCs/>
          <w:color w:val="6A7F0F"/>
          <w:highlight w:val="white"/>
        </w:rPr>
        <w:t>Key Interested Parties and CBO Representatives</w:t>
      </w:r>
    </w:p>
    <w:p w14:paraId="474822D8" w14:textId="77777777" w:rsidR="00805EB4" w:rsidRPr="00333A08" w:rsidRDefault="00805EB4" w:rsidP="00805EB4">
      <w:pPr>
        <w:rPr>
          <w:rFonts w:cstheme="minorHAnsi"/>
          <w:bCs/>
          <w:sz w:val="22"/>
          <w:szCs w:val="22"/>
        </w:rPr>
      </w:pPr>
      <w:r w:rsidRPr="00333A08">
        <w:rPr>
          <w:rFonts w:cstheme="minorHAnsi"/>
          <w:bCs/>
          <w:sz w:val="22"/>
          <w:szCs w:val="22"/>
        </w:rPr>
        <w:t xml:space="preserve">Key interested parties and CBO representatives represent a range of perspectives, including school-based health centers, K-12 education, social service agencies, coordinated care organization (CCO) behavioral health directors, insurance, OHA leadership, law enforcement, advocates, Oregon legislators, hospitals, and peer recovery agencies. </w:t>
      </w:r>
    </w:p>
    <w:p w14:paraId="04A77D47" w14:textId="77777777" w:rsidR="00E847F0" w:rsidRPr="00333A08" w:rsidRDefault="00E847F0" w:rsidP="00E847F0">
      <w:pPr>
        <w:rPr>
          <w:rFonts w:cstheme="minorHAnsi"/>
          <w:bCs/>
          <w:sz w:val="22"/>
          <w:szCs w:val="22"/>
        </w:rPr>
      </w:pPr>
    </w:p>
    <w:p w14:paraId="287DB867" w14:textId="77777777" w:rsidR="00E847F0" w:rsidRPr="00A17C4D" w:rsidRDefault="00E847F0" w:rsidP="00A17C4D">
      <w:pPr>
        <w:spacing w:after="120"/>
        <w:rPr>
          <w:b/>
          <w:bCs/>
          <w:i/>
          <w:iCs/>
          <w:color w:val="6A7F0F"/>
          <w:highlight w:val="white"/>
        </w:rPr>
      </w:pPr>
      <w:r w:rsidRPr="00A17C4D">
        <w:rPr>
          <w:b/>
          <w:bCs/>
          <w:i/>
          <w:iCs/>
          <w:color w:val="6A7F0F"/>
          <w:highlight w:val="white"/>
        </w:rPr>
        <w:t>Limitations of Data</w:t>
      </w:r>
    </w:p>
    <w:p w14:paraId="5E42ED9A" w14:textId="77777777" w:rsidR="00805EB4" w:rsidRPr="00333A08" w:rsidRDefault="00805EB4" w:rsidP="00805EB4">
      <w:pPr>
        <w:rPr>
          <w:rFonts w:cstheme="minorHAnsi"/>
          <w:bCs/>
          <w:sz w:val="22"/>
          <w:szCs w:val="22"/>
        </w:rPr>
      </w:pPr>
      <w:r w:rsidRPr="00333A08">
        <w:rPr>
          <w:rFonts w:cstheme="minorHAnsi"/>
          <w:bCs/>
          <w:sz w:val="22"/>
          <w:szCs w:val="22"/>
        </w:rPr>
        <w:t xml:space="preserve">The evaluation team engaged </w:t>
      </w:r>
      <w:r>
        <w:rPr>
          <w:rFonts w:cstheme="minorHAnsi"/>
          <w:bCs/>
          <w:sz w:val="22"/>
          <w:szCs w:val="22"/>
        </w:rPr>
        <w:t>several</w:t>
      </w:r>
      <w:r w:rsidRPr="00333A08">
        <w:rPr>
          <w:rFonts w:cstheme="minorHAnsi"/>
          <w:bCs/>
          <w:sz w:val="22"/>
          <w:szCs w:val="22"/>
        </w:rPr>
        <w:t xml:space="preserve"> key interested parties and CBO representatives with different perspectives and interests in Oregon’s behavioral health system. However, there are perspectives that are missing, in particular representing the diversity of community-based organizations that potentially work with and/or have interests in the CCBHCs. Only three CBO representatives attended the focus group</w:t>
      </w:r>
      <w:r>
        <w:rPr>
          <w:rFonts w:cstheme="minorHAnsi"/>
          <w:bCs/>
          <w:sz w:val="22"/>
          <w:szCs w:val="22"/>
        </w:rPr>
        <w:t>;</w:t>
      </w:r>
      <w:r w:rsidRPr="00333A08">
        <w:rPr>
          <w:rFonts w:cstheme="minorHAnsi"/>
          <w:bCs/>
          <w:sz w:val="22"/>
          <w:szCs w:val="22"/>
        </w:rPr>
        <w:t xml:space="preserve"> despite inviting a wide range of CBO representatives to participate in the survey, only four completed the survey. </w:t>
      </w:r>
    </w:p>
    <w:p w14:paraId="091D0589" w14:textId="77777777" w:rsidR="00E847F0" w:rsidRPr="00333A08" w:rsidRDefault="00E847F0" w:rsidP="00E847F0">
      <w:pPr>
        <w:rPr>
          <w:rFonts w:cstheme="minorHAnsi"/>
          <w:bCs/>
          <w:sz w:val="22"/>
          <w:szCs w:val="22"/>
        </w:rPr>
      </w:pPr>
    </w:p>
    <w:p w14:paraId="6F4FD6CC" w14:textId="77777777" w:rsidR="00805EB4" w:rsidRPr="00333A08" w:rsidRDefault="00805EB4" w:rsidP="00805EB4">
      <w:pPr>
        <w:rPr>
          <w:rFonts w:cstheme="minorHAnsi"/>
          <w:bCs/>
          <w:sz w:val="22"/>
          <w:szCs w:val="22"/>
        </w:rPr>
      </w:pPr>
      <w:r w:rsidRPr="00333A08">
        <w:rPr>
          <w:rFonts w:cstheme="minorHAnsi"/>
          <w:sz w:val="22"/>
          <w:szCs w:val="22"/>
        </w:rPr>
        <w:t xml:space="preserve">Future evaluations would benefit from longer recruitment periods, multiple opportunities for data collection, and coordinated recruitment efforts among CCBHCs and community partners to ensure sufficient and appropriate outreach is conducted to include these important perspectives. While CCBHC leaders often identified relevant CBOs in their interviews with the evaluation team, more participation likely could have been secured if the CCBHC leaders had contacted their partner CBOs directly; however, this would have placed an additional time and task burden on the CCBHC leaders. </w:t>
      </w:r>
      <w:r w:rsidRPr="00333A08">
        <w:rPr>
          <w:rFonts w:cstheme="minorHAnsi"/>
          <w:bCs/>
          <w:sz w:val="22"/>
          <w:szCs w:val="22"/>
        </w:rPr>
        <w:t xml:space="preserve">Particular attention </w:t>
      </w:r>
      <w:r>
        <w:rPr>
          <w:rFonts w:cstheme="minorHAnsi"/>
          <w:bCs/>
          <w:sz w:val="22"/>
          <w:szCs w:val="22"/>
        </w:rPr>
        <w:t>needs to be given</w:t>
      </w:r>
      <w:r w:rsidRPr="00333A08">
        <w:rPr>
          <w:rFonts w:cstheme="minorHAnsi"/>
          <w:bCs/>
          <w:sz w:val="22"/>
          <w:szCs w:val="22"/>
        </w:rPr>
        <w:t xml:space="preserve"> to engaging representatives from CBOs that serve communities that experience historic and contemporary injustices. Future evaluations </w:t>
      </w:r>
      <w:r>
        <w:rPr>
          <w:rFonts w:cstheme="minorHAnsi"/>
          <w:bCs/>
          <w:sz w:val="22"/>
          <w:szCs w:val="22"/>
        </w:rPr>
        <w:t>ideally will use</w:t>
      </w:r>
      <w:r w:rsidRPr="00333A08">
        <w:rPr>
          <w:rFonts w:cstheme="minorHAnsi"/>
          <w:bCs/>
          <w:sz w:val="22"/>
          <w:szCs w:val="22"/>
        </w:rPr>
        <w:t xml:space="preserve"> community-engaged participatory approaches to </w:t>
      </w:r>
      <w:r>
        <w:rPr>
          <w:rFonts w:cstheme="minorHAnsi"/>
          <w:bCs/>
          <w:sz w:val="22"/>
          <w:szCs w:val="22"/>
        </w:rPr>
        <w:t>involve</w:t>
      </w:r>
      <w:r w:rsidRPr="00333A08">
        <w:rPr>
          <w:rFonts w:cstheme="minorHAnsi"/>
          <w:bCs/>
          <w:sz w:val="22"/>
          <w:szCs w:val="22"/>
        </w:rPr>
        <w:t xml:space="preserve"> advocates, community leaders, community members, and CBO representatives in evaluating the impact of the CCBHC program on individual and community health. </w:t>
      </w:r>
    </w:p>
    <w:p w14:paraId="3281B449" w14:textId="77777777" w:rsidR="00E847F0" w:rsidRPr="00333A08" w:rsidRDefault="00E847F0" w:rsidP="00E847F0">
      <w:pPr>
        <w:rPr>
          <w:rFonts w:cstheme="minorHAnsi"/>
          <w:bCs/>
          <w:sz w:val="22"/>
          <w:szCs w:val="22"/>
        </w:rPr>
      </w:pPr>
    </w:p>
    <w:p w14:paraId="34EE2FB5" w14:textId="77777777" w:rsidR="00E847F0" w:rsidRPr="00A17C4D" w:rsidRDefault="00E847F0" w:rsidP="00A17C4D">
      <w:pPr>
        <w:spacing w:after="120"/>
        <w:rPr>
          <w:b/>
          <w:bCs/>
          <w:i/>
          <w:iCs/>
          <w:color w:val="6A7F0F"/>
          <w:highlight w:val="white"/>
        </w:rPr>
      </w:pPr>
      <w:r w:rsidRPr="00A17C4D">
        <w:rPr>
          <w:b/>
          <w:bCs/>
          <w:i/>
          <w:iCs/>
          <w:color w:val="6A7F0F"/>
          <w:highlight w:val="white"/>
        </w:rPr>
        <w:t>Findings</w:t>
      </w:r>
    </w:p>
    <w:p w14:paraId="30A90EC4" w14:textId="3F4977A9" w:rsidR="00E847F0" w:rsidRPr="00333A08" w:rsidRDefault="00E847F0" w:rsidP="00E847F0">
      <w:pPr>
        <w:rPr>
          <w:rFonts w:cstheme="minorHAnsi"/>
          <w:sz w:val="22"/>
          <w:szCs w:val="22"/>
        </w:rPr>
      </w:pPr>
      <w:r w:rsidRPr="00333A08">
        <w:rPr>
          <w:rFonts w:cstheme="minorHAnsi"/>
          <w:sz w:val="22"/>
          <w:szCs w:val="22"/>
        </w:rPr>
        <w:t xml:space="preserve">The following themes emerged from </w:t>
      </w:r>
      <w:r>
        <w:rPr>
          <w:rFonts w:cstheme="minorHAnsi"/>
          <w:sz w:val="22"/>
          <w:szCs w:val="22"/>
        </w:rPr>
        <w:t>the</w:t>
      </w:r>
      <w:r w:rsidRPr="00333A08">
        <w:rPr>
          <w:rFonts w:cstheme="minorHAnsi"/>
          <w:sz w:val="22"/>
          <w:szCs w:val="22"/>
        </w:rPr>
        <w:t xml:space="preserve"> key interested parties and CBO representatives:</w:t>
      </w:r>
      <w:r w:rsidR="00CB5F47">
        <w:rPr>
          <w:rFonts w:cstheme="minorHAnsi"/>
          <w:sz w:val="22"/>
          <w:szCs w:val="22"/>
        </w:rPr>
        <w:t xml:space="preserve"> behavioral health system capacity; care coordination; rightsizing the CCBHC model and establishing realistic standards; considerations for special populations; and sustainability. Subthemes are discussed below.</w:t>
      </w:r>
    </w:p>
    <w:p w14:paraId="163E7BA0" w14:textId="77777777" w:rsidR="00E847F0" w:rsidRPr="00333A08" w:rsidRDefault="00E847F0" w:rsidP="00E847F0">
      <w:pPr>
        <w:ind w:left="1080"/>
        <w:rPr>
          <w:rFonts w:cstheme="minorHAnsi"/>
          <w:sz w:val="22"/>
          <w:szCs w:val="22"/>
        </w:rPr>
      </w:pPr>
    </w:p>
    <w:p w14:paraId="7619794C" w14:textId="5E776F3E" w:rsidR="00E847F0" w:rsidRPr="00E847F0" w:rsidRDefault="00E847F0" w:rsidP="00E847F0">
      <w:pPr>
        <w:spacing w:after="120"/>
        <w:rPr>
          <w:rFonts w:cstheme="minorHAnsi"/>
          <w:b/>
          <w:bCs/>
          <w:color w:val="6A7F0F"/>
        </w:rPr>
      </w:pPr>
      <w:bookmarkStart w:id="109" w:name="_Behavioral_health_system"/>
      <w:bookmarkEnd w:id="109"/>
      <w:r w:rsidRPr="00E847F0">
        <w:rPr>
          <w:rFonts w:cstheme="minorHAnsi"/>
          <w:b/>
          <w:bCs/>
          <w:color w:val="6A7F0F"/>
        </w:rPr>
        <w:t xml:space="preserve">Behavioral Health System Capacity </w:t>
      </w:r>
    </w:p>
    <w:p w14:paraId="765018FD" w14:textId="77777777" w:rsidR="00805EB4" w:rsidRPr="00333A08" w:rsidRDefault="00805EB4" w:rsidP="00805EB4">
      <w:pPr>
        <w:rPr>
          <w:rFonts w:cstheme="minorHAnsi"/>
          <w:sz w:val="22"/>
          <w:szCs w:val="22"/>
        </w:rPr>
      </w:pPr>
      <w:r w:rsidRPr="00333A08">
        <w:rPr>
          <w:rFonts w:cstheme="minorHAnsi"/>
          <w:sz w:val="22"/>
          <w:szCs w:val="22"/>
        </w:rPr>
        <w:t>Key interested parties and community-based organization (CBO) representatives interviewed had varying levels of familiarity with CCBHCs; however, all had knowledge of Oregon’s behavioral health system. Interview findings with interested parties</w:t>
      </w:r>
      <w:r>
        <w:rPr>
          <w:rFonts w:cstheme="minorHAnsi"/>
          <w:sz w:val="22"/>
          <w:szCs w:val="22"/>
        </w:rPr>
        <w:t xml:space="preserve"> and</w:t>
      </w:r>
      <w:r w:rsidRPr="00333A08">
        <w:rPr>
          <w:rFonts w:cstheme="minorHAnsi"/>
          <w:sz w:val="22"/>
          <w:szCs w:val="22"/>
        </w:rPr>
        <w:t xml:space="preserve"> CBO representatives</w:t>
      </w:r>
      <w:r>
        <w:rPr>
          <w:rFonts w:cstheme="minorHAnsi"/>
          <w:sz w:val="22"/>
          <w:szCs w:val="22"/>
        </w:rPr>
        <w:t xml:space="preserve"> </w:t>
      </w:r>
      <w:r w:rsidRPr="00333A08">
        <w:rPr>
          <w:rFonts w:cstheme="minorHAnsi"/>
          <w:sz w:val="22"/>
          <w:szCs w:val="22"/>
        </w:rPr>
        <w:t>highlighted the challenges and limitations of Oregon’s behavioral health system and provided important context for the evaluation of the CCBHCs. As one key interested party noted: “</w:t>
      </w:r>
      <w:r w:rsidRPr="00333A08">
        <w:rPr>
          <w:rFonts w:cstheme="minorHAnsi"/>
          <w:i/>
          <w:sz w:val="22"/>
          <w:szCs w:val="22"/>
        </w:rPr>
        <w:t xml:space="preserve">The CCBHC model is only as good as the rest of the system” </w:t>
      </w:r>
      <w:r w:rsidRPr="00333A08">
        <w:rPr>
          <w:rFonts w:cstheme="minorHAnsi"/>
          <w:iCs/>
          <w:sz w:val="22"/>
          <w:szCs w:val="22"/>
        </w:rPr>
        <w:t>(Interested Party 05).</w:t>
      </w:r>
      <w:r w:rsidRPr="00333A08">
        <w:rPr>
          <w:rFonts w:cstheme="minorHAnsi"/>
          <w:i/>
          <w:sz w:val="22"/>
          <w:szCs w:val="22"/>
        </w:rPr>
        <w:t xml:space="preserve"> </w:t>
      </w:r>
      <w:r w:rsidRPr="00333A08">
        <w:rPr>
          <w:rFonts w:cstheme="minorHAnsi"/>
          <w:sz w:val="22"/>
          <w:szCs w:val="22"/>
        </w:rPr>
        <w:t>Priority capacity challenges reported by key interested parties and CBO representatives included inadequate funding, workforce challenges, and lack of residential treatment and housing.</w:t>
      </w:r>
    </w:p>
    <w:p w14:paraId="5D5A5FFC" w14:textId="77777777" w:rsidR="00E847F0" w:rsidRPr="00333A08" w:rsidRDefault="00E847F0" w:rsidP="00E847F0">
      <w:pPr>
        <w:rPr>
          <w:rFonts w:cstheme="minorHAnsi"/>
          <w:sz w:val="22"/>
          <w:szCs w:val="22"/>
        </w:rPr>
      </w:pPr>
    </w:p>
    <w:p w14:paraId="6F213823" w14:textId="77777777" w:rsidR="00E847F0" w:rsidRPr="00E847F0" w:rsidRDefault="00E847F0" w:rsidP="00E847F0">
      <w:pPr>
        <w:spacing w:after="120"/>
        <w:rPr>
          <w:b/>
          <w:bCs/>
          <w:i/>
          <w:iCs/>
          <w:color w:val="6A7F0F"/>
          <w:sz w:val="22"/>
          <w:szCs w:val="22"/>
        </w:rPr>
      </w:pPr>
      <w:bookmarkStart w:id="110" w:name="_Inadequate_funding"/>
      <w:bookmarkEnd w:id="110"/>
      <w:r w:rsidRPr="00E847F0">
        <w:rPr>
          <w:b/>
          <w:bCs/>
          <w:i/>
          <w:iCs/>
          <w:color w:val="6A7F0F"/>
          <w:sz w:val="22"/>
          <w:szCs w:val="22"/>
        </w:rPr>
        <w:t>Inadequate Funding</w:t>
      </w:r>
    </w:p>
    <w:p w14:paraId="4200A7B2" w14:textId="77777777" w:rsidR="00805EB4" w:rsidRPr="00333A08" w:rsidRDefault="00805EB4" w:rsidP="00805EB4">
      <w:pPr>
        <w:rPr>
          <w:rFonts w:cstheme="minorHAnsi"/>
          <w:sz w:val="22"/>
          <w:szCs w:val="22"/>
        </w:rPr>
      </w:pPr>
      <w:r w:rsidRPr="00333A08">
        <w:rPr>
          <w:rFonts w:cstheme="minorHAnsi"/>
          <w:sz w:val="22"/>
          <w:szCs w:val="22"/>
        </w:rPr>
        <w:t>Inadequate funding was a commonly reported barrier to increasing access to behavioral healthcare in Oregon. Several key interested parties noted that the funding invested into behavioral health did not match the expectations, with on</w:t>
      </w:r>
      <w:r>
        <w:rPr>
          <w:rFonts w:cstheme="minorHAnsi"/>
          <w:sz w:val="22"/>
          <w:szCs w:val="22"/>
        </w:rPr>
        <w:t>e</w:t>
      </w:r>
      <w:r w:rsidRPr="00333A08">
        <w:rPr>
          <w:rFonts w:cstheme="minorHAnsi"/>
          <w:sz w:val="22"/>
          <w:szCs w:val="22"/>
        </w:rPr>
        <w:t xml:space="preserve"> key interested party reporting that the behavioral health system is expected to address systemic social issues with limited resources. </w:t>
      </w:r>
    </w:p>
    <w:p w14:paraId="7180C8E1" w14:textId="77777777" w:rsidR="00E847F0" w:rsidRDefault="00E847F0" w:rsidP="00E847F0">
      <w:pPr>
        <w:ind w:left="720"/>
        <w:rPr>
          <w:rFonts w:eastAsia="Calibri" w:cstheme="minorHAnsi"/>
          <w:i/>
          <w:color w:val="000000"/>
          <w:sz w:val="22"/>
          <w:szCs w:val="22"/>
        </w:rPr>
      </w:pPr>
    </w:p>
    <w:p w14:paraId="31CE3105" w14:textId="6C57706C" w:rsidR="00E847F0" w:rsidRPr="00333A08" w:rsidRDefault="00E847F0" w:rsidP="00E847F0">
      <w:pPr>
        <w:ind w:left="720"/>
        <w:rPr>
          <w:rFonts w:cstheme="minorHAnsi"/>
          <w:iCs/>
          <w:sz w:val="22"/>
          <w:szCs w:val="22"/>
        </w:rPr>
      </w:pPr>
      <w:r w:rsidRPr="00333A08">
        <w:rPr>
          <w:rFonts w:eastAsia="Calibri" w:cstheme="minorHAnsi"/>
          <w:i/>
          <w:color w:val="000000"/>
          <w:sz w:val="22"/>
          <w:szCs w:val="22"/>
        </w:rPr>
        <w:t xml:space="preserve">I think that the biggest barrier to behavioral health is, frankly, we don't fund the system proportionate to the deliverables that we want. I think that we've then maybe erred in talking about the system being broken when it is actually functioning at the level that it's funded. </w:t>
      </w:r>
      <w:r w:rsidRPr="00333A08">
        <w:rPr>
          <w:rFonts w:eastAsia="Calibri" w:cstheme="minorHAnsi"/>
          <w:iCs/>
          <w:color w:val="000000"/>
          <w:sz w:val="22"/>
          <w:szCs w:val="22"/>
        </w:rPr>
        <w:t xml:space="preserve">(Interested Party </w:t>
      </w:r>
      <w:r w:rsidRPr="00333A08">
        <w:rPr>
          <w:rFonts w:cstheme="minorHAnsi"/>
          <w:iCs/>
          <w:sz w:val="22"/>
          <w:szCs w:val="22"/>
        </w:rPr>
        <w:t>14)</w:t>
      </w:r>
    </w:p>
    <w:p w14:paraId="4E3B65AE" w14:textId="77777777" w:rsidR="00E847F0" w:rsidRPr="00333A08" w:rsidRDefault="00E847F0" w:rsidP="00E847F0">
      <w:pPr>
        <w:ind w:left="720"/>
        <w:rPr>
          <w:rFonts w:cstheme="minorHAnsi"/>
          <w:i/>
          <w:sz w:val="22"/>
          <w:szCs w:val="22"/>
        </w:rPr>
      </w:pPr>
    </w:p>
    <w:p w14:paraId="57B8AE62" w14:textId="77777777" w:rsidR="00E847F0" w:rsidRPr="00333A08" w:rsidRDefault="00E847F0" w:rsidP="00E847F0">
      <w:pPr>
        <w:ind w:left="720"/>
        <w:rPr>
          <w:rFonts w:cstheme="minorHAnsi"/>
          <w:i/>
          <w:sz w:val="22"/>
          <w:szCs w:val="22"/>
        </w:rPr>
      </w:pPr>
      <w:r w:rsidRPr="00333A08">
        <w:rPr>
          <w:rFonts w:cstheme="minorHAnsi"/>
          <w:i/>
          <w:sz w:val="22"/>
          <w:szCs w:val="22"/>
        </w:rPr>
        <w:t xml:space="preserve">Most people outside of the [behavioral health] sector don’t understand how because of our bad historic funding structures these agencies are way too lean on the operations side to deliver fidelity care or do innovation. </w:t>
      </w:r>
      <w:r w:rsidRPr="00333A08">
        <w:rPr>
          <w:rFonts w:cstheme="minorHAnsi"/>
          <w:sz w:val="22"/>
          <w:szCs w:val="22"/>
        </w:rPr>
        <w:t>(Interested Party 23)</w:t>
      </w:r>
      <w:r w:rsidRPr="00333A08">
        <w:rPr>
          <w:rFonts w:cstheme="minorHAnsi"/>
          <w:i/>
          <w:sz w:val="22"/>
          <w:szCs w:val="22"/>
        </w:rPr>
        <w:t xml:space="preserve"> </w:t>
      </w:r>
    </w:p>
    <w:p w14:paraId="6306CE33" w14:textId="77777777" w:rsidR="00E847F0" w:rsidRPr="00333A08" w:rsidRDefault="00E847F0" w:rsidP="00E847F0">
      <w:pPr>
        <w:ind w:left="720"/>
        <w:rPr>
          <w:rFonts w:cstheme="minorHAnsi"/>
          <w:i/>
          <w:sz w:val="22"/>
          <w:szCs w:val="22"/>
        </w:rPr>
      </w:pPr>
    </w:p>
    <w:p w14:paraId="17216A40" w14:textId="77777777" w:rsidR="00E847F0" w:rsidRPr="00333A08" w:rsidRDefault="00E847F0" w:rsidP="00E847F0">
      <w:pPr>
        <w:ind w:left="720"/>
        <w:rPr>
          <w:rFonts w:cstheme="minorHAnsi"/>
          <w:sz w:val="22"/>
          <w:szCs w:val="22"/>
        </w:rPr>
      </w:pPr>
      <w:r w:rsidRPr="00333A08">
        <w:rPr>
          <w:rFonts w:cstheme="minorHAnsi"/>
          <w:i/>
          <w:sz w:val="22"/>
          <w:szCs w:val="22"/>
        </w:rPr>
        <w:t xml:space="preserve">We're trying to solve societal problems in the behavioral health system, which is the most underfunded system there is. </w:t>
      </w:r>
      <w:r w:rsidRPr="00333A08">
        <w:rPr>
          <w:rFonts w:cstheme="minorHAnsi"/>
          <w:sz w:val="22"/>
          <w:szCs w:val="22"/>
        </w:rPr>
        <w:t>(Interested Party 24)</w:t>
      </w:r>
    </w:p>
    <w:p w14:paraId="77F5C60E" w14:textId="77777777" w:rsidR="00E847F0" w:rsidRPr="00333A08" w:rsidRDefault="00E847F0" w:rsidP="00E847F0">
      <w:pPr>
        <w:ind w:left="720"/>
        <w:rPr>
          <w:rFonts w:cstheme="minorHAnsi"/>
          <w:sz w:val="22"/>
          <w:szCs w:val="22"/>
        </w:rPr>
      </w:pPr>
    </w:p>
    <w:p w14:paraId="2ABBF8C1" w14:textId="77777777" w:rsidR="00E847F0" w:rsidRPr="00E847F0" w:rsidRDefault="00E847F0" w:rsidP="00E847F0">
      <w:pPr>
        <w:spacing w:after="120"/>
        <w:rPr>
          <w:b/>
          <w:bCs/>
          <w:i/>
          <w:iCs/>
          <w:color w:val="6A7F0F"/>
          <w:sz w:val="22"/>
          <w:szCs w:val="22"/>
        </w:rPr>
      </w:pPr>
      <w:bookmarkStart w:id="111" w:name="_Workforce_challenges"/>
      <w:bookmarkEnd w:id="111"/>
      <w:r w:rsidRPr="00E847F0">
        <w:rPr>
          <w:b/>
          <w:bCs/>
          <w:i/>
          <w:iCs/>
          <w:color w:val="6A7F0F"/>
          <w:sz w:val="22"/>
          <w:szCs w:val="22"/>
        </w:rPr>
        <w:t>Workforce Challenges</w:t>
      </w:r>
    </w:p>
    <w:p w14:paraId="5021D76A" w14:textId="77777777" w:rsidR="00805EB4" w:rsidRPr="00333A08" w:rsidRDefault="00805EB4" w:rsidP="00805EB4">
      <w:pPr>
        <w:rPr>
          <w:rFonts w:cstheme="minorHAnsi"/>
          <w:sz w:val="22"/>
          <w:szCs w:val="22"/>
        </w:rPr>
      </w:pPr>
      <w:r w:rsidRPr="00333A08">
        <w:rPr>
          <w:rFonts w:cstheme="minorHAnsi"/>
          <w:sz w:val="22"/>
          <w:szCs w:val="22"/>
        </w:rPr>
        <w:t>Key interested parties reported that one of the biggest barriers to access to quality behavioral health</w:t>
      </w:r>
      <w:r>
        <w:rPr>
          <w:rFonts w:cstheme="minorHAnsi"/>
          <w:sz w:val="22"/>
          <w:szCs w:val="22"/>
        </w:rPr>
        <w:t>care</w:t>
      </w:r>
      <w:r w:rsidRPr="00333A08">
        <w:rPr>
          <w:rFonts w:cstheme="minorHAnsi"/>
          <w:sz w:val="22"/>
          <w:szCs w:val="22"/>
        </w:rPr>
        <w:t xml:space="preserve"> </w:t>
      </w:r>
      <w:r>
        <w:rPr>
          <w:rFonts w:cstheme="minorHAnsi"/>
          <w:sz w:val="22"/>
          <w:szCs w:val="22"/>
        </w:rPr>
        <w:t xml:space="preserve">in Oregon </w:t>
      </w:r>
      <w:r w:rsidRPr="00333A08">
        <w:rPr>
          <w:rFonts w:cstheme="minorHAnsi"/>
          <w:sz w:val="22"/>
          <w:szCs w:val="22"/>
        </w:rPr>
        <w:t xml:space="preserve">is the persistent behavioral health workforce shortage. Contributing factors include low wages, high administrative burden, heavy caseloads, and complex work.  </w:t>
      </w:r>
    </w:p>
    <w:p w14:paraId="54C4EA89" w14:textId="77777777" w:rsidR="00E847F0" w:rsidRDefault="00E847F0" w:rsidP="00E847F0">
      <w:pPr>
        <w:ind w:left="720"/>
        <w:rPr>
          <w:rFonts w:eastAsia="Calibri" w:cstheme="minorHAnsi"/>
          <w:i/>
          <w:color w:val="000000"/>
          <w:sz w:val="22"/>
          <w:szCs w:val="22"/>
        </w:rPr>
      </w:pPr>
    </w:p>
    <w:p w14:paraId="05B48910" w14:textId="74A7646F" w:rsidR="00E847F0" w:rsidRPr="00333A08" w:rsidRDefault="00E847F0" w:rsidP="00E847F0">
      <w:pPr>
        <w:ind w:left="720"/>
        <w:rPr>
          <w:rFonts w:cstheme="minorHAnsi"/>
          <w:i/>
          <w:sz w:val="22"/>
          <w:szCs w:val="22"/>
        </w:rPr>
      </w:pPr>
      <w:r w:rsidRPr="00333A08">
        <w:rPr>
          <w:rFonts w:eastAsia="Calibri" w:cstheme="minorHAnsi"/>
          <w:i/>
          <w:color w:val="000000"/>
          <w:sz w:val="22"/>
          <w:szCs w:val="22"/>
        </w:rPr>
        <w:t xml:space="preserve">[Workforce shortages] … especially in rural areas … </w:t>
      </w:r>
      <w:r>
        <w:rPr>
          <w:rFonts w:eastAsia="Calibri" w:cstheme="minorHAnsi"/>
          <w:i/>
          <w:color w:val="000000"/>
          <w:sz w:val="22"/>
          <w:szCs w:val="22"/>
        </w:rPr>
        <w:t>T</w:t>
      </w:r>
      <w:r w:rsidRPr="00333A08">
        <w:rPr>
          <w:rFonts w:eastAsia="Calibri" w:cstheme="minorHAnsi"/>
          <w:i/>
          <w:color w:val="000000"/>
          <w:sz w:val="22"/>
          <w:szCs w:val="22"/>
        </w:rPr>
        <w:t xml:space="preserve">hen not just that, but [within] the limited workforce that we have [there is] the poaching of providers. </w:t>
      </w:r>
      <w:r>
        <w:rPr>
          <w:rFonts w:eastAsia="Calibri" w:cstheme="minorHAnsi"/>
          <w:i/>
          <w:color w:val="000000"/>
          <w:sz w:val="22"/>
          <w:szCs w:val="22"/>
        </w:rPr>
        <w:t>I</w:t>
      </w:r>
      <w:r w:rsidRPr="00333A08">
        <w:rPr>
          <w:rFonts w:eastAsia="Calibri" w:cstheme="minorHAnsi"/>
          <w:i/>
          <w:color w:val="000000"/>
          <w:sz w:val="22"/>
          <w:szCs w:val="22"/>
        </w:rPr>
        <w:t xml:space="preserve">t's the kind of merry-go-round or musical chairs, if you will, of our actual existing workforce. </w:t>
      </w:r>
      <w:r w:rsidRPr="00333A08">
        <w:rPr>
          <w:rFonts w:eastAsia="Calibri" w:cstheme="minorHAnsi"/>
          <w:iCs/>
          <w:color w:val="000000"/>
          <w:sz w:val="22"/>
          <w:szCs w:val="22"/>
        </w:rPr>
        <w:t>(Interested Party</w:t>
      </w:r>
      <w:r w:rsidRPr="00333A08">
        <w:rPr>
          <w:rFonts w:cstheme="minorHAnsi"/>
          <w:iCs/>
          <w:sz w:val="22"/>
          <w:szCs w:val="22"/>
        </w:rPr>
        <w:t xml:space="preserve"> 16)</w:t>
      </w:r>
    </w:p>
    <w:p w14:paraId="79FAD299" w14:textId="77777777" w:rsidR="00E847F0" w:rsidRPr="00333A08" w:rsidRDefault="00E847F0" w:rsidP="00E847F0">
      <w:pPr>
        <w:ind w:left="720"/>
        <w:rPr>
          <w:rFonts w:cstheme="minorHAnsi"/>
          <w:i/>
          <w:sz w:val="22"/>
          <w:szCs w:val="22"/>
        </w:rPr>
      </w:pPr>
    </w:p>
    <w:p w14:paraId="266E22BB" w14:textId="77777777" w:rsidR="00E847F0" w:rsidRPr="00333A08" w:rsidRDefault="00E847F0" w:rsidP="00E847F0">
      <w:pPr>
        <w:ind w:left="720"/>
        <w:rPr>
          <w:rFonts w:cstheme="minorHAnsi"/>
          <w:i/>
          <w:sz w:val="22"/>
          <w:szCs w:val="22"/>
        </w:rPr>
      </w:pPr>
      <w:r w:rsidRPr="00333A08">
        <w:rPr>
          <w:rFonts w:cstheme="minorHAnsi"/>
          <w:i/>
          <w:sz w:val="22"/>
          <w:szCs w:val="22"/>
        </w:rPr>
        <w:t>We have armies of care coordinators in a room talking about one person, and we can't find a care provider for that person. And everyone in the room is a master's level clinician</w:t>
      </w:r>
      <w:r>
        <w:rPr>
          <w:rFonts w:cstheme="minorHAnsi"/>
          <w:i/>
          <w:sz w:val="22"/>
          <w:szCs w:val="22"/>
        </w:rPr>
        <w:t xml:space="preserve">. </w:t>
      </w:r>
      <w:r w:rsidRPr="00333A08">
        <w:rPr>
          <w:rFonts w:cstheme="minorHAnsi"/>
          <w:i/>
          <w:sz w:val="22"/>
          <w:szCs w:val="22"/>
        </w:rPr>
        <w:t xml:space="preserve">I'd be hesitant to just want to throw more care coordination responsibilities and resources out there when we need people to do the care. </w:t>
      </w:r>
      <w:r w:rsidRPr="00333A08">
        <w:rPr>
          <w:rFonts w:cstheme="minorHAnsi"/>
          <w:iCs/>
          <w:sz w:val="22"/>
          <w:szCs w:val="22"/>
        </w:rPr>
        <w:t>(Interested Party 15)</w:t>
      </w:r>
    </w:p>
    <w:p w14:paraId="6A37302E" w14:textId="77777777" w:rsidR="00E847F0" w:rsidRPr="00333A08" w:rsidRDefault="00E847F0" w:rsidP="00E847F0">
      <w:pPr>
        <w:ind w:left="720"/>
        <w:rPr>
          <w:rFonts w:cstheme="minorHAnsi"/>
          <w:i/>
          <w:sz w:val="22"/>
          <w:szCs w:val="22"/>
        </w:rPr>
      </w:pPr>
    </w:p>
    <w:p w14:paraId="62404327" w14:textId="77777777" w:rsidR="00E847F0" w:rsidRPr="00333A08" w:rsidRDefault="00E847F0" w:rsidP="00E847F0">
      <w:pPr>
        <w:ind w:left="720"/>
        <w:rPr>
          <w:rFonts w:cstheme="minorHAnsi"/>
          <w:i/>
          <w:sz w:val="22"/>
          <w:szCs w:val="22"/>
        </w:rPr>
      </w:pPr>
      <w:r w:rsidRPr="00333A08">
        <w:rPr>
          <w:rFonts w:cstheme="minorHAnsi"/>
          <w:i/>
          <w:sz w:val="22"/>
          <w:szCs w:val="22"/>
        </w:rPr>
        <w:t xml:space="preserve">We too often throw people with the least amount of experience into situations where they're working to provide care for people who are the most complicated and we pay them the least, we prepare them the least and then they cycle out. </w:t>
      </w:r>
      <w:r>
        <w:rPr>
          <w:rFonts w:cstheme="minorHAnsi"/>
          <w:i/>
          <w:sz w:val="22"/>
          <w:szCs w:val="22"/>
        </w:rPr>
        <w:t>I</w:t>
      </w:r>
      <w:r w:rsidRPr="00333A08">
        <w:rPr>
          <w:rFonts w:cstheme="minorHAnsi"/>
          <w:i/>
          <w:sz w:val="22"/>
          <w:szCs w:val="22"/>
        </w:rPr>
        <w:t>t's a very clear workforce issue.</w:t>
      </w:r>
    </w:p>
    <w:p w14:paraId="565D2554" w14:textId="77777777" w:rsidR="00E847F0" w:rsidRPr="00333A08" w:rsidRDefault="00E847F0" w:rsidP="00E847F0">
      <w:pPr>
        <w:ind w:left="720"/>
        <w:rPr>
          <w:rFonts w:cstheme="minorHAnsi"/>
          <w:iCs/>
          <w:sz w:val="22"/>
          <w:szCs w:val="22"/>
        </w:rPr>
      </w:pPr>
      <w:r w:rsidRPr="00333A08">
        <w:rPr>
          <w:rFonts w:cstheme="minorHAnsi"/>
          <w:iCs/>
          <w:sz w:val="22"/>
          <w:szCs w:val="22"/>
        </w:rPr>
        <w:t>(Interested Party 08)</w:t>
      </w:r>
    </w:p>
    <w:p w14:paraId="4E6DF283" w14:textId="77777777" w:rsidR="00E847F0" w:rsidRPr="00333A08" w:rsidRDefault="00E847F0" w:rsidP="00E847F0">
      <w:pPr>
        <w:ind w:left="720"/>
        <w:rPr>
          <w:rFonts w:cstheme="minorHAnsi"/>
          <w:i/>
          <w:sz w:val="22"/>
          <w:szCs w:val="22"/>
        </w:rPr>
      </w:pPr>
    </w:p>
    <w:p w14:paraId="6AFD741D" w14:textId="77777777" w:rsidR="00E847F0" w:rsidRPr="00333A08" w:rsidRDefault="00E847F0" w:rsidP="00E847F0">
      <w:pPr>
        <w:ind w:left="720"/>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Until we right size the wages... In other words, pay people more for working in the public system than the private system, I don't know that we'll ever solve that problem. </w:t>
      </w:r>
      <w:r w:rsidRPr="00333A08">
        <w:rPr>
          <w:rFonts w:cstheme="minorHAnsi"/>
          <w:iCs/>
          <w:color w:val="000000"/>
          <w:sz w:val="22"/>
          <w:szCs w:val="22"/>
          <w:shd w:val="clear" w:color="auto" w:fill="FFFFFF"/>
        </w:rPr>
        <w:t>(Interested Party 23)</w:t>
      </w:r>
    </w:p>
    <w:p w14:paraId="185C654A" w14:textId="77777777" w:rsidR="00E847F0" w:rsidRPr="00333A08" w:rsidRDefault="00E847F0" w:rsidP="00E847F0">
      <w:pPr>
        <w:ind w:left="720"/>
        <w:rPr>
          <w:rFonts w:cstheme="minorHAnsi"/>
          <w:i/>
          <w:color w:val="000000"/>
          <w:sz w:val="22"/>
          <w:szCs w:val="22"/>
          <w:shd w:val="clear" w:color="auto" w:fill="FFFFFF"/>
        </w:rPr>
      </w:pPr>
    </w:p>
    <w:p w14:paraId="2BA678F6" w14:textId="77777777" w:rsidR="00E847F0" w:rsidRPr="00E847F0" w:rsidRDefault="00E847F0" w:rsidP="00E847F0">
      <w:pPr>
        <w:spacing w:after="120"/>
        <w:rPr>
          <w:b/>
          <w:bCs/>
          <w:i/>
          <w:iCs/>
          <w:color w:val="6A7F0F"/>
          <w:sz w:val="22"/>
          <w:szCs w:val="22"/>
        </w:rPr>
      </w:pPr>
      <w:bookmarkStart w:id="112" w:name="_Inadequate_residential_treatment"/>
      <w:bookmarkEnd w:id="112"/>
      <w:r w:rsidRPr="00E847F0">
        <w:rPr>
          <w:b/>
          <w:bCs/>
          <w:i/>
          <w:iCs/>
          <w:color w:val="6A7F0F"/>
          <w:sz w:val="22"/>
          <w:szCs w:val="22"/>
        </w:rPr>
        <w:t>Inadequate Residential Treatment and Housing</w:t>
      </w:r>
    </w:p>
    <w:p w14:paraId="5D9ECEDB" w14:textId="77777777" w:rsidR="00805EB4" w:rsidRPr="00333A08" w:rsidRDefault="00805EB4" w:rsidP="00805EB4">
      <w:pPr>
        <w:rPr>
          <w:rFonts w:cstheme="minorHAnsi"/>
          <w:color w:val="000000"/>
          <w:sz w:val="22"/>
          <w:szCs w:val="22"/>
          <w:shd w:val="clear" w:color="auto" w:fill="FFFFFF"/>
        </w:rPr>
      </w:pPr>
      <w:r w:rsidRPr="00333A08">
        <w:rPr>
          <w:rFonts w:cstheme="minorHAnsi"/>
          <w:color w:val="000000"/>
          <w:sz w:val="22"/>
          <w:szCs w:val="22"/>
          <w:shd w:val="clear" w:color="auto" w:fill="FFFFFF"/>
        </w:rPr>
        <w:t>CBO representatives and key interested parties reported that there is a lack of adequate residential treatment and housing in Oregon. One CBO representative pointed out that the lack of youth residential beds results in their community’s children being sent outside the community. Another CBO representative reported that while the CCBHC is responsive to crisis calls, the lack of residential treatment leaves the community with few options for individuals needing more intensive levels of treatment and support.</w:t>
      </w:r>
    </w:p>
    <w:p w14:paraId="7435793B" w14:textId="77777777" w:rsidR="00E847F0" w:rsidRDefault="00E847F0" w:rsidP="00E847F0">
      <w:pPr>
        <w:ind w:left="720"/>
        <w:rPr>
          <w:rFonts w:cstheme="minorHAnsi"/>
          <w:i/>
          <w:color w:val="000000"/>
          <w:sz w:val="22"/>
          <w:szCs w:val="22"/>
        </w:rPr>
      </w:pPr>
    </w:p>
    <w:p w14:paraId="1175179C" w14:textId="21667F7C" w:rsidR="00E847F0" w:rsidRPr="00333A08" w:rsidRDefault="00E847F0" w:rsidP="00E847F0">
      <w:pPr>
        <w:ind w:left="720"/>
        <w:rPr>
          <w:rFonts w:cstheme="minorHAnsi"/>
          <w:i/>
          <w:color w:val="000000"/>
          <w:sz w:val="22"/>
          <w:szCs w:val="22"/>
        </w:rPr>
      </w:pPr>
      <w:r w:rsidRPr="00333A08">
        <w:rPr>
          <w:rFonts w:cstheme="minorHAnsi"/>
          <w:i/>
          <w:color w:val="000000"/>
          <w:sz w:val="22"/>
          <w:szCs w:val="22"/>
        </w:rPr>
        <w:t xml:space="preserve">We do have a youth residential home, operated by our CCBHC. They don't have a lot of beds, so there's not a lot of room. </w:t>
      </w:r>
      <w:r>
        <w:rPr>
          <w:rFonts w:cstheme="minorHAnsi"/>
          <w:i/>
          <w:color w:val="000000"/>
          <w:sz w:val="22"/>
          <w:szCs w:val="22"/>
        </w:rPr>
        <w:t>O</w:t>
      </w:r>
      <w:r w:rsidRPr="00333A08">
        <w:rPr>
          <w:rFonts w:cstheme="minorHAnsi"/>
          <w:i/>
          <w:color w:val="000000"/>
          <w:sz w:val="22"/>
          <w:szCs w:val="22"/>
        </w:rPr>
        <w:t xml:space="preserve">ften kids in foster care get placed there because there's nowhere else to put them. We need more comprehensive residential treatment. I know that Oregon as a state overall has a huge gap there. A lot of our kids get sent [outside the community], but we know keeping kids in their own community is important. </w:t>
      </w:r>
      <w:r w:rsidRPr="00333A08">
        <w:rPr>
          <w:rFonts w:cstheme="minorHAnsi"/>
          <w:iCs/>
          <w:color w:val="000000"/>
          <w:sz w:val="22"/>
          <w:szCs w:val="22"/>
        </w:rPr>
        <w:t>(CBO Representative 01)</w:t>
      </w:r>
    </w:p>
    <w:p w14:paraId="54177DE8" w14:textId="77777777" w:rsidR="00E847F0" w:rsidRPr="00333A08" w:rsidRDefault="00E847F0" w:rsidP="00E847F0">
      <w:pPr>
        <w:ind w:left="720"/>
        <w:rPr>
          <w:rFonts w:cstheme="minorHAnsi"/>
          <w:i/>
          <w:color w:val="000000"/>
          <w:sz w:val="22"/>
          <w:szCs w:val="22"/>
        </w:rPr>
      </w:pPr>
    </w:p>
    <w:p w14:paraId="24461D00"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hAnsiTheme="minorHAnsi" w:cstheme="minorHAnsi"/>
          <w:i/>
          <w:color w:val="000000"/>
          <w:sz w:val="22"/>
          <w:szCs w:val="22"/>
        </w:rPr>
        <w:t xml:space="preserve">When there is a mental health crisis that has escalated within the community, there is no place [for them] other than a jail cell. Which I'm grateful for a jail cell, because it gets the person a little bit of containment, but it's not the right place. </w:t>
      </w:r>
      <w:r>
        <w:rPr>
          <w:rFonts w:asciiTheme="minorHAnsi" w:hAnsiTheme="minorHAnsi" w:cstheme="minorHAnsi"/>
          <w:i/>
          <w:color w:val="000000"/>
          <w:sz w:val="22"/>
          <w:szCs w:val="22"/>
        </w:rPr>
        <w:t xml:space="preserve"> W</w:t>
      </w:r>
      <w:r w:rsidRPr="00333A08">
        <w:rPr>
          <w:rFonts w:asciiTheme="minorHAnsi" w:hAnsiTheme="minorHAnsi" w:cstheme="minorHAnsi"/>
          <w:i/>
          <w:color w:val="000000"/>
          <w:sz w:val="22"/>
          <w:szCs w:val="22"/>
        </w:rPr>
        <w:t xml:space="preserve">hether it's youth or adults, there just isn't any place. </w:t>
      </w:r>
      <w:r>
        <w:rPr>
          <w:rFonts w:asciiTheme="minorHAnsi" w:hAnsiTheme="minorHAnsi" w:cstheme="minorHAnsi"/>
          <w:i/>
          <w:color w:val="000000"/>
          <w:sz w:val="22"/>
          <w:szCs w:val="22"/>
        </w:rPr>
        <w:t>I</w:t>
      </w:r>
      <w:r w:rsidRPr="00333A08">
        <w:rPr>
          <w:rFonts w:asciiTheme="minorHAnsi" w:hAnsiTheme="minorHAnsi" w:cstheme="minorHAnsi"/>
          <w:i/>
          <w:color w:val="000000"/>
          <w:sz w:val="22"/>
          <w:szCs w:val="22"/>
        </w:rPr>
        <w:t xml:space="preserve">f we call behavioral health, they come and help, but they don't have a resolution or a solution. </w:t>
      </w:r>
      <w:r>
        <w:rPr>
          <w:rFonts w:asciiTheme="minorHAnsi" w:hAnsiTheme="minorHAnsi" w:cstheme="minorHAnsi"/>
          <w:i/>
          <w:color w:val="000000"/>
          <w:sz w:val="22"/>
          <w:szCs w:val="22"/>
        </w:rPr>
        <w:t>T</w:t>
      </w:r>
      <w:r w:rsidRPr="00333A08">
        <w:rPr>
          <w:rFonts w:asciiTheme="minorHAnsi" w:hAnsiTheme="minorHAnsi" w:cstheme="minorHAnsi"/>
          <w:i/>
          <w:color w:val="000000"/>
          <w:sz w:val="22"/>
          <w:szCs w:val="22"/>
        </w:rPr>
        <w:t xml:space="preserve">hey come and help deescalate, but then they leave and our inexperienced employees still have the person there with them and there's no place to take them other than if they violate the law. </w:t>
      </w:r>
      <w:r w:rsidRPr="00333A08">
        <w:rPr>
          <w:rFonts w:asciiTheme="minorHAnsi" w:hAnsiTheme="minorHAnsi" w:cstheme="minorHAnsi"/>
          <w:iCs/>
          <w:color w:val="000000"/>
          <w:sz w:val="22"/>
          <w:szCs w:val="22"/>
        </w:rPr>
        <w:t>(CBO Representative 03)</w:t>
      </w:r>
    </w:p>
    <w:p w14:paraId="30D35C2C" w14:textId="77777777" w:rsidR="00E847F0" w:rsidRPr="00333A08" w:rsidRDefault="00E847F0" w:rsidP="00E847F0">
      <w:pPr>
        <w:ind w:left="720"/>
        <w:rPr>
          <w:rFonts w:cstheme="minorHAnsi"/>
          <w:i/>
          <w:color w:val="000000"/>
          <w:sz w:val="22"/>
          <w:szCs w:val="22"/>
        </w:rPr>
      </w:pPr>
    </w:p>
    <w:p w14:paraId="3783CF4A" w14:textId="77777777" w:rsidR="00E847F0" w:rsidRPr="00333A08" w:rsidRDefault="00E847F0" w:rsidP="00E847F0">
      <w:pPr>
        <w:ind w:left="720"/>
        <w:rPr>
          <w:rFonts w:cstheme="minorHAnsi"/>
          <w:iCs/>
          <w:color w:val="000000"/>
          <w:sz w:val="22"/>
          <w:szCs w:val="22"/>
        </w:rPr>
      </w:pPr>
      <w:r w:rsidRPr="00333A08">
        <w:rPr>
          <w:rFonts w:cstheme="minorHAnsi"/>
          <w:i/>
          <w:color w:val="000000"/>
          <w:sz w:val="22"/>
          <w:szCs w:val="22"/>
        </w:rPr>
        <w:t xml:space="preserve">[The behavioral health system] can't be evaluated on secure housing, they’re doing their best here, but they’re not in the housing business, and don't have near enough resources for adequate housing and residential treatment. </w:t>
      </w:r>
      <w:r w:rsidRPr="00333A08">
        <w:rPr>
          <w:rFonts w:cstheme="minorHAnsi"/>
          <w:iCs/>
          <w:color w:val="000000"/>
          <w:sz w:val="22"/>
          <w:szCs w:val="22"/>
        </w:rPr>
        <w:t>(Interested Party 05)</w:t>
      </w:r>
    </w:p>
    <w:p w14:paraId="56B4126A" w14:textId="77777777" w:rsidR="00E847F0" w:rsidRPr="00333A08" w:rsidRDefault="00E847F0" w:rsidP="00E847F0">
      <w:pPr>
        <w:ind w:left="720"/>
        <w:rPr>
          <w:rFonts w:cstheme="minorHAnsi"/>
          <w:i/>
          <w:color w:val="000000"/>
          <w:sz w:val="22"/>
          <w:szCs w:val="22"/>
        </w:rPr>
      </w:pPr>
    </w:p>
    <w:p w14:paraId="55333FC1" w14:textId="77777777" w:rsidR="00E847F0" w:rsidRPr="00333A08" w:rsidRDefault="00E847F0" w:rsidP="00E847F0">
      <w:pPr>
        <w:ind w:left="720"/>
        <w:rPr>
          <w:rFonts w:eastAsia="Calibri" w:cstheme="minorHAnsi"/>
          <w:iCs/>
          <w:color w:val="000000"/>
          <w:sz w:val="22"/>
          <w:szCs w:val="22"/>
        </w:rPr>
      </w:pPr>
      <w:r w:rsidRPr="00333A08">
        <w:rPr>
          <w:rFonts w:eastAsia="Calibri" w:cstheme="minorHAnsi"/>
          <w:i/>
          <w:color w:val="000000"/>
          <w:sz w:val="22"/>
          <w:szCs w:val="22"/>
        </w:rPr>
        <w:t xml:space="preserve">People who need more than just outpatient, who need somewhere to go and hang out for a while with a bed and staffing. We call it secure residential or residential treatment facilities…I mean, housing's a problem for the whole state, but it's really going to be hard to have people be adherent to a medical regime and a treatment plan if they're living outside or in jail. </w:t>
      </w:r>
      <w:r w:rsidRPr="00333A08">
        <w:rPr>
          <w:rFonts w:eastAsia="Calibri" w:cstheme="minorHAnsi"/>
          <w:iCs/>
          <w:color w:val="000000"/>
          <w:sz w:val="22"/>
          <w:szCs w:val="22"/>
        </w:rPr>
        <w:t>(Interested Party 10)</w:t>
      </w:r>
    </w:p>
    <w:p w14:paraId="00124EBB" w14:textId="59630598" w:rsidR="00805EB4" w:rsidRDefault="00805EB4" w:rsidP="00E847F0">
      <w:pPr>
        <w:ind w:left="720"/>
        <w:rPr>
          <w:rFonts w:cstheme="minorHAnsi"/>
          <w:i/>
          <w:color w:val="000000"/>
          <w:sz w:val="22"/>
          <w:szCs w:val="22"/>
        </w:rPr>
      </w:pPr>
    </w:p>
    <w:p w14:paraId="6739175F" w14:textId="0E052B55" w:rsidR="00E847F0" w:rsidRPr="00E847F0" w:rsidRDefault="00E847F0" w:rsidP="00E847F0">
      <w:pPr>
        <w:spacing w:after="120"/>
        <w:rPr>
          <w:rFonts w:cstheme="minorHAnsi"/>
          <w:b/>
          <w:bCs/>
          <w:color w:val="6A7F0F"/>
        </w:rPr>
      </w:pPr>
      <w:bookmarkStart w:id="113" w:name="_Care_coordination"/>
      <w:bookmarkEnd w:id="113"/>
      <w:r w:rsidRPr="00E847F0">
        <w:rPr>
          <w:rFonts w:cstheme="minorHAnsi"/>
          <w:b/>
          <w:bCs/>
          <w:color w:val="6A7F0F"/>
        </w:rPr>
        <w:t xml:space="preserve">Care Coordination </w:t>
      </w:r>
    </w:p>
    <w:p w14:paraId="4BAD1D5F" w14:textId="77777777" w:rsidR="00805EB4" w:rsidRPr="00333A08" w:rsidRDefault="00805EB4" w:rsidP="00805EB4">
      <w:pPr>
        <w:rPr>
          <w:rFonts w:cstheme="minorHAnsi"/>
          <w:sz w:val="22"/>
          <w:szCs w:val="22"/>
        </w:rPr>
      </w:pPr>
      <w:r w:rsidRPr="00333A08">
        <w:rPr>
          <w:rFonts w:cstheme="minorHAnsi"/>
          <w:sz w:val="22"/>
          <w:szCs w:val="22"/>
        </w:rPr>
        <w:t>Interview participants also noted that while evidence suggests that integrated care is critical for whole-person care, Oregon’s healthcare system is not set up to facilitate integrated care. Inadequate data infrastructure, EHRs that are not interoperable, and bifurcated funding streams make it challenging to eliminate gaps and duplication of services. One key interested party noted that 42 CFR Part 2, a federal regulation that prevents substance use treatment providers from sharing treatment information with other providers without written patient permission, is often a barrier to integration as clinics and partners hold different interpretations of what is allowable.</w:t>
      </w:r>
    </w:p>
    <w:p w14:paraId="2F779927" w14:textId="77777777" w:rsidR="00E847F0" w:rsidRDefault="00E847F0" w:rsidP="00E847F0">
      <w:pPr>
        <w:ind w:left="720"/>
        <w:rPr>
          <w:rFonts w:cstheme="minorHAnsi"/>
          <w:i/>
          <w:sz w:val="22"/>
          <w:szCs w:val="22"/>
        </w:rPr>
      </w:pPr>
    </w:p>
    <w:p w14:paraId="500B5F69" w14:textId="77777777" w:rsidR="00CB5F47" w:rsidRDefault="00CB5F47" w:rsidP="00CB5F47">
      <w:pPr>
        <w:ind w:left="720"/>
        <w:rPr>
          <w:rFonts w:cstheme="minorHAnsi"/>
          <w:iCs/>
          <w:sz w:val="22"/>
          <w:szCs w:val="22"/>
        </w:rPr>
      </w:pPr>
      <w:r w:rsidRPr="00333A08">
        <w:rPr>
          <w:rFonts w:cstheme="minorHAnsi"/>
          <w:i/>
          <w:sz w:val="22"/>
          <w:szCs w:val="22"/>
        </w:rPr>
        <w:t xml:space="preserve">Providers have done workarounds to make care look integrated…but in the operations, in the back room, it's like running a candy store in a shoe store. It is completely not integrated. We have not made the payment structures, the operations structures, or the auditing structures to actually deliver integrated care. Everything is still siloed…so that means you have immense waste in cost and administrative burden in the back of your shop and it's not efficient.                    </w:t>
      </w:r>
      <w:r w:rsidRPr="00333A08">
        <w:rPr>
          <w:rFonts w:cstheme="minorHAnsi"/>
          <w:iCs/>
          <w:sz w:val="22"/>
          <w:szCs w:val="22"/>
        </w:rPr>
        <w:t>(Interested Party 23)</w:t>
      </w:r>
    </w:p>
    <w:p w14:paraId="5F5825CB" w14:textId="77777777" w:rsidR="00CB5F47" w:rsidRPr="00333A08" w:rsidRDefault="00CB5F47" w:rsidP="00CB5F47">
      <w:pPr>
        <w:ind w:left="720"/>
        <w:rPr>
          <w:rFonts w:cstheme="minorHAnsi"/>
          <w:i/>
          <w:sz w:val="22"/>
          <w:szCs w:val="22"/>
        </w:rPr>
      </w:pPr>
    </w:p>
    <w:p w14:paraId="58D483E3" w14:textId="4278CDAF" w:rsidR="00E847F0" w:rsidRDefault="00E847F0" w:rsidP="00E847F0">
      <w:pPr>
        <w:ind w:left="720"/>
        <w:rPr>
          <w:rFonts w:cstheme="minorHAnsi"/>
          <w:iCs/>
          <w:sz w:val="22"/>
          <w:szCs w:val="22"/>
        </w:rPr>
      </w:pPr>
      <w:r w:rsidRPr="00333A08">
        <w:rPr>
          <w:rFonts w:cstheme="minorHAnsi"/>
          <w:i/>
          <w:sz w:val="22"/>
          <w:szCs w:val="22"/>
        </w:rPr>
        <w:t xml:space="preserve">We've had…a clunky infrastructure that's been fragmented and not well enough supported. </w:t>
      </w:r>
      <w:r w:rsidRPr="00333A08">
        <w:rPr>
          <w:rFonts w:cstheme="minorHAnsi"/>
          <w:iCs/>
          <w:sz w:val="22"/>
          <w:szCs w:val="22"/>
        </w:rPr>
        <w:t>(Interested Party 08)</w:t>
      </w:r>
    </w:p>
    <w:p w14:paraId="6BD471A1" w14:textId="77777777" w:rsidR="00E847F0" w:rsidRPr="00333A08" w:rsidRDefault="00E847F0" w:rsidP="00E847F0">
      <w:pPr>
        <w:ind w:left="720"/>
        <w:rPr>
          <w:rFonts w:cstheme="minorHAnsi"/>
          <w:i/>
          <w:sz w:val="22"/>
          <w:szCs w:val="22"/>
        </w:rPr>
      </w:pPr>
    </w:p>
    <w:p w14:paraId="50182958" w14:textId="77777777" w:rsidR="00E847F0" w:rsidRDefault="00E847F0" w:rsidP="00E847F0">
      <w:pPr>
        <w:ind w:left="720"/>
        <w:rPr>
          <w:rFonts w:cstheme="minorHAnsi"/>
          <w:iCs/>
          <w:sz w:val="22"/>
          <w:szCs w:val="22"/>
        </w:rPr>
      </w:pPr>
      <w:r w:rsidRPr="00333A08">
        <w:rPr>
          <w:rFonts w:cstheme="minorHAnsi"/>
          <w:i/>
          <w:sz w:val="22"/>
          <w:szCs w:val="22"/>
        </w:rPr>
        <w:t xml:space="preserve">We see this in our clinics, that primary care doesn't talk with mental health. There's all these barriers around information sharing, intake, EHRs not talking to each other. What do warm handoffs look like? </w:t>
      </w:r>
      <w:r w:rsidRPr="00333A08">
        <w:rPr>
          <w:rFonts w:cstheme="minorHAnsi"/>
          <w:iCs/>
          <w:sz w:val="22"/>
          <w:szCs w:val="22"/>
        </w:rPr>
        <w:t>(Interested Party 25)</w:t>
      </w:r>
    </w:p>
    <w:p w14:paraId="49F6F88C" w14:textId="77777777" w:rsidR="00E847F0" w:rsidRPr="00333A08" w:rsidRDefault="00E847F0" w:rsidP="00E847F0">
      <w:pPr>
        <w:ind w:left="720"/>
        <w:rPr>
          <w:rFonts w:cstheme="minorHAnsi"/>
          <w:i/>
          <w:sz w:val="22"/>
          <w:szCs w:val="22"/>
        </w:rPr>
      </w:pPr>
    </w:p>
    <w:p w14:paraId="67EF5800" w14:textId="77777777" w:rsidR="00E847F0" w:rsidRPr="00333A08" w:rsidRDefault="00E847F0" w:rsidP="00E847F0">
      <w:pPr>
        <w:ind w:left="720"/>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42 CFR [Part 2] … We have some organizations that even within their own organization won't talk to each other from the SUD side to the mental health side. </w:t>
      </w:r>
      <w:r w:rsidRPr="00333A08">
        <w:rPr>
          <w:rFonts w:cstheme="minorHAnsi"/>
          <w:iCs/>
          <w:color w:val="000000"/>
          <w:sz w:val="22"/>
          <w:szCs w:val="22"/>
          <w:shd w:val="clear" w:color="auto" w:fill="FFFFFF"/>
        </w:rPr>
        <w:t>(Interested Party 01)</w:t>
      </w:r>
    </w:p>
    <w:p w14:paraId="5974E1E1" w14:textId="77777777" w:rsidR="00E847F0" w:rsidRPr="00CB5F47" w:rsidRDefault="00E847F0" w:rsidP="00E847F0">
      <w:pPr>
        <w:spacing w:after="120"/>
        <w:rPr>
          <w:rFonts w:cstheme="minorHAnsi"/>
          <w:b/>
          <w:bCs/>
          <w:color w:val="6A7F0F"/>
          <w:sz w:val="22"/>
          <w:szCs w:val="22"/>
        </w:rPr>
      </w:pPr>
      <w:bookmarkStart w:id="114" w:name="_Rightsizing_the_CCBHC"/>
      <w:bookmarkEnd w:id="114"/>
    </w:p>
    <w:p w14:paraId="640FECD0" w14:textId="22182B32" w:rsidR="00E847F0" w:rsidRPr="00E847F0" w:rsidRDefault="00E847F0" w:rsidP="00E847F0">
      <w:pPr>
        <w:spacing w:after="120"/>
        <w:rPr>
          <w:rFonts w:cstheme="minorHAnsi"/>
          <w:b/>
          <w:bCs/>
          <w:color w:val="6A7F0F"/>
        </w:rPr>
      </w:pPr>
      <w:r w:rsidRPr="00E847F0">
        <w:rPr>
          <w:rFonts w:cstheme="minorHAnsi"/>
          <w:b/>
          <w:bCs/>
          <w:color w:val="6A7F0F"/>
        </w:rPr>
        <w:t>Rightsizing the CCBHC Model and Establishing Realistic Standards</w:t>
      </w:r>
    </w:p>
    <w:p w14:paraId="3F8BE105" w14:textId="77777777" w:rsidR="00805EB4" w:rsidRPr="00333A08" w:rsidRDefault="00805EB4" w:rsidP="00805EB4">
      <w:pPr>
        <w:pStyle w:val="ListParagraph"/>
        <w:ind w:left="0"/>
        <w:rPr>
          <w:rFonts w:cstheme="minorHAnsi"/>
          <w:sz w:val="22"/>
          <w:szCs w:val="22"/>
        </w:rPr>
      </w:pPr>
      <w:r w:rsidRPr="00333A08">
        <w:rPr>
          <w:rFonts w:cstheme="minorHAnsi"/>
          <w:sz w:val="22"/>
          <w:szCs w:val="22"/>
        </w:rPr>
        <w:t xml:space="preserve">Several key interested parties reported that flexibility may be necessary to accommodate the needs of different communities. While this recommendation for greater flexibility was often centered on the Oregon CCBHC primary care requirement, some spoke more generally about the CCBHC program. Two key interested parties spoke about the need to set more realistic standards in the Oregon Administrative Rules (OAR), rather than establishing aspirational standards that are not achievable. </w:t>
      </w:r>
    </w:p>
    <w:p w14:paraId="6D345F83" w14:textId="77777777" w:rsidR="00E847F0" w:rsidRDefault="00E847F0" w:rsidP="00E847F0">
      <w:pPr>
        <w:pStyle w:val="ListParagraph"/>
        <w:rPr>
          <w:rFonts w:cstheme="minorHAnsi"/>
          <w:i/>
          <w:sz w:val="22"/>
          <w:szCs w:val="22"/>
        </w:rPr>
      </w:pPr>
    </w:p>
    <w:p w14:paraId="6999F252" w14:textId="1A3B3A32" w:rsidR="00E847F0" w:rsidRPr="00333A08" w:rsidRDefault="00E847F0" w:rsidP="00E847F0">
      <w:pPr>
        <w:pStyle w:val="ListParagraph"/>
        <w:rPr>
          <w:rFonts w:cstheme="minorHAnsi"/>
          <w:iCs/>
          <w:sz w:val="22"/>
          <w:szCs w:val="22"/>
        </w:rPr>
      </w:pPr>
      <w:r w:rsidRPr="00333A08">
        <w:rPr>
          <w:rFonts w:cstheme="minorHAnsi"/>
          <w:i/>
          <w:sz w:val="22"/>
          <w:szCs w:val="22"/>
        </w:rPr>
        <w:t xml:space="preserve">I think we're going to have to move away from a sort of one size fits all. If we think about the PCPCHs, there's a tiering, tier one, two, three, four. But CCBHC tends to be a little more rigid, again, getting back probably to good intentions. I think it's going to be important, especially as we look at sustainability in rural settings, that ability to right size for the setting. </w:t>
      </w:r>
      <w:r w:rsidRPr="00333A08">
        <w:rPr>
          <w:rFonts w:cstheme="minorHAnsi"/>
          <w:iCs/>
          <w:sz w:val="22"/>
          <w:szCs w:val="22"/>
        </w:rPr>
        <w:t>(Interested Party 14)</w:t>
      </w:r>
    </w:p>
    <w:p w14:paraId="51F215CB" w14:textId="77777777" w:rsidR="00E847F0" w:rsidRPr="00333A08" w:rsidRDefault="00E847F0" w:rsidP="00E847F0">
      <w:pPr>
        <w:pStyle w:val="ListParagraph"/>
        <w:rPr>
          <w:rFonts w:cstheme="minorHAnsi"/>
          <w:i/>
          <w:sz w:val="22"/>
          <w:szCs w:val="22"/>
        </w:rPr>
      </w:pPr>
    </w:p>
    <w:p w14:paraId="4F3AFD10" w14:textId="77777777" w:rsidR="00E847F0" w:rsidRPr="00333A08" w:rsidRDefault="00E847F0" w:rsidP="00E847F0">
      <w:pPr>
        <w:pStyle w:val="ListParagraph"/>
        <w:rPr>
          <w:rFonts w:cstheme="minorHAnsi"/>
          <w:iCs/>
          <w:sz w:val="22"/>
          <w:szCs w:val="22"/>
        </w:rPr>
      </w:pPr>
      <w:r w:rsidRPr="00333A08">
        <w:rPr>
          <w:rFonts w:eastAsia="Calibri" w:cstheme="minorHAnsi"/>
          <w:i/>
          <w:color w:val="000000"/>
          <w:sz w:val="22"/>
          <w:szCs w:val="22"/>
        </w:rPr>
        <w:t>When you set standards, of course you're setting the bare minimum, but…particularly [with] the workforce challenges across the state and the diversity of those challenges, it is reasonable to consider something less than the current standard of 20 hours per week. I think there's quite a variation of what one might say is the relationship to primary care and that interconnectedness and maybe markers of how to ensure that those are strong and clearly accessible and meeting the needs of the patients. I'm not sure what exactly those would be, but I don't think that one needs to hang their hat on a half time in-person primary care.</w:t>
      </w:r>
      <w:r w:rsidRPr="00333A08">
        <w:rPr>
          <w:rFonts w:cstheme="minorHAnsi"/>
          <w:i/>
          <w:sz w:val="22"/>
          <w:szCs w:val="22"/>
        </w:rPr>
        <w:t xml:space="preserve"> </w:t>
      </w:r>
      <w:r w:rsidRPr="00333A08">
        <w:rPr>
          <w:rFonts w:cstheme="minorHAnsi"/>
          <w:iCs/>
          <w:sz w:val="22"/>
          <w:szCs w:val="22"/>
        </w:rPr>
        <w:t>(Interested Party 07)</w:t>
      </w:r>
    </w:p>
    <w:p w14:paraId="250B335E" w14:textId="77777777" w:rsidR="00E847F0" w:rsidRPr="00333A08" w:rsidRDefault="00E847F0" w:rsidP="00E847F0">
      <w:pPr>
        <w:pStyle w:val="ListParagraph"/>
        <w:rPr>
          <w:rFonts w:cstheme="minorHAnsi"/>
          <w:i/>
          <w:sz w:val="22"/>
          <w:szCs w:val="22"/>
        </w:rPr>
      </w:pPr>
    </w:p>
    <w:p w14:paraId="39BE6DD9" w14:textId="77777777" w:rsidR="00E847F0" w:rsidRPr="00333A08" w:rsidRDefault="00E847F0" w:rsidP="00E847F0">
      <w:pPr>
        <w:pStyle w:val="ListParagraph"/>
        <w:rPr>
          <w:rFonts w:cstheme="minorHAnsi"/>
          <w:i/>
          <w:sz w:val="22"/>
          <w:szCs w:val="22"/>
        </w:rPr>
      </w:pPr>
      <w:r w:rsidRPr="00333A08">
        <w:rPr>
          <w:rFonts w:cstheme="minorHAnsi"/>
          <w:i/>
          <w:sz w:val="22"/>
          <w:szCs w:val="22"/>
        </w:rPr>
        <w:t xml:space="preserve">The OARs are aspirational versus realistic. </w:t>
      </w:r>
      <w:r>
        <w:rPr>
          <w:rFonts w:cstheme="minorHAnsi"/>
          <w:i/>
          <w:sz w:val="22"/>
          <w:szCs w:val="22"/>
        </w:rPr>
        <w:t>T</w:t>
      </w:r>
      <w:r w:rsidRPr="00333A08">
        <w:rPr>
          <w:rFonts w:cstheme="minorHAnsi"/>
          <w:i/>
          <w:sz w:val="22"/>
          <w:szCs w:val="22"/>
        </w:rPr>
        <w:t xml:space="preserve">he way they've been constructed in particular over the past decade has just added a lot of things that aren't actually federally </w:t>
      </w:r>
      <w:r>
        <w:rPr>
          <w:rFonts w:cstheme="minorHAnsi"/>
          <w:i/>
          <w:sz w:val="22"/>
          <w:szCs w:val="22"/>
        </w:rPr>
        <w:t>re</w:t>
      </w:r>
      <w:r w:rsidRPr="00333A08">
        <w:rPr>
          <w:rFonts w:cstheme="minorHAnsi"/>
          <w:i/>
          <w:sz w:val="22"/>
          <w:szCs w:val="22"/>
        </w:rPr>
        <w:t xml:space="preserve">quired, and that needs to be snuffed out. </w:t>
      </w:r>
      <w:r>
        <w:rPr>
          <w:rFonts w:cstheme="minorHAnsi"/>
          <w:i/>
          <w:sz w:val="22"/>
          <w:szCs w:val="22"/>
        </w:rPr>
        <w:t>A</w:t>
      </w:r>
      <w:r w:rsidRPr="00333A08">
        <w:rPr>
          <w:rFonts w:cstheme="minorHAnsi"/>
          <w:i/>
          <w:sz w:val="22"/>
          <w:szCs w:val="22"/>
        </w:rPr>
        <w:t>t the state level we haven't really crosswalked the contracts</w:t>
      </w:r>
      <w:r>
        <w:rPr>
          <w:rFonts w:cstheme="minorHAnsi"/>
          <w:i/>
          <w:sz w:val="22"/>
          <w:szCs w:val="22"/>
        </w:rPr>
        <w:t xml:space="preserve">, </w:t>
      </w:r>
      <w:r w:rsidRPr="00333A08">
        <w:rPr>
          <w:rFonts w:cstheme="minorHAnsi"/>
          <w:i/>
          <w:sz w:val="22"/>
          <w:szCs w:val="22"/>
        </w:rPr>
        <w:t xml:space="preserve">the OARs and the statutes for those entities [CCO, CCBHC, CHMP] to make sure they're not duplicating services, or that we're consistently updating them as we develop new programs and to remove archaic or antiquated language. </w:t>
      </w:r>
      <w:r>
        <w:rPr>
          <w:rFonts w:cstheme="minorHAnsi"/>
          <w:i/>
          <w:sz w:val="22"/>
          <w:szCs w:val="22"/>
        </w:rPr>
        <w:t>T</w:t>
      </w:r>
      <w:r w:rsidRPr="00333A08">
        <w:rPr>
          <w:rFonts w:cstheme="minorHAnsi"/>
          <w:i/>
          <w:sz w:val="22"/>
          <w:szCs w:val="22"/>
        </w:rPr>
        <w:t xml:space="preserve">hat's a huge lift and something that some of us are working on, but I think [a barrier] is that the OARs are aspirational and also that we just continue adding more on as opposed to making sure that it's jiving with the real world. </w:t>
      </w:r>
      <w:r w:rsidRPr="00333A08">
        <w:rPr>
          <w:rFonts w:cstheme="minorHAnsi"/>
          <w:iCs/>
          <w:sz w:val="22"/>
          <w:szCs w:val="22"/>
        </w:rPr>
        <w:t>(Interested Party 12)</w:t>
      </w:r>
      <w:r w:rsidRPr="00333A08">
        <w:rPr>
          <w:rFonts w:cstheme="minorHAnsi"/>
          <w:i/>
          <w:sz w:val="22"/>
          <w:szCs w:val="22"/>
        </w:rPr>
        <w:t xml:space="preserve"> </w:t>
      </w:r>
    </w:p>
    <w:p w14:paraId="43B53CE1" w14:textId="77777777" w:rsidR="00E847F0" w:rsidRPr="00E847F0" w:rsidRDefault="00E847F0" w:rsidP="00E847F0">
      <w:pPr>
        <w:spacing w:after="120"/>
        <w:rPr>
          <w:rFonts w:cstheme="minorHAnsi"/>
          <w:b/>
          <w:bCs/>
          <w:color w:val="6A7F0F"/>
          <w:sz w:val="22"/>
          <w:szCs w:val="22"/>
        </w:rPr>
      </w:pPr>
      <w:bookmarkStart w:id="115" w:name="_Considerations_for_specific"/>
      <w:bookmarkEnd w:id="115"/>
    </w:p>
    <w:p w14:paraId="39D171B5" w14:textId="77777777" w:rsidR="00CB5F47" w:rsidRDefault="00CB5F47">
      <w:pPr>
        <w:rPr>
          <w:rFonts w:cstheme="minorHAnsi"/>
          <w:b/>
          <w:bCs/>
          <w:color w:val="6A7F0F"/>
        </w:rPr>
      </w:pPr>
      <w:r>
        <w:rPr>
          <w:rFonts w:cstheme="minorHAnsi"/>
          <w:b/>
          <w:bCs/>
          <w:color w:val="6A7F0F"/>
        </w:rPr>
        <w:br w:type="page"/>
      </w:r>
    </w:p>
    <w:p w14:paraId="5988E95C" w14:textId="5CA4D021" w:rsidR="00E847F0" w:rsidRPr="00E847F0" w:rsidRDefault="00E847F0" w:rsidP="00E847F0">
      <w:pPr>
        <w:spacing w:after="120"/>
        <w:rPr>
          <w:rFonts w:cstheme="minorHAnsi"/>
          <w:b/>
          <w:bCs/>
          <w:color w:val="6A7F0F"/>
        </w:rPr>
      </w:pPr>
      <w:r w:rsidRPr="00E847F0">
        <w:rPr>
          <w:rFonts w:cstheme="minorHAnsi"/>
          <w:b/>
          <w:bCs/>
          <w:color w:val="6A7F0F"/>
        </w:rPr>
        <w:t>Considerations for Specific Populations</w:t>
      </w:r>
    </w:p>
    <w:p w14:paraId="58565448" w14:textId="77777777" w:rsidR="00805EB4" w:rsidRPr="00333A08" w:rsidRDefault="00805EB4" w:rsidP="00805EB4">
      <w:pPr>
        <w:rPr>
          <w:rFonts w:cstheme="minorHAnsi"/>
          <w:color w:val="000000"/>
          <w:sz w:val="22"/>
          <w:szCs w:val="22"/>
          <w:shd w:val="clear" w:color="auto" w:fill="FFFFFF"/>
        </w:rPr>
      </w:pPr>
      <w:r w:rsidRPr="00333A08">
        <w:rPr>
          <w:rFonts w:cstheme="minorHAnsi"/>
          <w:color w:val="000000"/>
          <w:sz w:val="22"/>
          <w:szCs w:val="22"/>
          <w:shd w:val="clear" w:color="auto" w:fill="FFFFFF"/>
        </w:rPr>
        <w:t>Key interested parties noted that while capacity issues affect the entire behavioral health system, certain populations bear a disproportionate burden. Considerations for the additional supports or services needed are critical for health equity. Key interested parties spoke to the unique needs of those whose preferred language is not English; justice-involved individuals; and youth, particularly BIPOC and LGBTQ+ youth.</w:t>
      </w:r>
    </w:p>
    <w:p w14:paraId="137B9C1E" w14:textId="77777777" w:rsidR="00E847F0" w:rsidRDefault="00E847F0" w:rsidP="00E847F0">
      <w:pPr>
        <w:pStyle w:val="ListParagraph"/>
        <w:rPr>
          <w:rFonts w:cstheme="minorHAnsi"/>
          <w:i/>
          <w:color w:val="000000"/>
          <w:sz w:val="22"/>
          <w:szCs w:val="22"/>
          <w:shd w:val="clear" w:color="auto" w:fill="FFFFFF"/>
        </w:rPr>
      </w:pPr>
    </w:p>
    <w:p w14:paraId="2003FDCE" w14:textId="0D410C25" w:rsidR="00E847F0" w:rsidRPr="00333A08" w:rsidRDefault="00E847F0" w:rsidP="00E847F0">
      <w:pPr>
        <w:pStyle w:val="ListParagraph"/>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It's not enough to just translate materials or provide videos in the languages that people speak. </w:t>
      </w:r>
      <w:r>
        <w:rPr>
          <w:rFonts w:cstheme="minorHAnsi"/>
          <w:i/>
          <w:color w:val="000000"/>
          <w:sz w:val="22"/>
          <w:szCs w:val="22"/>
          <w:shd w:val="clear" w:color="auto" w:fill="FFFFFF"/>
        </w:rPr>
        <w:t>A</w:t>
      </w:r>
      <w:r w:rsidRPr="00333A08">
        <w:rPr>
          <w:rFonts w:cstheme="minorHAnsi"/>
          <w:i/>
          <w:color w:val="000000"/>
          <w:sz w:val="22"/>
          <w:szCs w:val="22"/>
          <w:shd w:val="clear" w:color="auto" w:fill="FFFFFF"/>
        </w:rPr>
        <w:t>lso we have to think about the quality of those translations and the quality of the interpreters that we have…</w:t>
      </w:r>
      <w:r>
        <w:rPr>
          <w:rFonts w:cstheme="minorHAnsi"/>
          <w:i/>
          <w:color w:val="000000"/>
          <w:sz w:val="22"/>
          <w:szCs w:val="22"/>
          <w:shd w:val="clear" w:color="auto" w:fill="FFFFFF"/>
        </w:rPr>
        <w:t xml:space="preserve"> </w:t>
      </w:r>
      <w:r w:rsidRPr="00333A08">
        <w:rPr>
          <w:rFonts w:cstheme="minorHAnsi"/>
          <w:i/>
          <w:color w:val="000000"/>
          <w:sz w:val="22"/>
          <w:szCs w:val="22"/>
          <w:shd w:val="clear" w:color="auto" w:fill="FFFFFF"/>
        </w:rPr>
        <w:t xml:space="preserve">It's not enough to just translate the material, but we also have to do a back translation to make sure that it makes sense, that it's at the appropriate reading level. Because a lot of times when you translate materials from English into another language, on average I think it increases the reading level by two or three grades. </w:t>
      </w:r>
      <w:r w:rsidRPr="00333A08">
        <w:rPr>
          <w:rFonts w:cstheme="minorHAnsi"/>
          <w:iCs/>
          <w:color w:val="000000"/>
          <w:sz w:val="22"/>
          <w:szCs w:val="22"/>
          <w:shd w:val="clear" w:color="auto" w:fill="FFFFFF"/>
        </w:rPr>
        <w:t>(Interested Party 09)</w:t>
      </w:r>
    </w:p>
    <w:p w14:paraId="542C9B61" w14:textId="77777777" w:rsidR="00E847F0" w:rsidRPr="00333A08" w:rsidRDefault="00E847F0" w:rsidP="00E847F0">
      <w:pPr>
        <w:pStyle w:val="ListParagraph"/>
        <w:rPr>
          <w:rFonts w:cstheme="minorHAnsi"/>
          <w:i/>
          <w:color w:val="000000"/>
          <w:sz w:val="22"/>
          <w:szCs w:val="22"/>
          <w:shd w:val="clear" w:color="auto" w:fill="FFFFFF"/>
        </w:rPr>
      </w:pPr>
    </w:p>
    <w:p w14:paraId="4E51C662" w14:textId="77777777" w:rsidR="00E847F0" w:rsidRPr="00333A08" w:rsidRDefault="00E847F0" w:rsidP="00E847F0">
      <w:pPr>
        <w:pStyle w:val="ListParagraph"/>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There's not great coordination [after jail discharge] and the time delay is huge. So, we have some folks where [this is] the first 48 hours they haven't been using meth, and this is the time we need to do something with them. And then to give them a business card…"Hey, your intake will be in a week. Make sure to call this number on your not-phone and put it in your not-calendar." Doesn't make any sense. </w:t>
      </w:r>
      <w:r w:rsidRPr="00333A08">
        <w:rPr>
          <w:rFonts w:cstheme="minorHAnsi"/>
          <w:iCs/>
          <w:color w:val="000000"/>
          <w:sz w:val="22"/>
          <w:szCs w:val="22"/>
          <w:shd w:val="clear" w:color="auto" w:fill="FFFFFF"/>
        </w:rPr>
        <w:t>(Interested Party 06</w:t>
      </w:r>
      <w:r w:rsidRPr="00333A08">
        <w:rPr>
          <w:rFonts w:cstheme="minorHAnsi"/>
          <w:i/>
          <w:color w:val="000000"/>
          <w:sz w:val="22"/>
          <w:szCs w:val="22"/>
          <w:shd w:val="clear" w:color="auto" w:fill="FFFFFF"/>
        </w:rPr>
        <w:t>)</w:t>
      </w:r>
    </w:p>
    <w:p w14:paraId="323477E4" w14:textId="77777777" w:rsidR="00E847F0" w:rsidRPr="00333A08" w:rsidRDefault="00E847F0" w:rsidP="00E847F0">
      <w:pPr>
        <w:pStyle w:val="ListParagraph"/>
        <w:rPr>
          <w:rFonts w:cstheme="minorHAnsi"/>
          <w:i/>
          <w:color w:val="000000"/>
          <w:sz w:val="22"/>
          <w:szCs w:val="22"/>
          <w:shd w:val="clear" w:color="auto" w:fill="FFFFFF"/>
        </w:rPr>
      </w:pPr>
    </w:p>
    <w:p w14:paraId="21E83AF3" w14:textId="77777777" w:rsidR="00E847F0" w:rsidRPr="00333A08" w:rsidRDefault="00E847F0" w:rsidP="00E847F0">
      <w:pPr>
        <w:pStyle w:val="ListParagraph"/>
        <w:rPr>
          <w:rFonts w:cstheme="minorHAnsi"/>
          <w:i/>
          <w:color w:val="000000"/>
          <w:sz w:val="22"/>
          <w:szCs w:val="22"/>
          <w:shd w:val="clear" w:color="auto" w:fill="FFFFFF"/>
        </w:rPr>
      </w:pPr>
      <w:r w:rsidRPr="00333A08">
        <w:rPr>
          <w:rFonts w:cstheme="minorHAnsi"/>
          <w:i/>
          <w:color w:val="000000"/>
          <w:sz w:val="22"/>
          <w:szCs w:val="22"/>
          <w:shd w:val="clear" w:color="auto" w:fill="FFFFFF"/>
        </w:rPr>
        <w:t>OHP gets turned off when they come into jail custody. And then, ofte</w:t>
      </w:r>
      <w:r>
        <w:rPr>
          <w:rFonts w:cstheme="minorHAnsi"/>
          <w:i/>
          <w:color w:val="000000"/>
          <w:sz w:val="22"/>
          <w:szCs w:val="22"/>
          <w:shd w:val="clear" w:color="auto" w:fill="FFFFFF"/>
        </w:rPr>
        <w:t>n</w:t>
      </w:r>
      <w:r w:rsidRPr="00333A08">
        <w:rPr>
          <w:rFonts w:cstheme="minorHAnsi"/>
          <w:i/>
          <w:color w:val="000000"/>
          <w:sz w:val="22"/>
          <w:szCs w:val="22"/>
          <w:shd w:val="clear" w:color="auto" w:fill="FFFFFF"/>
        </w:rPr>
        <w:t xml:space="preserve"> if they leave before anybody who's got a hand on that process knows it, they're back into the community and their resources have not been reactivated, which is hugely problematic. </w:t>
      </w:r>
      <w:r w:rsidRPr="00333A08">
        <w:rPr>
          <w:rFonts w:cstheme="minorHAnsi"/>
          <w:iCs/>
          <w:color w:val="000000"/>
          <w:sz w:val="22"/>
          <w:szCs w:val="22"/>
          <w:shd w:val="clear" w:color="auto" w:fill="FFFFFF"/>
        </w:rPr>
        <w:t>(Interested Party 22)</w:t>
      </w:r>
    </w:p>
    <w:p w14:paraId="652A3CF0" w14:textId="77777777" w:rsidR="00E847F0" w:rsidRPr="00333A08" w:rsidRDefault="00E847F0" w:rsidP="00E847F0">
      <w:pPr>
        <w:pStyle w:val="ListParagraph"/>
        <w:rPr>
          <w:rFonts w:cstheme="minorHAnsi"/>
          <w:i/>
          <w:color w:val="000000"/>
          <w:sz w:val="22"/>
          <w:szCs w:val="22"/>
          <w:shd w:val="clear" w:color="auto" w:fill="FFFFFF"/>
        </w:rPr>
      </w:pPr>
    </w:p>
    <w:p w14:paraId="2070BA07" w14:textId="77777777" w:rsidR="00E847F0" w:rsidRPr="00333A08" w:rsidRDefault="00E847F0" w:rsidP="00E847F0">
      <w:pPr>
        <w:pStyle w:val="ListParagraph"/>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I don't know how much space there is within the CCBHC model for this, but some way for youth to inform the development or the ongoing oversight. I think this is a growth area for our program as well, but is it a consumer advisory council specifically for young people, that can provide that oversight and ongoing feedback of, "this is how services are being delivered. Like, this would help reduce barriers or improve engagement"? Also, potentially required trainings for providers within the CCBHC around specific topics that matter to young people. Again, from the policy review we've done, training on trauma-informed clinical services, culturally and linguistically supportive services, could help because that has been identified by young people as a barrier and a potential solution. </w:t>
      </w:r>
      <w:r w:rsidRPr="00333A08">
        <w:rPr>
          <w:rFonts w:cstheme="minorHAnsi"/>
          <w:iCs/>
          <w:color w:val="000000"/>
          <w:sz w:val="22"/>
          <w:szCs w:val="22"/>
          <w:shd w:val="clear" w:color="auto" w:fill="FFFFFF"/>
        </w:rPr>
        <w:t>(Interested Party 01)</w:t>
      </w:r>
    </w:p>
    <w:p w14:paraId="1F9D552B" w14:textId="77777777" w:rsidR="00E847F0" w:rsidRPr="00333A08" w:rsidRDefault="00E847F0" w:rsidP="00E847F0">
      <w:pPr>
        <w:pStyle w:val="ListParagraph"/>
        <w:rPr>
          <w:rFonts w:cstheme="minorHAnsi"/>
          <w:i/>
          <w:color w:val="000000"/>
          <w:sz w:val="22"/>
          <w:szCs w:val="22"/>
          <w:shd w:val="clear" w:color="auto" w:fill="FFFFFF"/>
        </w:rPr>
      </w:pPr>
    </w:p>
    <w:p w14:paraId="71D9160E" w14:textId="77777777" w:rsidR="00E847F0" w:rsidRPr="00333A08" w:rsidRDefault="00E847F0" w:rsidP="00E847F0">
      <w:pPr>
        <w:pStyle w:val="ListParagraph"/>
        <w:rPr>
          <w:rFonts w:cstheme="minorHAnsi"/>
          <w:i/>
          <w:color w:val="000000"/>
          <w:sz w:val="22"/>
          <w:szCs w:val="22"/>
          <w:shd w:val="clear" w:color="auto" w:fill="FFFFFF"/>
        </w:rPr>
      </w:pPr>
      <w:r w:rsidRPr="00333A08">
        <w:rPr>
          <w:rFonts w:cstheme="minorHAnsi"/>
          <w:i/>
          <w:color w:val="000000"/>
          <w:sz w:val="22"/>
          <w:szCs w:val="22"/>
          <w:shd w:val="clear" w:color="auto" w:fill="FFFFFF"/>
        </w:rPr>
        <w:t>There</w:t>
      </w:r>
      <w:r>
        <w:rPr>
          <w:rFonts w:cstheme="minorHAnsi"/>
          <w:i/>
          <w:color w:val="000000"/>
          <w:sz w:val="22"/>
          <w:szCs w:val="22"/>
          <w:shd w:val="clear" w:color="auto" w:fill="FFFFFF"/>
        </w:rPr>
        <w:t xml:space="preserve"> are</w:t>
      </w:r>
      <w:r w:rsidRPr="00333A08">
        <w:rPr>
          <w:rFonts w:cstheme="minorHAnsi"/>
          <w:i/>
          <w:color w:val="000000"/>
          <w:sz w:val="22"/>
          <w:szCs w:val="22"/>
          <w:shd w:val="clear" w:color="auto" w:fill="FFFFFF"/>
        </w:rPr>
        <w:t xml:space="preserve"> concerns around parents "finding out", quote-unquote, about the services that they're receiving. They're concerned about providers not looking like them. A lot of providers... and we see this in our clinics... are white, cisgender, primarily female. So, there's a lot of young people who are like, "I would really love to have a queer provider. I would really love to have a Black, or Pacific Islander provider who looks like me and understands my culture." </w:t>
      </w:r>
      <w:r w:rsidRPr="00333A08">
        <w:rPr>
          <w:rFonts w:cstheme="minorHAnsi"/>
          <w:iCs/>
          <w:color w:val="000000"/>
          <w:sz w:val="22"/>
          <w:szCs w:val="22"/>
          <w:shd w:val="clear" w:color="auto" w:fill="FFFFFF"/>
        </w:rPr>
        <w:t>(Interested Party 26)</w:t>
      </w:r>
    </w:p>
    <w:p w14:paraId="30300335" w14:textId="77777777" w:rsidR="00E847F0" w:rsidRPr="00333A08" w:rsidRDefault="00E847F0" w:rsidP="00E847F0">
      <w:pPr>
        <w:pStyle w:val="ListParagraph"/>
        <w:rPr>
          <w:rFonts w:cstheme="minorHAnsi"/>
          <w:i/>
          <w:color w:val="000000"/>
          <w:sz w:val="22"/>
          <w:szCs w:val="22"/>
          <w:shd w:val="clear" w:color="auto" w:fill="FFFFFF"/>
        </w:rPr>
      </w:pPr>
    </w:p>
    <w:p w14:paraId="3CF7E64A" w14:textId="69C921F2" w:rsidR="00E847F0" w:rsidRPr="00E847F0" w:rsidRDefault="00E847F0" w:rsidP="00E847F0">
      <w:pPr>
        <w:spacing w:after="120"/>
        <w:rPr>
          <w:rFonts w:cstheme="minorHAnsi"/>
          <w:b/>
          <w:bCs/>
          <w:color w:val="6A7F0F"/>
        </w:rPr>
      </w:pPr>
      <w:bookmarkStart w:id="116" w:name="_Sustainability"/>
      <w:bookmarkEnd w:id="116"/>
      <w:r w:rsidRPr="00E847F0">
        <w:rPr>
          <w:rFonts w:cstheme="minorHAnsi"/>
          <w:b/>
          <w:bCs/>
          <w:color w:val="6A7F0F"/>
        </w:rPr>
        <w:t xml:space="preserve">Sustainability </w:t>
      </w:r>
    </w:p>
    <w:p w14:paraId="154023EC" w14:textId="77777777" w:rsidR="00805EB4" w:rsidRPr="00333A08" w:rsidRDefault="00805EB4" w:rsidP="00805EB4">
      <w:pPr>
        <w:rPr>
          <w:rFonts w:cstheme="minorHAnsi"/>
          <w:color w:val="000000"/>
          <w:sz w:val="22"/>
          <w:szCs w:val="22"/>
          <w:shd w:val="clear" w:color="auto" w:fill="FFFFFF"/>
        </w:rPr>
      </w:pPr>
      <w:bookmarkStart w:id="117" w:name="_Diversifying_and_training"/>
      <w:bookmarkEnd w:id="117"/>
      <w:r w:rsidRPr="00333A08">
        <w:rPr>
          <w:rFonts w:cstheme="minorHAnsi"/>
          <w:color w:val="000000"/>
          <w:sz w:val="22"/>
          <w:szCs w:val="22"/>
          <w:shd w:val="clear" w:color="auto" w:fill="FFFFFF"/>
        </w:rPr>
        <w:t xml:space="preserve">Key interested parties and CBO representatives reported on a range of issues that are important for the potential expansion and future sustainability of the CCBHC program. </w:t>
      </w:r>
      <w:r>
        <w:rPr>
          <w:rFonts w:cstheme="minorHAnsi"/>
          <w:color w:val="000000"/>
          <w:sz w:val="22"/>
          <w:szCs w:val="22"/>
          <w:shd w:val="clear" w:color="auto" w:fill="FFFFFF"/>
        </w:rPr>
        <w:t>The m</w:t>
      </w:r>
      <w:r w:rsidRPr="00333A08">
        <w:rPr>
          <w:rFonts w:cstheme="minorHAnsi"/>
          <w:color w:val="000000"/>
          <w:sz w:val="22"/>
          <w:szCs w:val="22"/>
          <w:shd w:val="clear" w:color="auto" w:fill="FFFFFF"/>
        </w:rPr>
        <w:t xml:space="preserve">ost notable themes included diversifying and training the workforce, strengthening community partnerships, investing in a robust data infrastructure, implementing meaningful metrics, and redefining wellness. </w:t>
      </w:r>
    </w:p>
    <w:p w14:paraId="6220F16C" w14:textId="77777777" w:rsidR="00E847F0" w:rsidRPr="00E847F0" w:rsidRDefault="00E847F0" w:rsidP="00E847F0">
      <w:pPr>
        <w:spacing w:after="120"/>
        <w:rPr>
          <w:b/>
          <w:bCs/>
          <w:i/>
          <w:iCs/>
          <w:color w:val="6A7F0F"/>
          <w:sz w:val="22"/>
          <w:szCs w:val="22"/>
        </w:rPr>
      </w:pPr>
      <w:r w:rsidRPr="00E847F0">
        <w:rPr>
          <w:b/>
          <w:bCs/>
          <w:i/>
          <w:iCs/>
          <w:color w:val="6A7F0F"/>
          <w:sz w:val="22"/>
          <w:szCs w:val="22"/>
        </w:rPr>
        <w:t>Diversifying and Training the Workforce</w:t>
      </w:r>
    </w:p>
    <w:p w14:paraId="4B195C93" w14:textId="77777777" w:rsidR="00805EB4" w:rsidRPr="00333A08" w:rsidRDefault="00805EB4" w:rsidP="00805EB4">
      <w:pPr>
        <w:rPr>
          <w:rFonts w:cstheme="minorHAnsi"/>
          <w:color w:val="000000"/>
          <w:sz w:val="22"/>
          <w:szCs w:val="22"/>
          <w:shd w:val="clear" w:color="auto" w:fill="FFFFFF"/>
        </w:rPr>
      </w:pPr>
      <w:r w:rsidRPr="00333A08">
        <w:rPr>
          <w:rFonts w:cstheme="minorHAnsi"/>
          <w:color w:val="000000"/>
          <w:sz w:val="22"/>
          <w:szCs w:val="22"/>
          <w:shd w:val="clear" w:color="auto" w:fill="FFFFFF"/>
        </w:rPr>
        <w:t>CBO representatives and key interested parties indicated that diversifying the behavioral health workforce was critical. One CBO representative noted that it was not sufficient to hire people from underrepresented and underserved communities</w:t>
      </w:r>
      <w:r>
        <w:rPr>
          <w:rFonts w:cstheme="minorHAnsi"/>
          <w:color w:val="000000"/>
          <w:sz w:val="22"/>
          <w:szCs w:val="22"/>
          <w:shd w:val="clear" w:color="auto" w:fill="FFFFFF"/>
        </w:rPr>
        <w:t>;</w:t>
      </w:r>
      <w:r w:rsidRPr="00333A08">
        <w:rPr>
          <w:rFonts w:cstheme="minorHAnsi"/>
          <w:color w:val="000000"/>
          <w:sz w:val="22"/>
          <w:szCs w:val="22"/>
          <w:shd w:val="clear" w:color="auto" w:fill="FFFFFF"/>
        </w:rPr>
        <w:t xml:space="preserve"> attention </w:t>
      </w:r>
      <w:r>
        <w:rPr>
          <w:rFonts w:cstheme="minorHAnsi"/>
          <w:color w:val="000000"/>
          <w:sz w:val="22"/>
          <w:szCs w:val="22"/>
          <w:shd w:val="clear" w:color="auto" w:fill="FFFFFF"/>
        </w:rPr>
        <w:t>must be given</w:t>
      </w:r>
      <w:r w:rsidRPr="00333A08">
        <w:rPr>
          <w:rFonts w:cstheme="minorHAnsi"/>
          <w:color w:val="000000"/>
          <w:sz w:val="22"/>
          <w:szCs w:val="22"/>
          <w:shd w:val="clear" w:color="auto" w:fill="FFFFFF"/>
        </w:rPr>
        <w:t xml:space="preserve"> to power dynamics. A key interested party noted that diversifying the workforce was a long process, and it </w:t>
      </w:r>
      <w:r>
        <w:rPr>
          <w:rFonts w:cstheme="minorHAnsi"/>
          <w:color w:val="000000"/>
          <w:sz w:val="22"/>
          <w:szCs w:val="22"/>
          <w:shd w:val="clear" w:color="auto" w:fill="FFFFFF"/>
        </w:rPr>
        <w:t>i</w:t>
      </w:r>
      <w:r w:rsidRPr="00333A08">
        <w:rPr>
          <w:rFonts w:cstheme="minorHAnsi"/>
          <w:color w:val="000000"/>
          <w:sz w:val="22"/>
          <w:szCs w:val="22"/>
          <w:shd w:val="clear" w:color="auto" w:fill="FFFFFF"/>
        </w:rPr>
        <w:t>s important to also ensure the current workforce is trained to engage with diverse populations, reflect on cultural biases and how they may show up in the clinic, and provide culturally and linguistically appropriate services.</w:t>
      </w:r>
    </w:p>
    <w:p w14:paraId="73FC4CA2" w14:textId="77777777" w:rsidR="00E847F0"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739087FB" w14:textId="0820F8FA"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hAnsiTheme="minorHAnsi" w:cstheme="minorHAnsi"/>
          <w:i/>
          <w:color w:val="000000"/>
          <w:sz w:val="22"/>
          <w:szCs w:val="22"/>
        </w:rPr>
        <w:t xml:space="preserve">If you hire people that come from those communities, you're going to have more success. That's just the way it is. We know that. </w:t>
      </w:r>
      <w:r w:rsidRPr="00333A08">
        <w:rPr>
          <w:rFonts w:asciiTheme="minorHAnsi" w:hAnsiTheme="minorHAnsi" w:cstheme="minorHAnsi"/>
          <w:iCs/>
          <w:color w:val="000000"/>
          <w:sz w:val="22"/>
          <w:szCs w:val="22"/>
        </w:rPr>
        <w:t>(CBO Representative 03)</w:t>
      </w:r>
    </w:p>
    <w:p w14:paraId="0ABDA53E"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2878F525"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hAnsiTheme="minorHAnsi" w:cstheme="minorHAnsi"/>
          <w:i/>
          <w:color w:val="000000"/>
          <w:sz w:val="22"/>
          <w:szCs w:val="22"/>
        </w:rPr>
        <w:t>Employing people that are a part of those populations and not just employing them but giving them power and decision making.</w:t>
      </w:r>
      <w:r w:rsidRPr="00333A08">
        <w:rPr>
          <w:rFonts w:asciiTheme="minorHAnsi" w:hAnsiTheme="minorHAnsi" w:cstheme="minorHAnsi"/>
          <w:iCs/>
          <w:color w:val="000000"/>
          <w:sz w:val="22"/>
          <w:szCs w:val="22"/>
        </w:rPr>
        <w:t xml:space="preserve"> (CBO Representative 01)</w:t>
      </w:r>
    </w:p>
    <w:p w14:paraId="43615A11"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08C91EE9" w14:textId="77777777" w:rsidR="00E847F0" w:rsidRPr="00333A08" w:rsidRDefault="00E847F0" w:rsidP="00E847F0">
      <w:pPr>
        <w:ind w:left="720"/>
        <w:rPr>
          <w:rFonts w:cstheme="minorHAnsi"/>
          <w:i/>
          <w:color w:val="000000"/>
          <w:sz w:val="22"/>
          <w:szCs w:val="22"/>
          <w:shd w:val="clear" w:color="auto" w:fill="FFFFFF"/>
        </w:rPr>
      </w:pPr>
      <w:r w:rsidRPr="00333A08">
        <w:rPr>
          <w:rFonts w:cstheme="minorHAnsi"/>
          <w:i/>
          <w:color w:val="000000"/>
          <w:sz w:val="22"/>
          <w:szCs w:val="22"/>
          <w:shd w:val="clear" w:color="auto" w:fill="FFFFFF"/>
        </w:rPr>
        <w:t xml:space="preserve">We need to diversify the workforce. </w:t>
      </w:r>
      <w:r>
        <w:rPr>
          <w:rFonts w:cstheme="minorHAnsi"/>
          <w:i/>
          <w:color w:val="000000"/>
          <w:sz w:val="22"/>
          <w:szCs w:val="22"/>
          <w:shd w:val="clear" w:color="auto" w:fill="FFFFFF"/>
        </w:rPr>
        <w:t>I</w:t>
      </w:r>
      <w:r w:rsidRPr="00333A08">
        <w:rPr>
          <w:rFonts w:cstheme="minorHAnsi"/>
          <w:i/>
          <w:color w:val="000000"/>
          <w:sz w:val="22"/>
          <w:szCs w:val="22"/>
          <w:shd w:val="clear" w:color="auto" w:fill="FFFFFF"/>
        </w:rPr>
        <w:t>n the meantime, because that's going to take a very long time to actually do that, we need to train the current workforce to be able to work with all the populations in our state and in both culturally and linguistically appropriate ways.</w:t>
      </w:r>
      <w:r w:rsidRPr="00333A08">
        <w:rPr>
          <w:rFonts w:eastAsia="Calibri" w:cstheme="minorHAnsi"/>
          <w:color w:val="000000"/>
          <w:sz w:val="22"/>
          <w:szCs w:val="22"/>
        </w:rPr>
        <w:t xml:space="preserve"> </w:t>
      </w:r>
      <w:r w:rsidRPr="005205CF">
        <w:rPr>
          <w:rFonts w:eastAsia="Calibri" w:cstheme="minorHAnsi"/>
          <w:i/>
          <w:iCs/>
          <w:color w:val="000000"/>
          <w:sz w:val="22"/>
          <w:szCs w:val="22"/>
        </w:rPr>
        <w:t>[We need to]</w:t>
      </w:r>
      <w:r w:rsidRPr="00333A08">
        <w:rPr>
          <w:rFonts w:eastAsia="Calibri" w:cstheme="minorHAnsi"/>
          <w:color w:val="000000"/>
          <w:sz w:val="22"/>
          <w:szCs w:val="22"/>
        </w:rPr>
        <w:t xml:space="preserve"> </w:t>
      </w:r>
      <w:r w:rsidRPr="00333A08">
        <w:rPr>
          <w:rFonts w:cstheme="minorHAnsi"/>
          <w:i/>
          <w:color w:val="000000"/>
          <w:sz w:val="22"/>
          <w:szCs w:val="22"/>
          <w:shd w:val="clear" w:color="auto" w:fill="FFFFFF"/>
        </w:rPr>
        <w:t xml:space="preserve">make sure that current providers have what they need in terms of training, in terms of technical assistance, and that they're getting the learning opportunities that they need so that they can even just be aware of cultural biases that we all carry and hold. And also normalizing that for them too, right? Because we all have them. </w:t>
      </w:r>
      <w:r>
        <w:rPr>
          <w:rFonts w:cstheme="minorHAnsi"/>
          <w:i/>
          <w:color w:val="000000"/>
          <w:sz w:val="22"/>
          <w:szCs w:val="22"/>
          <w:shd w:val="clear" w:color="auto" w:fill="FFFFFF"/>
        </w:rPr>
        <w:t>S</w:t>
      </w:r>
      <w:r w:rsidRPr="00333A08">
        <w:rPr>
          <w:rFonts w:cstheme="minorHAnsi"/>
          <w:i/>
          <w:color w:val="000000"/>
          <w:sz w:val="22"/>
          <w:szCs w:val="22"/>
          <w:shd w:val="clear" w:color="auto" w:fill="FFFFFF"/>
        </w:rPr>
        <w:t xml:space="preserve">o awareness is such a huge piece of that ahead of even thinking about digging into how do you provide culturally and linguistically appropriate services, just even on a very personal level, thinking of your own biases and how those show up. How does white supremacy show up in the ways that folks are doing their work?  </w:t>
      </w:r>
      <w:r w:rsidRPr="00333A08">
        <w:rPr>
          <w:rFonts w:cstheme="minorHAnsi"/>
          <w:iCs/>
          <w:color w:val="000000"/>
          <w:sz w:val="22"/>
          <w:szCs w:val="22"/>
          <w:shd w:val="clear" w:color="auto" w:fill="FFFFFF"/>
        </w:rPr>
        <w:t>(Interested Party 09)</w:t>
      </w:r>
    </w:p>
    <w:p w14:paraId="26B3973B" w14:textId="77777777" w:rsidR="00E847F0" w:rsidRPr="00333A08" w:rsidRDefault="00E847F0" w:rsidP="00E847F0">
      <w:pPr>
        <w:ind w:left="720"/>
        <w:rPr>
          <w:rFonts w:cstheme="minorHAnsi"/>
          <w:i/>
          <w:color w:val="000000"/>
          <w:sz w:val="22"/>
          <w:szCs w:val="22"/>
        </w:rPr>
      </w:pPr>
    </w:p>
    <w:p w14:paraId="52BD69F4" w14:textId="77777777" w:rsidR="00E847F0" w:rsidRPr="00E847F0" w:rsidRDefault="00E847F0" w:rsidP="00E847F0">
      <w:pPr>
        <w:spacing w:after="120"/>
        <w:rPr>
          <w:b/>
          <w:bCs/>
          <w:i/>
          <w:iCs/>
          <w:color w:val="6A7F0F"/>
          <w:sz w:val="22"/>
          <w:szCs w:val="22"/>
        </w:rPr>
      </w:pPr>
      <w:bookmarkStart w:id="118" w:name="_Strengthening_community_partnership"/>
      <w:bookmarkEnd w:id="118"/>
      <w:r w:rsidRPr="00E847F0">
        <w:rPr>
          <w:b/>
          <w:bCs/>
          <w:i/>
          <w:iCs/>
          <w:color w:val="6A7F0F"/>
          <w:sz w:val="22"/>
          <w:szCs w:val="22"/>
        </w:rPr>
        <w:t>Strengthening Community Partnerships</w:t>
      </w:r>
    </w:p>
    <w:p w14:paraId="0B5A88C2" w14:textId="77777777" w:rsidR="00805EB4" w:rsidRPr="00333A08" w:rsidRDefault="00805EB4" w:rsidP="00805EB4">
      <w:pPr>
        <w:pStyle w:val="NormalWeb"/>
        <w:spacing w:before="0" w:beforeAutospacing="0" w:after="0" w:afterAutospacing="0"/>
        <w:rPr>
          <w:rFonts w:asciiTheme="minorHAnsi" w:hAnsiTheme="minorHAnsi" w:cstheme="minorHAnsi"/>
          <w:color w:val="000000"/>
          <w:sz w:val="22"/>
          <w:szCs w:val="22"/>
          <w:shd w:val="clear" w:color="auto" w:fill="FFFFFF"/>
        </w:rPr>
      </w:pPr>
      <w:r w:rsidRPr="00AA5D2F">
        <w:rPr>
          <w:rFonts w:asciiTheme="minorHAnsi" w:hAnsiTheme="minorHAnsi" w:cstheme="minorHAnsi"/>
          <w:sz w:val="22"/>
          <w:szCs w:val="22"/>
        </w:rPr>
        <w:t>CBO representatives and key interested parties reported that strengthening community partnerships and engaging the community were important strategies for meeting the needs of the community. One key interested party noted that acknowledging harms caused by the behavioral health system, power-sharing, and seeking community input on services were all important for serving historically and currently marginalized communities. Another key interested party highlighted how community members can enhance clinic conversations about diversity, equity, and inclusion.</w:t>
      </w:r>
    </w:p>
    <w:p w14:paraId="087FCB76" w14:textId="77777777" w:rsidR="00E847F0" w:rsidRDefault="00E847F0" w:rsidP="00E847F0">
      <w:pPr>
        <w:pStyle w:val="NormalWeb"/>
        <w:spacing w:before="0" w:beforeAutospacing="0" w:after="0" w:afterAutospacing="0"/>
        <w:ind w:left="720"/>
        <w:rPr>
          <w:rFonts w:asciiTheme="minorHAnsi" w:hAnsiTheme="minorHAnsi" w:cstheme="minorHAnsi"/>
          <w:i/>
          <w:color w:val="000000"/>
          <w:sz w:val="22"/>
          <w:szCs w:val="22"/>
          <w:lang w:val="en"/>
        </w:rPr>
      </w:pPr>
    </w:p>
    <w:p w14:paraId="7977EBE8" w14:textId="3114DD6F"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hAnsiTheme="minorHAnsi" w:cstheme="minorHAnsi"/>
          <w:i/>
          <w:color w:val="000000"/>
          <w:sz w:val="22"/>
          <w:szCs w:val="22"/>
          <w:lang w:val="en"/>
        </w:rPr>
        <w:t>Our community has a lot of grassroots work that happens, a lot of smaller nonprofits, things like that. I think maybe our CCBHC could, I mean I think they do a decent job being involved and being a good partner, but I guess could just be a little bit even more involved partnering with all the grassroots work that happens</w:t>
      </w:r>
      <w:r w:rsidRPr="00333A08">
        <w:rPr>
          <w:rFonts w:asciiTheme="minorHAnsi" w:hAnsiTheme="minorHAnsi" w:cstheme="minorHAnsi"/>
          <w:i/>
          <w:color w:val="000000"/>
          <w:sz w:val="22"/>
          <w:szCs w:val="22"/>
        </w:rPr>
        <w:t xml:space="preserve">. </w:t>
      </w:r>
      <w:r w:rsidRPr="00333A08">
        <w:rPr>
          <w:rFonts w:asciiTheme="minorHAnsi" w:hAnsiTheme="minorHAnsi" w:cstheme="minorHAnsi"/>
          <w:iCs/>
          <w:color w:val="000000"/>
          <w:sz w:val="22"/>
          <w:szCs w:val="22"/>
        </w:rPr>
        <w:t>(CBO Representative 01)</w:t>
      </w:r>
    </w:p>
    <w:p w14:paraId="08A22C1B"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5082AEFF"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hAnsiTheme="minorHAnsi" w:cstheme="minorHAnsi"/>
          <w:i/>
          <w:color w:val="000000"/>
          <w:sz w:val="22"/>
          <w:szCs w:val="22"/>
        </w:rPr>
        <w:t xml:space="preserve">We may not speak the language. We may not understand the culture. They may not have transportation to get to us. They may be fearful of engaging with an agency that's being led by white dominant culture. </w:t>
      </w:r>
      <w:r>
        <w:rPr>
          <w:rFonts w:asciiTheme="minorHAnsi" w:hAnsiTheme="minorHAnsi" w:cstheme="minorHAnsi"/>
          <w:i/>
          <w:color w:val="000000"/>
          <w:sz w:val="22"/>
          <w:szCs w:val="22"/>
        </w:rPr>
        <w:t>T</w:t>
      </w:r>
      <w:r w:rsidRPr="00333A08">
        <w:rPr>
          <w:rFonts w:asciiTheme="minorHAnsi" w:hAnsiTheme="minorHAnsi" w:cstheme="minorHAnsi"/>
          <w:i/>
          <w:color w:val="000000"/>
          <w:sz w:val="22"/>
          <w:szCs w:val="22"/>
        </w:rPr>
        <w:t xml:space="preserve">hey just don't show up. </w:t>
      </w:r>
      <w:r>
        <w:rPr>
          <w:rFonts w:asciiTheme="minorHAnsi" w:hAnsiTheme="minorHAnsi" w:cstheme="minorHAnsi"/>
          <w:i/>
          <w:color w:val="000000"/>
          <w:sz w:val="22"/>
          <w:szCs w:val="22"/>
        </w:rPr>
        <w:t>W</w:t>
      </w:r>
      <w:r w:rsidRPr="00333A08">
        <w:rPr>
          <w:rFonts w:asciiTheme="minorHAnsi" w:hAnsiTheme="minorHAnsi" w:cstheme="minorHAnsi"/>
          <w:i/>
          <w:color w:val="000000"/>
          <w:sz w:val="22"/>
          <w:szCs w:val="22"/>
        </w:rPr>
        <w:t xml:space="preserve">e don't provide them care and we're not structured to provide them care. I think we have to upend all of that, and it begins with just a recognition of the harm that we've caused and understanding that we need to build trust. And to do that, we need to share power and to have community help inform our decision making so that we build an array and an approach of services that actually is designed in a way to serve communities other than white dominant culture. We need to do that with CCBHCs and everywhere else. </w:t>
      </w:r>
      <w:r w:rsidRPr="00333A08">
        <w:rPr>
          <w:rFonts w:asciiTheme="minorHAnsi" w:hAnsiTheme="minorHAnsi" w:cstheme="minorHAnsi"/>
          <w:iCs/>
          <w:color w:val="000000"/>
          <w:sz w:val="22"/>
          <w:szCs w:val="22"/>
        </w:rPr>
        <w:t>(Interested Party 08)</w:t>
      </w:r>
    </w:p>
    <w:p w14:paraId="40804667"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1419A820"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r w:rsidRPr="00333A08">
        <w:rPr>
          <w:rFonts w:asciiTheme="minorHAnsi" w:eastAsia="Calibri" w:hAnsiTheme="minorHAnsi" w:cstheme="minorHAnsi"/>
          <w:i/>
          <w:color w:val="000000"/>
          <w:sz w:val="22"/>
          <w:szCs w:val="22"/>
        </w:rPr>
        <w:t xml:space="preserve">Even if you have a DEI committee, those conversations probably look different on a professional level versus if you go and talk to the patients or the grassroots community members. They might have some insights that aren't even in the realm of awareness. </w:t>
      </w:r>
      <w:r w:rsidRPr="00333A08">
        <w:rPr>
          <w:rFonts w:asciiTheme="minorHAnsi" w:eastAsia="Calibri" w:hAnsiTheme="minorHAnsi" w:cstheme="minorHAnsi"/>
          <w:iCs/>
          <w:color w:val="000000"/>
          <w:sz w:val="22"/>
          <w:szCs w:val="22"/>
        </w:rPr>
        <w:t>(Interested Party 09)</w:t>
      </w:r>
    </w:p>
    <w:p w14:paraId="37538AC6" w14:textId="77777777" w:rsidR="00E847F0" w:rsidRPr="00333A08" w:rsidRDefault="00E847F0" w:rsidP="00E847F0">
      <w:pPr>
        <w:pStyle w:val="NormalWeb"/>
        <w:spacing w:before="0" w:beforeAutospacing="0" w:after="0" w:afterAutospacing="0"/>
        <w:ind w:left="720"/>
        <w:rPr>
          <w:rFonts w:asciiTheme="minorHAnsi" w:hAnsiTheme="minorHAnsi" w:cstheme="minorHAnsi"/>
          <w:i/>
          <w:color w:val="000000"/>
          <w:sz w:val="22"/>
          <w:szCs w:val="22"/>
        </w:rPr>
      </w:pPr>
    </w:p>
    <w:p w14:paraId="1AFF9BC8" w14:textId="77777777" w:rsidR="00E847F0" w:rsidRPr="00E847F0" w:rsidRDefault="00E847F0" w:rsidP="00E847F0">
      <w:pPr>
        <w:spacing w:after="120"/>
        <w:rPr>
          <w:b/>
          <w:bCs/>
          <w:i/>
          <w:iCs/>
          <w:color w:val="6A7F0F"/>
          <w:sz w:val="22"/>
          <w:szCs w:val="22"/>
        </w:rPr>
      </w:pPr>
      <w:bookmarkStart w:id="119" w:name="_Investing_in_robust"/>
      <w:bookmarkEnd w:id="119"/>
      <w:r w:rsidRPr="00E847F0">
        <w:rPr>
          <w:b/>
          <w:bCs/>
          <w:i/>
          <w:iCs/>
          <w:color w:val="6A7F0F"/>
          <w:sz w:val="22"/>
          <w:szCs w:val="22"/>
        </w:rPr>
        <w:t>Investing in Robust Data Infrastructure</w:t>
      </w:r>
    </w:p>
    <w:p w14:paraId="0683D814" w14:textId="77777777" w:rsidR="00805EB4" w:rsidRPr="00333A08" w:rsidRDefault="00805EB4" w:rsidP="00805EB4">
      <w:pPr>
        <w:rPr>
          <w:rFonts w:cstheme="minorHAnsi"/>
          <w:sz w:val="22"/>
          <w:szCs w:val="22"/>
        </w:rPr>
      </w:pPr>
      <w:r w:rsidRPr="00333A08">
        <w:rPr>
          <w:rFonts w:cstheme="minorHAnsi"/>
          <w:sz w:val="22"/>
          <w:szCs w:val="22"/>
        </w:rPr>
        <w:t>Inadequate data infrastructure was a noted barrier to increasing access to behavioral health, coordinating care, and identifying health inequities. One key interested party noted that Oregon has not invested in good data systems, which has resulted in the inability to make strategic investments</w:t>
      </w:r>
      <w:r>
        <w:rPr>
          <w:rFonts w:cstheme="minorHAnsi"/>
          <w:sz w:val="22"/>
          <w:szCs w:val="22"/>
        </w:rPr>
        <w:t xml:space="preserve"> to support the larger behavioral health system</w:t>
      </w:r>
      <w:r w:rsidRPr="00333A08">
        <w:rPr>
          <w:rFonts w:cstheme="minorHAnsi"/>
          <w:sz w:val="22"/>
          <w:szCs w:val="22"/>
        </w:rPr>
        <w:t>. Another key interested party reported that CCBHCs will not be able to achieve the CCBHC program objectives</w:t>
      </w:r>
      <w:r>
        <w:rPr>
          <w:rFonts w:cstheme="minorHAnsi"/>
          <w:sz w:val="22"/>
          <w:szCs w:val="22"/>
        </w:rPr>
        <w:t xml:space="preserve"> </w:t>
      </w:r>
      <w:r w:rsidRPr="00333A08">
        <w:rPr>
          <w:rFonts w:cstheme="minorHAnsi"/>
          <w:sz w:val="22"/>
          <w:szCs w:val="22"/>
        </w:rPr>
        <w:t>without a health information exchange.</w:t>
      </w:r>
    </w:p>
    <w:p w14:paraId="72271BAA" w14:textId="77777777" w:rsidR="00E847F0" w:rsidRDefault="00E847F0" w:rsidP="00E847F0">
      <w:pPr>
        <w:ind w:left="720"/>
        <w:rPr>
          <w:rFonts w:cstheme="minorHAnsi"/>
          <w:i/>
          <w:color w:val="000000"/>
          <w:sz w:val="22"/>
          <w:szCs w:val="22"/>
          <w:shd w:val="clear" w:color="auto" w:fill="FFFFFF"/>
        </w:rPr>
      </w:pPr>
    </w:p>
    <w:p w14:paraId="6064890B" w14:textId="29AD2311" w:rsidR="00E847F0" w:rsidRPr="00333A08" w:rsidRDefault="00E847F0" w:rsidP="00E847F0">
      <w:pPr>
        <w:ind w:left="720"/>
        <w:rPr>
          <w:rFonts w:cstheme="minorHAnsi"/>
          <w:i/>
          <w:color w:val="000000"/>
          <w:sz w:val="22"/>
          <w:szCs w:val="22"/>
          <w:shd w:val="clear" w:color="auto" w:fill="FFFFFF"/>
        </w:rPr>
      </w:pPr>
      <w:r w:rsidRPr="00333A08">
        <w:rPr>
          <w:rFonts w:cstheme="minorHAnsi"/>
          <w:i/>
          <w:color w:val="000000"/>
          <w:sz w:val="22"/>
          <w:szCs w:val="22"/>
          <w:shd w:val="clear" w:color="auto" w:fill="FFFFFF"/>
        </w:rPr>
        <w:t>They don't know who their underserved populations are because they don't have the data infrastructure</w:t>
      </w:r>
      <w:r>
        <w:rPr>
          <w:rFonts w:cstheme="minorHAnsi"/>
          <w:i/>
          <w:color w:val="000000"/>
          <w:sz w:val="22"/>
          <w:szCs w:val="22"/>
          <w:shd w:val="clear" w:color="auto" w:fill="FFFFFF"/>
        </w:rPr>
        <w:t xml:space="preserve"> </w:t>
      </w:r>
      <w:r w:rsidRPr="00333A08">
        <w:rPr>
          <w:rFonts w:cstheme="minorHAnsi"/>
          <w:i/>
          <w:color w:val="000000"/>
          <w:sz w:val="22"/>
          <w:szCs w:val="22"/>
          <w:shd w:val="clear" w:color="auto" w:fill="FFFFFF"/>
        </w:rPr>
        <w:t>…</w:t>
      </w:r>
      <w:r w:rsidRPr="00333A08">
        <w:rPr>
          <w:rFonts w:eastAsia="Calibri" w:cstheme="minorHAnsi"/>
          <w:i/>
          <w:color w:val="000000"/>
          <w:sz w:val="22"/>
          <w:szCs w:val="22"/>
        </w:rPr>
        <w:t xml:space="preserve"> this isn't just true for CCBHCs, but given what they're tasked to do without a solid health information exchange platform, they'll never achieve that.</w:t>
      </w:r>
      <w:r w:rsidRPr="00333A08">
        <w:rPr>
          <w:rFonts w:cstheme="minorHAnsi"/>
          <w:i/>
          <w:color w:val="000000"/>
          <w:sz w:val="22"/>
          <w:szCs w:val="22"/>
          <w:shd w:val="clear" w:color="auto" w:fill="FFFFFF"/>
        </w:rPr>
        <w:t xml:space="preserve"> </w:t>
      </w:r>
      <w:r w:rsidRPr="00333A08">
        <w:rPr>
          <w:rFonts w:cstheme="minorHAnsi"/>
          <w:iCs/>
          <w:color w:val="000000"/>
          <w:sz w:val="22"/>
          <w:szCs w:val="22"/>
          <w:shd w:val="clear" w:color="auto" w:fill="FFFFFF"/>
        </w:rPr>
        <w:t>(Interested Party 01)</w:t>
      </w:r>
    </w:p>
    <w:p w14:paraId="0BEA4A02" w14:textId="77777777" w:rsidR="00E847F0" w:rsidRPr="00333A08" w:rsidRDefault="00E847F0" w:rsidP="00E847F0">
      <w:pPr>
        <w:ind w:left="720"/>
        <w:rPr>
          <w:rFonts w:cstheme="minorHAnsi"/>
          <w:i/>
          <w:sz w:val="22"/>
          <w:szCs w:val="22"/>
        </w:rPr>
      </w:pPr>
    </w:p>
    <w:p w14:paraId="3625EE7E" w14:textId="77777777" w:rsidR="00E847F0" w:rsidRPr="00333A08" w:rsidRDefault="00E847F0" w:rsidP="00E847F0">
      <w:pPr>
        <w:ind w:left="720"/>
        <w:rPr>
          <w:rFonts w:cstheme="minorHAnsi"/>
          <w:i/>
          <w:color w:val="000000"/>
          <w:sz w:val="22"/>
          <w:szCs w:val="22"/>
        </w:rPr>
      </w:pPr>
      <w:r w:rsidRPr="00333A08">
        <w:rPr>
          <w:rFonts w:cstheme="minorHAnsi"/>
          <w:i/>
          <w:color w:val="000000"/>
          <w:sz w:val="22"/>
          <w:szCs w:val="22"/>
        </w:rPr>
        <w:t>Other states have implemented…data warehouses that push and pull data to create dashboards…</w:t>
      </w:r>
      <w:r>
        <w:rPr>
          <w:rFonts w:cstheme="minorHAnsi"/>
          <w:i/>
          <w:color w:val="000000"/>
          <w:sz w:val="22"/>
          <w:szCs w:val="22"/>
        </w:rPr>
        <w:t xml:space="preserve"> </w:t>
      </w:r>
      <w:r w:rsidRPr="00333A08">
        <w:rPr>
          <w:rFonts w:cstheme="minorHAnsi"/>
          <w:i/>
          <w:color w:val="000000"/>
          <w:sz w:val="22"/>
          <w:szCs w:val="22"/>
        </w:rPr>
        <w:t>We have none of that in the state of Oregon. The systems we have, they're old and they don't work…</w:t>
      </w:r>
      <w:r>
        <w:rPr>
          <w:rFonts w:cstheme="minorHAnsi"/>
          <w:i/>
          <w:color w:val="000000"/>
          <w:sz w:val="22"/>
          <w:szCs w:val="22"/>
        </w:rPr>
        <w:t xml:space="preserve"> </w:t>
      </w:r>
      <w:r w:rsidRPr="00333A08">
        <w:rPr>
          <w:rFonts w:cstheme="minorHAnsi"/>
          <w:i/>
          <w:color w:val="000000"/>
          <w:sz w:val="22"/>
          <w:szCs w:val="22"/>
        </w:rPr>
        <w:t xml:space="preserve">We can't even identify what we need to invest in [because] we have such poor data because we have not invested [in it.] </w:t>
      </w:r>
      <w:r w:rsidRPr="00333A08">
        <w:rPr>
          <w:rFonts w:cstheme="minorHAnsi"/>
          <w:iCs/>
          <w:color w:val="000000"/>
          <w:sz w:val="22"/>
          <w:szCs w:val="22"/>
        </w:rPr>
        <w:t>(Interested Party 23)</w:t>
      </w:r>
    </w:p>
    <w:p w14:paraId="683B215A" w14:textId="77777777" w:rsidR="00E847F0" w:rsidRPr="00333A08" w:rsidRDefault="00E847F0" w:rsidP="00E847F0">
      <w:pPr>
        <w:ind w:left="720"/>
        <w:rPr>
          <w:rFonts w:cstheme="minorHAnsi"/>
          <w:i/>
          <w:color w:val="000000"/>
          <w:sz w:val="22"/>
          <w:szCs w:val="22"/>
        </w:rPr>
      </w:pPr>
    </w:p>
    <w:p w14:paraId="3F7B61C5" w14:textId="77777777" w:rsidR="00E847F0" w:rsidRPr="00333A08" w:rsidRDefault="00E847F0" w:rsidP="00E847F0">
      <w:pPr>
        <w:ind w:left="720"/>
        <w:rPr>
          <w:rFonts w:cstheme="minorHAnsi"/>
          <w:i/>
          <w:sz w:val="22"/>
          <w:szCs w:val="22"/>
        </w:rPr>
      </w:pPr>
      <w:r w:rsidRPr="00333A08">
        <w:rPr>
          <w:rFonts w:cstheme="minorHAnsi"/>
          <w:i/>
          <w:sz w:val="22"/>
          <w:szCs w:val="22"/>
        </w:rPr>
        <w:t xml:space="preserve">We need to get a better information exchange. I don't know if that necessarily means we line up the regions. I really wonder how we can use technology to help us get that better information exchange. </w:t>
      </w:r>
      <w:r w:rsidRPr="00333A08">
        <w:rPr>
          <w:rFonts w:cstheme="minorHAnsi"/>
          <w:iCs/>
          <w:sz w:val="22"/>
          <w:szCs w:val="22"/>
        </w:rPr>
        <w:t>(Interested Party 11)</w:t>
      </w:r>
    </w:p>
    <w:p w14:paraId="5A1A78D4" w14:textId="449A519B" w:rsidR="0067134D" w:rsidRDefault="0067134D" w:rsidP="0067134D">
      <w:pPr>
        <w:rPr>
          <w:rFonts w:cstheme="minorHAnsi"/>
          <w:sz w:val="22"/>
          <w:szCs w:val="22"/>
        </w:rPr>
      </w:pPr>
    </w:p>
    <w:p w14:paraId="12CEDFAB" w14:textId="77777777" w:rsidR="00E847F0" w:rsidRPr="00E847F0" w:rsidRDefault="00E847F0" w:rsidP="00E847F0">
      <w:pPr>
        <w:spacing w:after="120"/>
        <w:rPr>
          <w:b/>
          <w:bCs/>
          <w:i/>
          <w:iCs/>
          <w:color w:val="6A7F0F"/>
          <w:sz w:val="22"/>
          <w:szCs w:val="22"/>
        </w:rPr>
      </w:pPr>
      <w:bookmarkStart w:id="120" w:name="_Meaningful_metrics"/>
      <w:bookmarkEnd w:id="120"/>
      <w:r w:rsidRPr="00E847F0">
        <w:rPr>
          <w:b/>
          <w:bCs/>
          <w:i/>
          <w:iCs/>
          <w:color w:val="6A7F0F"/>
          <w:sz w:val="22"/>
          <w:szCs w:val="22"/>
        </w:rPr>
        <w:t>Meaningful Metrics</w:t>
      </w:r>
    </w:p>
    <w:p w14:paraId="31C8AA97" w14:textId="77777777" w:rsidR="00805EB4" w:rsidRPr="00333A08" w:rsidRDefault="00805EB4" w:rsidP="00805EB4">
      <w:pPr>
        <w:rPr>
          <w:rFonts w:eastAsia="Calibri" w:cstheme="minorHAnsi"/>
          <w:color w:val="000000"/>
          <w:sz w:val="22"/>
          <w:szCs w:val="22"/>
        </w:rPr>
      </w:pPr>
      <w:r w:rsidRPr="00333A08">
        <w:rPr>
          <w:rFonts w:eastAsia="Calibri" w:cstheme="minorHAnsi"/>
          <w:color w:val="000000"/>
          <w:sz w:val="22"/>
          <w:szCs w:val="22"/>
        </w:rPr>
        <w:t xml:space="preserve">Key interested parties spoke about the importance of selecting the right metrics to monitor progress and inform quality improvement efforts. Concerns included careful selection of metrics that demonstrate successful outcomes, are informed by service users, and are not too burdensome. </w:t>
      </w:r>
    </w:p>
    <w:p w14:paraId="1A207653" w14:textId="77777777" w:rsidR="00E847F0" w:rsidRDefault="00E847F0" w:rsidP="00805EB4">
      <w:pPr>
        <w:rPr>
          <w:rFonts w:eastAsia="Calibri" w:cstheme="minorHAnsi"/>
          <w:i/>
          <w:color w:val="000000"/>
          <w:sz w:val="22"/>
          <w:szCs w:val="22"/>
        </w:rPr>
      </w:pPr>
    </w:p>
    <w:p w14:paraId="0BA25887" w14:textId="7E8A4906" w:rsidR="00E847F0" w:rsidRPr="00333A08" w:rsidRDefault="00E847F0" w:rsidP="00E847F0">
      <w:pPr>
        <w:ind w:left="720"/>
        <w:rPr>
          <w:rFonts w:cstheme="minorHAnsi"/>
          <w:i/>
          <w:sz w:val="22"/>
          <w:szCs w:val="22"/>
        </w:rPr>
      </w:pPr>
      <w:r w:rsidRPr="00333A08">
        <w:rPr>
          <w:rFonts w:eastAsia="Calibri" w:cstheme="minorHAnsi"/>
          <w:i/>
          <w:color w:val="000000"/>
          <w:sz w:val="22"/>
          <w:szCs w:val="22"/>
        </w:rPr>
        <w:t>We've been struggling with the right metrics for the behavioral health system to show that we're successful. I think the CCBHC Demo is a way to get there. Frankly, I think a lot of the quality metrics are just process, and I don't think it shows outcomes very well…</w:t>
      </w:r>
      <w:r>
        <w:rPr>
          <w:rFonts w:eastAsia="Calibri" w:cstheme="minorHAnsi"/>
          <w:i/>
          <w:color w:val="000000"/>
          <w:sz w:val="22"/>
          <w:szCs w:val="22"/>
        </w:rPr>
        <w:t xml:space="preserve"> </w:t>
      </w:r>
      <w:r w:rsidRPr="00333A08">
        <w:rPr>
          <w:rFonts w:eastAsia="Calibri" w:cstheme="minorHAnsi"/>
          <w:i/>
          <w:color w:val="000000"/>
          <w:sz w:val="22"/>
          <w:szCs w:val="22"/>
        </w:rPr>
        <w:t xml:space="preserve">We need to make sure that we're all on the same page with the metrics to show success; if we go to using outcome metrics, as a way to measure success, then we've got to get rid of, or pair down all those administrative requirements and rules as a way to measure whether we're doing what we're supposed to be doing. </w:t>
      </w:r>
      <w:r w:rsidRPr="00333A08">
        <w:rPr>
          <w:rFonts w:eastAsia="Calibri" w:cstheme="minorHAnsi"/>
          <w:iCs/>
          <w:color w:val="000000"/>
          <w:sz w:val="22"/>
          <w:szCs w:val="22"/>
        </w:rPr>
        <w:t xml:space="preserve">(Interested Party </w:t>
      </w:r>
      <w:r w:rsidRPr="00333A08">
        <w:rPr>
          <w:rFonts w:cstheme="minorHAnsi"/>
          <w:iCs/>
          <w:sz w:val="22"/>
          <w:szCs w:val="22"/>
        </w:rPr>
        <w:t>05)</w:t>
      </w:r>
    </w:p>
    <w:p w14:paraId="6E2AF8F3" w14:textId="77777777" w:rsidR="00E847F0" w:rsidRPr="00333A08" w:rsidRDefault="00E847F0" w:rsidP="00E847F0">
      <w:pPr>
        <w:ind w:left="720"/>
        <w:rPr>
          <w:rFonts w:cstheme="minorHAnsi"/>
          <w:i/>
          <w:sz w:val="22"/>
          <w:szCs w:val="22"/>
        </w:rPr>
      </w:pPr>
    </w:p>
    <w:p w14:paraId="019D6E2E" w14:textId="77777777" w:rsidR="00E847F0" w:rsidRPr="00333A08" w:rsidRDefault="00E847F0" w:rsidP="00E847F0">
      <w:pPr>
        <w:ind w:left="720"/>
        <w:rPr>
          <w:rFonts w:cstheme="minorHAnsi"/>
          <w:i/>
          <w:sz w:val="22"/>
          <w:szCs w:val="22"/>
        </w:rPr>
      </w:pPr>
      <w:r w:rsidRPr="00333A08">
        <w:rPr>
          <w:rFonts w:cstheme="minorHAnsi"/>
          <w:i/>
          <w:sz w:val="22"/>
          <w:szCs w:val="22"/>
        </w:rPr>
        <w:t xml:space="preserve">That's where the metrics and incentives I think ought to be built in. Simple metrics that really highlight, especially with our most complex populations, what success looks like and informed by what those people say success looks like, not just what we think… I think that's in that iteration of designing CCBHCs, we ought to be thinking ahead to what success looks like and then to build that in, in terms of financial incentives and the clear reporting. Frankly, right now, we collect too much information and we collect too much noise, and we aren't guided by the information we collect because it's mostly useless. </w:t>
      </w:r>
      <w:r w:rsidRPr="00333A08">
        <w:rPr>
          <w:rFonts w:cstheme="minorHAnsi"/>
          <w:iCs/>
          <w:sz w:val="22"/>
          <w:szCs w:val="22"/>
        </w:rPr>
        <w:t>(Interested Party 08)</w:t>
      </w:r>
    </w:p>
    <w:p w14:paraId="0F987D68" w14:textId="77777777" w:rsidR="00E847F0" w:rsidRPr="00333A08" w:rsidRDefault="00E847F0" w:rsidP="00E847F0">
      <w:pPr>
        <w:ind w:left="720"/>
        <w:rPr>
          <w:rFonts w:cstheme="minorHAnsi"/>
          <w:i/>
          <w:sz w:val="22"/>
          <w:szCs w:val="22"/>
        </w:rPr>
      </w:pPr>
    </w:p>
    <w:p w14:paraId="680FB614" w14:textId="77777777" w:rsidR="00E847F0" w:rsidRPr="00E847F0" w:rsidRDefault="00E847F0" w:rsidP="00E847F0">
      <w:pPr>
        <w:spacing w:after="120"/>
        <w:rPr>
          <w:b/>
          <w:bCs/>
          <w:i/>
          <w:iCs/>
          <w:color w:val="6A7F0F"/>
          <w:sz w:val="22"/>
          <w:szCs w:val="22"/>
        </w:rPr>
      </w:pPr>
      <w:bookmarkStart w:id="121" w:name="_Redefining_wellness"/>
      <w:bookmarkEnd w:id="121"/>
      <w:r w:rsidRPr="00E847F0">
        <w:rPr>
          <w:b/>
          <w:bCs/>
          <w:i/>
          <w:iCs/>
          <w:color w:val="6A7F0F"/>
          <w:sz w:val="22"/>
          <w:szCs w:val="22"/>
        </w:rPr>
        <w:t>Redefining Wellness</w:t>
      </w:r>
    </w:p>
    <w:p w14:paraId="18355A48" w14:textId="77777777" w:rsidR="00805EB4" w:rsidRPr="00333A08" w:rsidRDefault="00805EB4" w:rsidP="00805EB4">
      <w:pPr>
        <w:rPr>
          <w:rFonts w:cstheme="minorHAnsi"/>
          <w:color w:val="000000"/>
          <w:sz w:val="22"/>
          <w:szCs w:val="22"/>
        </w:rPr>
      </w:pPr>
      <w:r w:rsidRPr="00333A08">
        <w:rPr>
          <w:rFonts w:cstheme="minorHAnsi"/>
          <w:color w:val="000000"/>
          <w:sz w:val="22"/>
          <w:szCs w:val="22"/>
        </w:rPr>
        <w:t xml:space="preserve">One key interested party noted that a shift in how the system defines wellness is required to improve Oregon’s behavioral health system. </w:t>
      </w:r>
      <w:r>
        <w:rPr>
          <w:rFonts w:cstheme="minorHAnsi"/>
          <w:color w:val="000000"/>
          <w:sz w:val="22"/>
          <w:szCs w:val="22"/>
        </w:rPr>
        <w:t>They emphasized that c</w:t>
      </w:r>
      <w:r w:rsidRPr="00333A08">
        <w:rPr>
          <w:rFonts w:cstheme="minorHAnsi"/>
          <w:color w:val="000000"/>
          <w:sz w:val="22"/>
          <w:szCs w:val="22"/>
        </w:rPr>
        <w:t xml:space="preserve">entering equity will require new definitions of wellness that move away from a linear, medicalized model towards one that acknowledges multiple pathways to wellness. </w:t>
      </w:r>
    </w:p>
    <w:p w14:paraId="34D97ABA" w14:textId="77777777" w:rsidR="00E847F0" w:rsidRDefault="00E847F0" w:rsidP="00E847F0">
      <w:pPr>
        <w:ind w:left="720"/>
        <w:rPr>
          <w:rFonts w:cstheme="minorHAnsi"/>
          <w:i/>
          <w:iCs/>
          <w:color w:val="000000"/>
          <w:sz w:val="22"/>
          <w:szCs w:val="22"/>
        </w:rPr>
      </w:pPr>
    </w:p>
    <w:p w14:paraId="63C0914D" w14:textId="6A680D77" w:rsidR="00E847F0" w:rsidRPr="00333A08" w:rsidRDefault="00E847F0" w:rsidP="00E847F0">
      <w:pPr>
        <w:ind w:left="720"/>
        <w:rPr>
          <w:rFonts w:cstheme="minorHAnsi"/>
          <w:sz w:val="22"/>
          <w:szCs w:val="22"/>
        </w:rPr>
      </w:pPr>
      <w:r w:rsidRPr="00333A08">
        <w:rPr>
          <w:rFonts w:cstheme="minorHAnsi"/>
          <w:i/>
          <w:iCs/>
          <w:color w:val="000000"/>
          <w:sz w:val="22"/>
          <w:szCs w:val="22"/>
        </w:rPr>
        <w:t>There's [this perception that] recovery in the mental health world looks like your symptoms don't bother me anymore. [Recovery] doesn't look linear, but we're expecting it to look linear. You come in, you take your meds, you look normal, and you act normal. We don't embrace the ‘foil helmet’ as okay. You don't need to medicate the fact that you want to wear a foil helmet. Why can't we just accept that?</w:t>
      </w:r>
      <w:r w:rsidRPr="00333A08">
        <w:rPr>
          <w:rFonts w:cstheme="minorHAnsi"/>
          <w:color w:val="000000"/>
          <w:sz w:val="22"/>
          <w:szCs w:val="22"/>
        </w:rPr>
        <w:t xml:space="preserve"> </w:t>
      </w:r>
      <w:r w:rsidRPr="00333A08">
        <w:rPr>
          <w:rFonts w:cstheme="minorHAnsi"/>
          <w:iCs/>
          <w:color w:val="000000"/>
          <w:sz w:val="22"/>
          <w:szCs w:val="22"/>
        </w:rPr>
        <w:t>(Interested Party 24)</w:t>
      </w:r>
    </w:p>
    <w:p w14:paraId="6D932F61" w14:textId="77777777" w:rsidR="00E847F0" w:rsidRPr="00AA5D2F" w:rsidRDefault="00E847F0" w:rsidP="00E847F0">
      <w:pPr>
        <w:rPr>
          <w:rFonts w:cstheme="minorHAnsi"/>
          <w:sz w:val="22"/>
          <w:szCs w:val="22"/>
        </w:rPr>
      </w:pPr>
    </w:p>
    <w:p w14:paraId="2CC9708E" w14:textId="36303C58" w:rsidR="00F1430C" w:rsidRDefault="00F1430C" w:rsidP="00F1430C"/>
    <w:p w14:paraId="7387C266" w14:textId="4E48DBFF" w:rsidR="001D23F4" w:rsidRDefault="001D23F4">
      <w:r>
        <w:br w:type="page"/>
      </w:r>
    </w:p>
    <w:p w14:paraId="6289B689" w14:textId="2B051B2B" w:rsidR="00DE38DB" w:rsidRPr="00000D4B" w:rsidRDefault="00DE38DB" w:rsidP="00A460F8">
      <w:pPr>
        <w:pStyle w:val="Heading2"/>
        <w:jc w:val="center"/>
        <w:rPr>
          <w:rFonts w:asciiTheme="minorHAnsi" w:hAnsiTheme="minorHAnsi" w:cstheme="minorHAnsi"/>
          <w:b/>
          <w:bCs/>
          <w:color w:val="6A7F0F"/>
        </w:rPr>
      </w:pPr>
      <w:bookmarkStart w:id="122" w:name="_Appendix_7:_Additional"/>
      <w:bookmarkStart w:id="123" w:name="_Toc126068198"/>
      <w:bookmarkEnd w:id="122"/>
      <w:r w:rsidRPr="00000D4B">
        <w:rPr>
          <w:rFonts w:asciiTheme="minorHAnsi" w:hAnsiTheme="minorHAnsi" w:cstheme="minorHAnsi"/>
          <w:b/>
          <w:bCs/>
          <w:color w:val="6A7F0F"/>
        </w:rPr>
        <w:t>Appendix 7</w:t>
      </w:r>
      <w:r w:rsidR="00A460F8" w:rsidRPr="00000D4B">
        <w:rPr>
          <w:rFonts w:asciiTheme="minorHAnsi" w:hAnsiTheme="minorHAnsi" w:cstheme="minorHAnsi"/>
          <w:b/>
          <w:bCs/>
          <w:color w:val="6A7F0F"/>
        </w:rPr>
        <w:t>: Additional Quantitative Analyses Tables Referenced in the Main Report</w:t>
      </w:r>
      <w:bookmarkEnd w:id="123"/>
    </w:p>
    <w:p w14:paraId="5B41FF4C" w14:textId="77777777" w:rsidR="00F1430C" w:rsidRPr="00F1430C" w:rsidRDefault="00F1430C" w:rsidP="00F1430C"/>
    <w:p w14:paraId="75EB53E7" w14:textId="6B66530B" w:rsidR="00805EB4" w:rsidRDefault="00805EB4" w:rsidP="00805EB4">
      <w:pPr>
        <w:rPr>
          <w:rFonts w:cstheme="minorHAnsi"/>
          <w:sz w:val="22"/>
          <w:szCs w:val="22"/>
        </w:rPr>
      </w:pPr>
      <w:r w:rsidRPr="004C66D9">
        <w:rPr>
          <w:rFonts w:cstheme="minorHAnsi"/>
          <w:sz w:val="22"/>
          <w:szCs w:val="22"/>
        </w:rPr>
        <w:t xml:space="preserve">The following tables present extended analyses of OHP claims and MHSIP data to investigate distributed effects of the CCBHC program by OHP member race/ethnicity and place of residence. These tables are referenced and key findings provided within the main report. These additional tables are listed below in the order they are referenced in the main report. In all tables, results </w:t>
      </w:r>
      <w:r>
        <w:rPr>
          <w:rFonts w:cstheme="minorHAnsi"/>
          <w:sz w:val="22"/>
          <w:szCs w:val="22"/>
        </w:rPr>
        <w:t xml:space="preserve">in </w:t>
      </w:r>
      <w:r w:rsidRPr="009866FD">
        <w:rPr>
          <w:rFonts w:cstheme="minorHAnsi"/>
          <w:b/>
          <w:bCs/>
          <w:sz w:val="22"/>
          <w:szCs w:val="22"/>
        </w:rPr>
        <w:t>bold</w:t>
      </w:r>
      <w:r>
        <w:rPr>
          <w:rFonts w:cstheme="minorHAnsi"/>
          <w:sz w:val="22"/>
          <w:szCs w:val="22"/>
        </w:rPr>
        <w:t xml:space="preserve"> and </w:t>
      </w:r>
      <w:r w:rsidRPr="009866FD">
        <w:rPr>
          <w:rFonts w:cstheme="minorHAnsi"/>
          <w:i/>
          <w:iCs/>
          <w:sz w:val="22"/>
          <w:szCs w:val="22"/>
        </w:rPr>
        <w:t>italics</w:t>
      </w:r>
      <w:r>
        <w:rPr>
          <w:rFonts w:cstheme="minorHAnsi"/>
          <w:sz w:val="22"/>
          <w:szCs w:val="22"/>
        </w:rPr>
        <w:t xml:space="preserve"> </w:t>
      </w:r>
      <w:r w:rsidRPr="004C66D9">
        <w:rPr>
          <w:rFonts w:cstheme="minorHAnsi"/>
          <w:sz w:val="22"/>
          <w:szCs w:val="22"/>
        </w:rPr>
        <w:t>are statistically significant at p&lt;.05.</w:t>
      </w:r>
      <w:r>
        <w:rPr>
          <w:rFonts w:cstheme="minorHAnsi"/>
          <w:sz w:val="22"/>
          <w:szCs w:val="22"/>
        </w:rPr>
        <w:t xml:space="preserve"> As noted in </w:t>
      </w:r>
      <w:hyperlink w:anchor="_Appendix_3:_Detailed" w:history="1">
        <w:r w:rsidRPr="00805EB4">
          <w:rPr>
            <w:rStyle w:val="Hyperlink"/>
            <w:rFonts w:cstheme="minorHAnsi"/>
            <w:sz w:val="22"/>
            <w:szCs w:val="22"/>
          </w:rPr>
          <w:t>Appendix 3</w:t>
        </w:r>
      </w:hyperlink>
      <w:r>
        <w:rPr>
          <w:rFonts w:cstheme="minorHAnsi"/>
          <w:sz w:val="22"/>
          <w:szCs w:val="22"/>
        </w:rPr>
        <w:t>, some unusually large increases or decreases within the results for the smaller race/ethnicity categories are not reported (NR) given concerns for their interpretability.</w:t>
      </w:r>
    </w:p>
    <w:p w14:paraId="4F8CCD59" w14:textId="67AEAF03" w:rsidR="002A6F8C" w:rsidRDefault="002A6F8C" w:rsidP="00805EB4">
      <w:pPr>
        <w:rPr>
          <w:rFonts w:cstheme="minorHAnsi"/>
          <w:sz w:val="22"/>
          <w:szCs w:val="22"/>
        </w:rPr>
      </w:pPr>
    </w:p>
    <w:p w14:paraId="337D0492" w14:textId="64FEFCD7" w:rsidR="002A6F8C" w:rsidRDefault="002A6F8C" w:rsidP="00805EB4">
      <w:pPr>
        <w:rPr>
          <w:rFonts w:cstheme="minorHAnsi"/>
          <w:sz w:val="22"/>
          <w:szCs w:val="22"/>
        </w:rPr>
      </w:pPr>
      <w:r>
        <w:rPr>
          <w:rFonts w:cstheme="minorHAnsi"/>
          <w:sz w:val="22"/>
          <w:szCs w:val="22"/>
        </w:rPr>
        <w:t>List of tables in Appendix 7:</w:t>
      </w:r>
    </w:p>
    <w:p w14:paraId="187E39F1" w14:textId="77777777" w:rsidR="00E847F0" w:rsidRDefault="00E847F0" w:rsidP="00E847F0">
      <w:pPr>
        <w:rPr>
          <w:rFonts w:cstheme="minorHAnsi"/>
          <w:sz w:val="22"/>
          <w:szCs w:val="22"/>
        </w:rPr>
      </w:pPr>
    </w:p>
    <w:p w14:paraId="2F45510F" w14:textId="03BDC6E8"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A7.1a: Changes in Mental Health and Substance Use Service Quarterly Use and Visits Per Person Overall and by Race/Ethnicity for CCBHC OHP Members</w:t>
      </w:r>
    </w:p>
    <w:p w14:paraId="568827C3" w14:textId="15E09831"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A7.1b: Change in Mental Health and Substance Service Quarterly Use and Visits Per Person Overall and by Place of Residence for CCBHC OHP Members</w:t>
      </w:r>
    </w:p>
    <w:p w14:paraId="1BDC1F44" w14:textId="6DE1F23D"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A7.2a: Location of Behavioral Health Services by Place of Service Code Overall and by Race/Ethnicity for CCBHC OHP Members</w:t>
      </w:r>
    </w:p>
    <w:p w14:paraId="1BCAAEB1" w14:textId="3D759B54"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A7.2b: Location of Behavioral Health Services by Place of Service Code Overall and by Place of Residence for CCBHC OHP Members</w:t>
      </w:r>
    </w:p>
    <w:p w14:paraId="7293E27C" w14:textId="387491ED"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A7.3a: Distribution of Behavioral Health Services by CCBHC Service Type Overall and by Race/Ethnicity for CCBHC OHP Members</w:t>
      </w:r>
    </w:p>
    <w:p w14:paraId="5B0A2B9F" w14:textId="58A976E3"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A7.3b: Distribution of Behavioral Health Services by CCBHC Service Type Overall and by Place of Residence for CCBHC OHP Members</w:t>
      </w:r>
    </w:p>
    <w:p w14:paraId="75D9106A" w14:textId="5EEF3EBD"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iCs/>
          <w:color w:val="000000" w:themeColor="text1"/>
          <w:sz w:val="22"/>
          <w:szCs w:val="22"/>
        </w:rPr>
        <w:t xml:space="preserve">Table A7.4a: Changes in Primary Care Quarterly Use and Visits Per Person </w:t>
      </w:r>
      <w:r w:rsidRPr="00F629F8">
        <w:rPr>
          <w:rFonts w:cstheme="minorHAnsi"/>
          <w:color w:val="000000" w:themeColor="text1"/>
          <w:sz w:val="22"/>
          <w:szCs w:val="22"/>
        </w:rPr>
        <w:t>Overall and by Race/Ethnicity for CCBHC OHP Members</w:t>
      </w:r>
    </w:p>
    <w:p w14:paraId="2FE6F1F1" w14:textId="7463D3E5"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iCs/>
          <w:color w:val="000000" w:themeColor="text1"/>
          <w:sz w:val="22"/>
          <w:szCs w:val="22"/>
        </w:rPr>
        <w:t xml:space="preserve">Table A7.4b: Changes in Primary Care Quarterly Use and Visits Per Person </w:t>
      </w:r>
      <w:r w:rsidRPr="00F629F8">
        <w:rPr>
          <w:rFonts w:cstheme="minorHAnsi"/>
          <w:color w:val="000000" w:themeColor="text1"/>
          <w:sz w:val="22"/>
          <w:szCs w:val="22"/>
        </w:rPr>
        <w:t>Overall and by Place of Residence for CCBHC OHP Members</w:t>
      </w:r>
    </w:p>
    <w:p w14:paraId="4393A7D7" w14:textId="6443348D"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A7.5a: Changes in MHSIP Survey Domain Scores - Adult Outpatient and Residential Services Overall and by Race/Ethnicity for CCBHC OHP Members</w:t>
      </w:r>
    </w:p>
    <w:p w14:paraId="5F88FCBD" w14:textId="341A5BE6"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A7.5b: Changes in MHSIP Survey Satisfaction Scores - Adult Outpatient and Residential Services Overall and by Race/Ethnicity for CCBHC OHP Members</w:t>
      </w:r>
    </w:p>
    <w:p w14:paraId="3C77DBD5" w14:textId="57FC848C"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A7.5c: Changes in MHSIP Survey Domain Scores -- Children and Youth Outpatient and Residential Services Overall and by Race/Ethnicity Services for CCBHC OHP Members</w:t>
      </w:r>
    </w:p>
    <w:p w14:paraId="360CAA52" w14:textId="77777777"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A7.5d: Changes in MHSIP Survey Satisfaction Scores - Children and Youth Outpatient and Residential Services Overall and by Race/Ethnicity Services for CCBHC OHP Members</w:t>
      </w:r>
    </w:p>
    <w:p w14:paraId="1AD2B574" w14:textId="054400C9"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A7.5e: MHSIP Survey Domains and Satisfaction Scores – Adult Outpatient and Residential Services Overall and by Place of Residence</w:t>
      </w:r>
    </w:p>
    <w:p w14:paraId="15E54136" w14:textId="77777777"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A7.5f: Changes in MHSIP Survey Domains and Satisfaction Scores -- Children and Youth Outpatient and Residential Services Overall and by Place of Residence for CCBHC OHP Members</w:t>
      </w:r>
    </w:p>
    <w:p w14:paraId="2D555059" w14:textId="17DF9B41"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A7.6a: Changes in Emergency Department Quarterly Use and Visits Overall and by Race/Ethnicity Services for CCBHC OHP Members</w:t>
      </w:r>
    </w:p>
    <w:p w14:paraId="239D882F" w14:textId="605550A6"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A7.6b: Change in Emergency Department Quarterly Use and Visits Overall and by Place of Residence for CCBHC OHP Members</w:t>
      </w:r>
    </w:p>
    <w:p w14:paraId="46013872" w14:textId="24485998"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A7.6c: Change in Inpatient Service Quarterly Use and Days Overall and by Race/Ethnicity Services for CCBHC OHP Members</w:t>
      </w:r>
    </w:p>
    <w:p w14:paraId="5DB57F24" w14:textId="36EE3D3E"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A7.6d: Change in Inpatient Service Quarterly Use and Days Overall and by Place of Residence for CCBHC OHP Members</w:t>
      </w:r>
    </w:p>
    <w:p w14:paraId="094DF797" w14:textId="01C985BB"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A7.6e: Change in Residential Treatment Facility Service Quarterly Use and Days Overall and by Race/Ethnicity Services for CCBHC OHP Members</w:t>
      </w:r>
    </w:p>
    <w:p w14:paraId="5690A834" w14:textId="4496FB6A" w:rsidR="002A6F8C" w:rsidRPr="00F629F8" w:rsidRDefault="002A6F8C" w:rsidP="00F629F8">
      <w:pPr>
        <w:pStyle w:val="ListParagraph"/>
        <w:numPr>
          <w:ilvl w:val="0"/>
          <w:numId w:val="44"/>
        </w:numPr>
        <w:ind w:left="360"/>
        <w:rPr>
          <w:rFonts w:cstheme="minorHAnsi"/>
          <w:color w:val="000000" w:themeColor="text1"/>
          <w:sz w:val="22"/>
          <w:szCs w:val="22"/>
        </w:rPr>
      </w:pPr>
      <w:r w:rsidRPr="00F629F8">
        <w:rPr>
          <w:rFonts w:cstheme="minorHAnsi"/>
          <w:color w:val="000000" w:themeColor="text1"/>
          <w:sz w:val="22"/>
          <w:szCs w:val="22"/>
        </w:rPr>
        <w:t>Table A7.6f: Change in Residential Treatment Facility Service Quarterly Use and Days Overall and by Place of Residence for CCBHC OHP Members</w:t>
      </w:r>
    </w:p>
    <w:p w14:paraId="06DCBC3C" w14:textId="3D00B26B"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A7.7a: Change in Expenditure Levels per Person for CCBHC OHP Members by Service Type </w:t>
      </w:r>
      <w:r w:rsidRPr="00F629F8">
        <w:rPr>
          <w:rFonts w:cstheme="minorHAnsi"/>
          <w:color w:val="000000" w:themeColor="text1"/>
          <w:sz w:val="22"/>
          <w:szCs w:val="22"/>
        </w:rPr>
        <w:t>Overall and by Race/Ethnicity Services</w:t>
      </w:r>
    </w:p>
    <w:p w14:paraId="0CE5DD24" w14:textId="107A352C"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A7.7b: Change in Expenditure Levels per Person for CCBHC OHP Members by Service Type </w:t>
      </w:r>
      <w:r w:rsidRPr="00F629F8">
        <w:rPr>
          <w:rFonts w:cstheme="minorHAnsi"/>
          <w:color w:val="000000" w:themeColor="text1"/>
          <w:sz w:val="22"/>
          <w:szCs w:val="22"/>
        </w:rPr>
        <w:t>Overall and by Place of Residence</w:t>
      </w:r>
    </w:p>
    <w:p w14:paraId="32C97D88" w14:textId="0124E837"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A7.7c: Change in Mental Health Related Expenditure Levels per Person for CCBHC OHP Members by Service Type </w:t>
      </w:r>
      <w:r w:rsidRPr="00F629F8">
        <w:rPr>
          <w:rFonts w:cstheme="minorHAnsi"/>
          <w:color w:val="000000" w:themeColor="text1"/>
          <w:sz w:val="22"/>
          <w:szCs w:val="22"/>
        </w:rPr>
        <w:t>Overall and by Race/Ethnicity Services</w:t>
      </w:r>
    </w:p>
    <w:p w14:paraId="36ED72FF" w14:textId="15987C89"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A7.7d: Change in Mental Health Related Expenditure Levels per Person for CCBHC OHP Members by Service Type </w:t>
      </w:r>
      <w:r w:rsidRPr="00F629F8">
        <w:rPr>
          <w:rFonts w:cstheme="minorHAnsi"/>
          <w:color w:val="000000" w:themeColor="text1"/>
          <w:sz w:val="22"/>
          <w:szCs w:val="22"/>
        </w:rPr>
        <w:t>Overall and by Place of Residence</w:t>
      </w:r>
    </w:p>
    <w:p w14:paraId="5F55ECED" w14:textId="3348B7D3"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A7.7e: Change in Substance Use Related Expenditure Levels per Person for CCBHC OHP Members by Service Type </w:t>
      </w:r>
      <w:r w:rsidRPr="00F629F8">
        <w:rPr>
          <w:rFonts w:cstheme="minorHAnsi"/>
          <w:color w:val="000000" w:themeColor="text1"/>
          <w:sz w:val="22"/>
          <w:szCs w:val="22"/>
        </w:rPr>
        <w:t>Overall and by Race/Ethnicity Services</w:t>
      </w:r>
    </w:p>
    <w:p w14:paraId="5CDF3E6E" w14:textId="22D30330"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A7.7f: Change in Substance Use Related Expenditure Levels per Person for CCBHC OHP Members by Service Type </w:t>
      </w:r>
      <w:r w:rsidRPr="00F629F8">
        <w:rPr>
          <w:rFonts w:cstheme="minorHAnsi"/>
          <w:color w:val="000000" w:themeColor="text1"/>
          <w:sz w:val="22"/>
          <w:szCs w:val="22"/>
        </w:rPr>
        <w:t>Overall and by Place of Residence</w:t>
      </w:r>
    </w:p>
    <w:p w14:paraId="725B850D" w14:textId="006B3BAD"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A7.7g: Change in Physical Health Related Expenditure Levels per Person for CCBHC OHP Members by Service Type </w:t>
      </w:r>
      <w:r w:rsidRPr="00F629F8">
        <w:rPr>
          <w:rFonts w:cstheme="minorHAnsi"/>
          <w:color w:val="000000" w:themeColor="text1"/>
          <w:sz w:val="22"/>
          <w:szCs w:val="22"/>
        </w:rPr>
        <w:t>Overall and by Race/Ethnicity Services</w:t>
      </w:r>
    </w:p>
    <w:p w14:paraId="04F70F51" w14:textId="47064DC9" w:rsidR="002A6F8C" w:rsidRPr="00F629F8" w:rsidRDefault="002A6F8C" w:rsidP="00F629F8">
      <w:pPr>
        <w:pStyle w:val="ListParagraph"/>
        <w:numPr>
          <w:ilvl w:val="0"/>
          <w:numId w:val="44"/>
        </w:numPr>
        <w:ind w:left="360"/>
        <w:rPr>
          <w:rFonts w:eastAsia="Calibri" w:cstheme="minorHAnsi"/>
          <w:color w:val="000000" w:themeColor="text1"/>
          <w:sz w:val="22"/>
          <w:szCs w:val="22"/>
        </w:rPr>
      </w:pPr>
      <w:r w:rsidRPr="00F629F8">
        <w:rPr>
          <w:rFonts w:eastAsia="Calibri" w:cstheme="minorHAnsi"/>
          <w:color w:val="000000" w:themeColor="text1"/>
          <w:sz w:val="22"/>
          <w:szCs w:val="22"/>
        </w:rPr>
        <w:t xml:space="preserve">Table A7.7h: Change in Physical Health Related Expenditure Levels per Person for CCBHC OHP Members by Service Type </w:t>
      </w:r>
      <w:r w:rsidRPr="00F629F8">
        <w:rPr>
          <w:rFonts w:cstheme="minorHAnsi"/>
          <w:color w:val="000000" w:themeColor="text1"/>
          <w:sz w:val="22"/>
          <w:szCs w:val="22"/>
        </w:rPr>
        <w:t>Overall and by Place of Residence</w:t>
      </w:r>
    </w:p>
    <w:p w14:paraId="28F45FCC" w14:textId="77777777" w:rsidR="002A6F8C" w:rsidRPr="00000D4B" w:rsidRDefault="002A6F8C" w:rsidP="002A6F8C">
      <w:pPr>
        <w:ind w:left="1152" w:hanging="1152"/>
        <w:jc w:val="center"/>
        <w:rPr>
          <w:rFonts w:cstheme="minorHAnsi"/>
          <w:b/>
          <w:bCs/>
          <w:color w:val="6A7F0F"/>
          <w:sz w:val="22"/>
          <w:szCs w:val="22"/>
        </w:rPr>
      </w:pPr>
    </w:p>
    <w:p w14:paraId="30FEDE2D" w14:textId="2536AF8E" w:rsidR="002A6F8C" w:rsidRDefault="002A6F8C">
      <w:pPr>
        <w:rPr>
          <w:rFonts w:cstheme="minorHAnsi"/>
          <w:i/>
          <w:sz w:val="22"/>
          <w:szCs w:val="22"/>
        </w:rPr>
      </w:pPr>
      <w:r>
        <w:rPr>
          <w:rFonts w:cstheme="minorHAnsi"/>
          <w:i/>
          <w:sz w:val="22"/>
          <w:szCs w:val="22"/>
        </w:rPr>
        <w:br w:type="page"/>
      </w:r>
    </w:p>
    <w:p w14:paraId="3DF9A032" w14:textId="77777777" w:rsidR="00E847F0" w:rsidRPr="004C66D9" w:rsidRDefault="00E847F0" w:rsidP="00E847F0">
      <w:pPr>
        <w:rPr>
          <w:rFonts w:cstheme="minorHAnsi"/>
          <w:i/>
          <w:sz w:val="22"/>
          <w:szCs w:val="22"/>
        </w:rPr>
      </w:pPr>
    </w:p>
    <w:p w14:paraId="3C9E3472" w14:textId="364A218F" w:rsidR="00E847F0" w:rsidRPr="00000D4B" w:rsidRDefault="00E847F0" w:rsidP="00E847F0">
      <w:pPr>
        <w:ind w:left="1152" w:hanging="1152"/>
        <w:jc w:val="center"/>
        <w:rPr>
          <w:rFonts w:cstheme="minorHAnsi"/>
          <w:b/>
          <w:bCs/>
          <w:color w:val="6A7F0F"/>
          <w:sz w:val="22"/>
          <w:szCs w:val="22"/>
        </w:rPr>
      </w:pPr>
      <w:bookmarkStart w:id="124" w:name="Appendix6_Table_A61a"/>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.1a: Changes in Mental Health and Substance Use Service Quarterly Use and Visits Per Person </w:t>
      </w:r>
    </w:p>
    <w:p w14:paraId="1C4ED9ED"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Race/Ethnicity for CCBHC OHP Members</w:t>
      </w:r>
    </w:p>
    <w:bookmarkEnd w:id="124"/>
    <w:p w14:paraId="180B0AC7" w14:textId="77777777" w:rsidR="00E847F0" w:rsidRPr="004111BA" w:rsidRDefault="00E847F0" w:rsidP="00E847F0">
      <w:pPr>
        <w:ind w:left="1152" w:hanging="1152"/>
        <w:jc w:val="center"/>
        <w:rPr>
          <w:rFonts w:cstheme="minorHAnsi"/>
          <w:sz w:val="22"/>
          <w:szCs w:val="22"/>
        </w:rPr>
      </w:pPr>
    </w:p>
    <w:tbl>
      <w:tblPr>
        <w:tblW w:w="8577" w:type="dxa"/>
        <w:jc w:val="center"/>
        <w:tblLook w:val="04A0" w:firstRow="1" w:lastRow="0" w:firstColumn="1" w:lastColumn="0" w:noHBand="0" w:noVBand="1"/>
      </w:tblPr>
      <w:tblGrid>
        <w:gridCol w:w="2400"/>
        <w:gridCol w:w="840"/>
        <w:gridCol w:w="1080"/>
        <w:gridCol w:w="920"/>
        <w:gridCol w:w="1184"/>
        <w:gridCol w:w="1136"/>
        <w:gridCol w:w="1017"/>
      </w:tblGrid>
      <w:tr w:rsidR="00805EB4" w:rsidRPr="00A04732" w14:paraId="7F4060A8" w14:textId="77777777" w:rsidTr="00E72162">
        <w:trPr>
          <w:trHeight w:val="345"/>
          <w:jc w:val="center"/>
        </w:trPr>
        <w:tc>
          <w:tcPr>
            <w:tcW w:w="2400" w:type="dxa"/>
            <w:tcBorders>
              <w:top w:val="nil"/>
              <w:left w:val="nil"/>
              <w:bottom w:val="nil"/>
              <w:right w:val="nil"/>
            </w:tcBorders>
            <w:shd w:val="clear" w:color="auto" w:fill="auto"/>
            <w:noWrap/>
            <w:vAlign w:val="bottom"/>
            <w:hideMark/>
          </w:tcPr>
          <w:p w14:paraId="46D6AAA6" w14:textId="77777777" w:rsidR="00805EB4" w:rsidRPr="004111BA" w:rsidRDefault="00805EB4"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345D6AD7" w14:textId="77777777" w:rsidR="00805EB4" w:rsidRPr="004111BA" w:rsidRDefault="00805EB4"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7ED87DFD" w14:textId="77777777" w:rsidR="00805EB4" w:rsidRPr="004111BA" w:rsidRDefault="00805EB4"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5266427A" w14:textId="77777777" w:rsidR="00805EB4" w:rsidRPr="004111BA" w:rsidRDefault="00805EB4" w:rsidP="00E72162">
            <w:pPr>
              <w:jc w:val="center"/>
              <w:rPr>
                <w:rFonts w:cstheme="minorHAnsi"/>
                <w:sz w:val="22"/>
                <w:szCs w:val="22"/>
              </w:rPr>
            </w:pPr>
          </w:p>
        </w:tc>
        <w:tc>
          <w:tcPr>
            <w:tcW w:w="1184" w:type="dxa"/>
            <w:tcBorders>
              <w:top w:val="nil"/>
              <w:left w:val="nil"/>
              <w:bottom w:val="nil"/>
              <w:right w:val="nil"/>
            </w:tcBorders>
            <w:shd w:val="clear" w:color="auto" w:fill="auto"/>
            <w:noWrap/>
            <w:vAlign w:val="bottom"/>
            <w:hideMark/>
          </w:tcPr>
          <w:p w14:paraId="38112DFE" w14:textId="77777777" w:rsidR="00805EB4" w:rsidRPr="004111BA" w:rsidRDefault="00805EB4" w:rsidP="00E72162">
            <w:pPr>
              <w:jc w:val="center"/>
              <w:rPr>
                <w:rFonts w:cstheme="minorHAnsi"/>
                <w:sz w:val="22"/>
                <w:szCs w:val="22"/>
              </w:rPr>
            </w:pPr>
          </w:p>
        </w:tc>
        <w:tc>
          <w:tcPr>
            <w:tcW w:w="1136" w:type="dxa"/>
            <w:tcBorders>
              <w:top w:val="nil"/>
              <w:left w:val="nil"/>
              <w:bottom w:val="nil"/>
              <w:right w:val="nil"/>
            </w:tcBorders>
            <w:shd w:val="clear" w:color="auto" w:fill="auto"/>
            <w:noWrap/>
            <w:vAlign w:val="bottom"/>
            <w:hideMark/>
          </w:tcPr>
          <w:p w14:paraId="061E43CA" w14:textId="77777777" w:rsidR="00805EB4" w:rsidRPr="004111BA" w:rsidRDefault="00805EB4" w:rsidP="00E72162">
            <w:pPr>
              <w:jc w:val="center"/>
              <w:rPr>
                <w:rFonts w:cstheme="minorHAnsi"/>
                <w:sz w:val="22"/>
                <w:szCs w:val="22"/>
              </w:rPr>
            </w:pPr>
          </w:p>
        </w:tc>
        <w:tc>
          <w:tcPr>
            <w:tcW w:w="1017" w:type="dxa"/>
            <w:tcBorders>
              <w:top w:val="nil"/>
              <w:left w:val="nil"/>
              <w:bottom w:val="nil"/>
              <w:right w:val="nil"/>
            </w:tcBorders>
            <w:shd w:val="clear" w:color="auto" w:fill="auto"/>
            <w:noWrap/>
            <w:vAlign w:val="bottom"/>
            <w:hideMark/>
          </w:tcPr>
          <w:p w14:paraId="521B600B"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All Other</w:t>
            </w:r>
          </w:p>
        </w:tc>
      </w:tr>
      <w:tr w:rsidR="00805EB4" w:rsidRPr="00A04732" w14:paraId="08DC39F2"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3C904FD" w14:textId="77777777" w:rsidR="00805EB4" w:rsidRPr="004111BA" w:rsidRDefault="00805EB4" w:rsidP="00E72162">
            <w:pPr>
              <w:jc w:val="center"/>
              <w:rPr>
                <w:rFonts w:cstheme="minorHAnsi"/>
                <w:b/>
                <w:bCs/>
                <w:color w:val="000000"/>
                <w:sz w:val="22"/>
                <w:szCs w:val="22"/>
              </w:rPr>
            </w:pPr>
          </w:p>
        </w:tc>
        <w:tc>
          <w:tcPr>
            <w:tcW w:w="840" w:type="dxa"/>
            <w:tcBorders>
              <w:top w:val="nil"/>
              <w:left w:val="nil"/>
              <w:bottom w:val="nil"/>
              <w:right w:val="nil"/>
            </w:tcBorders>
            <w:shd w:val="clear" w:color="auto" w:fill="auto"/>
            <w:noWrap/>
            <w:vAlign w:val="bottom"/>
            <w:hideMark/>
          </w:tcPr>
          <w:p w14:paraId="31D156C5"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46FA9CE1"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1761515C"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Black/</w:t>
            </w:r>
          </w:p>
        </w:tc>
        <w:tc>
          <w:tcPr>
            <w:tcW w:w="1184" w:type="dxa"/>
            <w:tcBorders>
              <w:top w:val="nil"/>
              <w:left w:val="nil"/>
              <w:bottom w:val="nil"/>
              <w:right w:val="nil"/>
            </w:tcBorders>
            <w:shd w:val="clear" w:color="auto" w:fill="auto"/>
            <w:noWrap/>
            <w:vAlign w:val="bottom"/>
            <w:hideMark/>
          </w:tcPr>
          <w:p w14:paraId="0B7B064D"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Hispanic/</w:t>
            </w:r>
          </w:p>
        </w:tc>
        <w:tc>
          <w:tcPr>
            <w:tcW w:w="1136" w:type="dxa"/>
            <w:tcBorders>
              <w:top w:val="nil"/>
              <w:left w:val="nil"/>
              <w:bottom w:val="nil"/>
              <w:right w:val="nil"/>
            </w:tcBorders>
            <w:shd w:val="clear" w:color="auto" w:fill="auto"/>
            <w:noWrap/>
            <w:vAlign w:val="bottom"/>
            <w:hideMark/>
          </w:tcPr>
          <w:p w14:paraId="09AD5D37" w14:textId="77777777" w:rsidR="00805EB4" w:rsidRPr="004111BA" w:rsidRDefault="00805EB4" w:rsidP="00E72162">
            <w:pPr>
              <w:jc w:val="center"/>
              <w:rPr>
                <w:rFonts w:cstheme="minorHAnsi"/>
                <w:b/>
                <w:bCs/>
                <w:color w:val="000000"/>
                <w:sz w:val="22"/>
                <w:szCs w:val="22"/>
              </w:rPr>
            </w:pPr>
          </w:p>
        </w:tc>
        <w:tc>
          <w:tcPr>
            <w:tcW w:w="1017" w:type="dxa"/>
            <w:tcBorders>
              <w:top w:val="nil"/>
              <w:left w:val="nil"/>
              <w:bottom w:val="nil"/>
              <w:right w:val="nil"/>
            </w:tcBorders>
            <w:shd w:val="clear" w:color="auto" w:fill="auto"/>
            <w:noWrap/>
            <w:vAlign w:val="bottom"/>
            <w:hideMark/>
          </w:tcPr>
          <w:p w14:paraId="5ADDC505"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Race/</w:t>
            </w:r>
          </w:p>
        </w:tc>
      </w:tr>
      <w:tr w:rsidR="00805EB4" w:rsidRPr="00A04732" w14:paraId="5AEE76D6"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03A7A653"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MH/SUD Outpatient</w:t>
            </w:r>
          </w:p>
        </w:tc>
        <w:tc>
          <w:tcPr>
            <w:tcW w:w="840" w:type="dxa"/>
            <w:tcBorders>
              <w:top w:val="nil"/>
              <w:left w:val="nil"/>
              <w:bottom w:val="single" w:sz="4" w:space="0" w:color="auto"/>
              <w:right w:val="nil"/>
            </w:tcBorders>
            <w:shd w:val="clear" w:color="auto" w:fill="auto"/>
            <w:noWrap/>
            <w:vAlign w:val="bottom"/>
            <w:hideMark/>
          </w:tcPr>
          <w:p w14:paraId="51A47479"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2D153A3F"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22685922"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18302374"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Latino/a/x</w:t>
            </w:r>
          </w:p>
        </w:tc>
        <w:tc>
          <w:tcPr>
            <w:tcW w:w="1136" w:type="dxa"/>
            <w:tcBorders>
              <w:top w:val="nil"/>
              <w:left w:val="nil"/>
              <w:bottom w:val="single" w:sz="4" w:space="0" w:color="auto"/>
              <w:right w:val="nil"/>
            </w:tcBorders>
            <w:shd w:val="clear" w:color="auto" w:fill="auto"/>
            <w:noWrap/>
            <w:vAlign w:val="bottom"/>
            <w:hideMark/>
          </w:tcPr>
          <w:p w14:paraId="09CCD22A"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11A75181"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Ethnicity</w:t>
            </w:r>
          </w:p>
        </w:tc>
      </w:tr>
      <w:tr w:rsidR="00805EB4" w:rsidRPr="00A04732" w14:paraId="0FD13C4D"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951D9B2" w14:textId="77777777" w:rsidR="00805EB4" w:rsidRPr="004111BA" w:rsidRDefault="00805EB4" w:rsidP="00E72162">
            <w:pPr>
              <w:rPr>
                <w:rFonts w:cstheme="minorHAnsi"/>
                <w:b/>
                <w:bCs/>
                <w:color w:val="000000"/>
                <w:sz w:val="22"/>
                <w:szCs w:val="22"/>
                <w:u w:val="single"/>
              </w:rPr>
            </w:pPr>
            <w:r w:rsidRPr="004111BA">
              <w:rPr>
                <w:rFonts w:cstheme="minorHAnsi"/>
                <w:b/>
                <w:bCs/>
                <w:color w:val="000000"/>
                <w:sz w:val="22"/>
                <w:szCs w:val="22"/>
                <w:u w:val="single"/>
              </w:rPr>
              <w:t>Mental Health</w:t>
            </w:r>
          </w:p>
        </w:tc>
        <w:tc>
          <w:tcPr>
            <w:tcW w:w="840" w:type="dxa"/>
            <w:tcBorders>
              <w:top w:val="nil"/>
              <w:left w:val="nil"/>
              <w:bottom w:val="nil"/>
              <w:right w:val="nil"/>
            </w:tcBorders>
            <w:shd w:val="clear" w:color="auto" w:fill="auto"/>
            <w:noWrap/>
            <w:vAlign w:val="bottom"/>
            <w:hideMark/>
          </w:tcPr>
          <w:p w14:paraId="24192EFF" w14:textId="77777777" w:rsidR="00805EB4" w:rsidRPr="004111BA" w:rsidRDefault="00805EB4"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752CC25A"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128EF1B"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A69B4C1"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344810B4" w14:textId="77777777" w:rsidR="00805EB4" w:rsidRPr="004111BA" w:rsidRDefault="00805EB4"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4BB592E5" w14:textId="77777777" w:rsidR="00805EB4" w:rsidRPr="004111BA" w:rsidRDefault="00805EB4" w:rsidP="00E72162">
            <w:pPr>
              <w:rPr>
                <w:rFonts w:cstheme="minorHAnsi"/>
                <w:sz w:val="22"/>
                <w:szCs w:val="22"/>
              </w:rPr>
            </w:pPr>
          </w:p>
        </w:tc>
      </w:tr>
      <w:tr w:rsidR="00805EB4" w:rsidRPr="00A04732" w14:paraId="0856F0D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9031908"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36E4378D" w14:textId="77777777" w:rsidR="00805EB4" w:rsidRPr="004111BA" w:rsidRDefault="00805EB4"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6C33E86C"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1E686D06"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72B4756"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425C8502" w14:textId="77777777" w:rsidR="00805EB4" w:rsidRPr="004111BA" w:rsidRDefault="00805EB4"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7267849A" w14:textId="77777777" w:rsidR="00805EB4" w:rsidRPr="004111BA" w:rsidRDefault="00805EB4" w:rsidP="00E72162">
            <w:pPr>
              <w:rPr>
                <w:rFonts w:cstheme="minorHAnsi"/>
                <w:sz w:val="22"/>
                <w:szCs w:val="22"/>
              </w:rPr>
            </w:pPr>
          </w:p>
        </w:tc>
      </w:tr>
      <w:tr w:rsidR="00805EB4" w:rsidRPr="00A04732" w14:paraId="7BEEF0C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A6273B3"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DFD5CB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2.3%</w:t>
            </w:r>
          </w:p>
        </w:tc>
        <w:tc>
          <w:tcPr>
            <w:tcW w:w="1080" w:type="dxa"/>
            <w:tcBorders>
              <w:top w:val="nil"/>
              <w:left w:val="nil"/>
              <w:bottom w:val="nil"/>
              <w:right w:val="nil"/>
            </w:tcBorders>
            <w:shd w:val="clear" w:color="auto" w:fill="auto"/>
            <w:noWrap/>
            <w:vAlign w:val="bottom"/>
            <w:hideMark/>
          </w:tcPr>
          <w:p w14:paraId="7BDAA547"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-9.3%</w:t>
            </w:r>
          </w:p>
        </w:tc>
        <w:tc>
          <w:tcPr>
            <w:tcW w:w="920" w:type="dxa"/>
            <w:tcBorders>
              <w:top w:val="nil"/>
              <w:left w:val="nil"/>
              <w:bottom w:val="nil"/>
              <w:right w:val="nil"/>
            </w:tcBorders>
            <w:shd w:val="clear" w:color="auto" w:fill="auto"/>
            <w:noWrap/>
            <w:vAlign w:val="bottom"/>
            <w:hideMark/>
          </w:tcPr>
          <w:p w14:paraId="0E039C0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0.8%</w:t>
            </w:r>
          </w:p>
        </w:tc>
        <w:tc>
          <w:tcPr>
            <w:tcW w:w="1184" w:type="dxa"/>
            <w:tcBorders>
              <w:top w:val="nil"/>
              <w:left w:val="nil"/>
              <w:bottom w:val="nil"/>
              <w:right w:val="nil"/>
            </w:tcBorders>
            <w:shd w:val="clear" w:color="auto" w:fill="auto"/>
            <w:noWrap/>
            <w:vAlign w:val="bottom"/>
            <w:hideMark/>
          </w:tcPr>
          <w:p w14:paraId="3B86003A"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5.3%</w:t>
            </w:r>
          </w:p>
        </w:tc>
        <w:tc>
          <w:tcPr>
            <w:tcW w:w="1136" w:type="dxa"/>
            <w:tcBorders>
              <w:top w:val="nil"/>
              <w:left w:val="nil"/>
              <w:bottom w:val="nil"/>
              <w:right w:val="nil"/>
            </w:tcBorders>
            <w:shd w:val="clear" w:color="auto" w:fill="auto"/>
            <w:noWrap/>
            <w:vAlign w:val="bottom"/>
            <w:hideMark/>
          </w:tcPr>
          <w:p w14:paraId="1EC38DA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2.4%</w:t>
            </w:r>
          </w:p>
        </w:tc>
        <w:tc>
          <w:tcPr>
            <w:tcW w:w="1017" w:type="dxa"/>
            <w:tcBorders>
              <w:top w:val="nil"/>
              <w:left w:val="nil"/>
              <w:bottom w:val="nil"/>
              <w:right w:val="nil"/>
            </w:tcBorders>
            <w:shd w:val="clear" w:color="auto" w:fill="auto"/>
            <w:noWrap/>
            <w:vAlign w:val="bottom"/>
            <w:hideMark/>
          </w:tcPr>
          <w:p w14:paraId="4F1F3988"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9.2%</w:t>
            </w:r>
          </w:p>
        </w:tc>
      </w:tr>
      <w:tr w:rsidR="00805EB4" w:rsidRPr="00A04732" w14:paraId="49D75CFD"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89791A8"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09BB96A7"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14.8%</w:t>
            </w:r>
          </w:p>
        </w:tc>
        <w:tc>
          <w:tcPr>
            <w:tcW w:w="1080" w:type="dxa"/>
            <w:tcBorders>
              <w:top w:val="nil"/>
              <w:left w:val="nil"/>
              <w:bottom w:val="nil"/>
              <w:right w:val="nil"/>
            </w:tcBorders>
            <w:shd w:val="clear" w:color="auto" w:fill="auto"/>
            <w:noWrap/>
            <w:vAlign w:val="bottom"/>
            <w:hideMark/>
          </w:tcPr>
          <w:p w14:paraId="7C8F361E"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1.9%</w:t>
            </w:r>
          </w:p>
        </w:tc>
        <w:tc>
          <w:tcPr>
            <w:tcW w:w="920" w:type="dxa"/>
            <w:tcBorders>
              <w:top w:val="nil"/>
              <w:left w:val="nil"/>
              <w:bottom w:val="nil"/>
              <w:right w:val="nil"/>
            </w:tcBorders>
            <w:shd w:val="clear" w:color="auto" w:fill="auto"/>
            <w:noWrap/>
            <w:vAlign w:val="bottom"/>
            <w:hideMark/>
          </w:tcPr>
          <w:p w14:paraId="1D1C189C"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9.0%</w:t>
            </w:r>
          </w:p>
        </w:tc>
        <w:tc>
          <w:tcPr>
            <w:tcW w:w="1184" w:type="dxa"/>
            <w:tcBorders>
              <w:top w:val="nil"/>
              <w:left w:val="nil"/>
              <w:bottom w:val="nil"/>
              <w:right w:val="nil"/>
            </w:tcBorders>
            <w:shd w:val="clear" w:color="auto" w:fill="auto"/>
            <w:noWrap/>
            <w:vAlign w:val="bottom"/>
            <w:hideMark/>
          </w:tcPr>
          <w:p w14:paraId="59E8C7F3"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16.8%</w:t>
            </w:r>
          </w:p>
        </w:tc>
        <w:tc>
          <w:tcPr>
            <w:tcW w:w="1136" w:type="dxa"/>
            <w:tcBorders>
              <w:top w:val="nil"/>
              <w:left w:val="nil"/>
              <w:bottom w:val="nil"/>
              <w:right w:val="nil"/>
            </w:tcBorders>
            <w:shd w:val="clear" w:color="auto" w:fill="auto"/>
            <w:noWrap/>
            <w:vAlign w:val="bottom"/>
            <w:hideMark/>
          </w:tcPr>
          <w:p w14:paraId="524BA6B8"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15.7%</w:t>
            </w:r>
          </w:p>
        </w:tc>
        <w:tc>
          <w:tcPr>
            <w:tcW w:w="1017" w:type="dxa"/>
            <w:tcBorders>
              <w:top w:val="nil"/>
              <w:left w:val="nil"/>
              <w:bottom w:val="nil"/>
              <w:right w:val="nil"/>
            </w:tcBorders>
            <w:shd w:val="clear" w:color="auto" w:fill="auto"/>
            <w:noWrap/>
            <w:vAlign w:val="bottom"/>
            <w:hideMark/>
          </w:tcPr>
          <w:p w14:paraId="3B47BAD5"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24.1%</w:t>
            </w:r>
          </w:p>
        </w:tc>
      </w:tr>
      <w:tr w:rsidR="00805EB4" w:rsidRPr="00A04732" w14:paraId="7E78FD1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617270E"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2142396D" w14:textId="77777777" w:rsidR="00805EB4" w:rsidRPr="00636AEF" w:rsidRDefault="00805EB4" w:rsidP="00E72162">
            <w:pPr>
              <w:rPr>
                <w:rFonts w:cstheme="minorHAnsi"/>
                <w:b/>
                <w:bCs/>
                <w:i/>
                <w:color w:val="000000"/>
                <w:sz w:val="22"/>
                <w:szCs w:val="22"/>
              </w:rPr>
            </w:pPr>
          </w:p>
        </w:tc>
        <w:tc>
          <w:tcPr>
            <w:tcW w:w="1080" w:type="dxa"/>
            <w:tcBorders>
              <w:top w:val="nil"/>
              <w:left w:val="nil"/>
              <w:bottom w:val="nil"/>
              <w:right w:val="nil"/>
            </w:tcBorders>
            <w:shd w:val="clear" w:color="auto" w:fill="auto"/>
            <w:noWrap/>
            <w:vAlign w:val="bottom"/>
            <w:hideMark/>
          </w:tcPr>
          <w:p w14:paraId="04A1CF50"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4E9AD2D4"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496F3A5"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4E0DD89B" w14:textId="77777777" w:rsidR="00805EB4" w:rsidRPr="00636AEF" w:rsidRDefault="00805EB4" w:rsidP="00E72162">
            <w:pPr>
              <w:rPr>
                <w:rFonts w:cstheme="minorHAnsi"/>
                <w:i/>
                <w:sz w:val="22"/>
                <w:szCs w:val="22"/>
              </w:rPr>
            </w:pPr>
          </w:p>
        </w:tc>
        <w:tc>
          <w:tcPr>
            <w:tcW w:w="1017" w:type="dxa"/>
            <w:tcBorders>
              <w:top w:val="nil"/>
              <w:left w:val="nil"/>
              <w:bottom w:val="nil"/>
              <w:right w:val="nil"/>
            </w:tcBorders>
            <w:shd w:val="clear" w:color="auto" w:fill="auto"/>
            <w:noWrap/>
            <w:vAlign w:val="bottom"/>
            <w:hideMark/>
          </w:tcPr>
          <w:p w14:paraId="043BA015" w14:textId="77777777" w:rsidR="00805EB4" w:rsidRPr="004111BA" w:rsidRDefault="00805EB4" w:rsidP="00E72162">
            <w:pPr>
              <w:rPr>
                <w:rFonts w:cstheme="minorHAnsi"/>
                <w:sz w:val="22"/>
                <w:szCs w:val="22"/>
              </w:rPr>
            </w:pPr>
          </w:p>
        </w:tc>
      </w:tr>
      <w:tr w:rsidR="00805EB4" w:rsidRPr="00A04732" w14:paraId="62E98FF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291ABA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2971FE5B"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6.6%</w:t>
            </w:r>
          </w:p>
        </w:tc>
        <w:tc>
          <w:tcPr>
            <w:tcW w:w="1080" w:type="dxa"/>
            <w:tcBorders>
              <w:top w:val="nil"/>
              <w:left w:val="nil"/>
              <w:bottom w:val="nil"/>
              <w:right w:val="nil"/>
            </w:tcBorders>
            <w:shd w:val="clear" w:color="auto" w:fill="auto"/>
            <w:noWrap/>
            <w:vAlign w:val="bottom"/>
            <w:hideMark/>
          </w:tcPr>
          <w:p w14:paraId="1537ABC0"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21.2%</w:t>
            </w:r>
          </w:p>
        </w:tc>
        <w:tc>
          <w:tcPr>
            <w:tcW w:w="920" w:type="dxa"/>
            <w:tcBorders>
              <w:top w:val="nil"/>
              <w:left w:val="nil"/>
              <w:bottom w:val="nil"/>
              <w:right w:val="nil"/>
            </w:tcBorders>
            <w:shd w:val="clear" w:color="auto" w:fill="auto"/>
            <w:noWrap/>
            <w:vAlign w:val="bottom"/>
            <w:hideMark/>
          </w:tcPr>
          <w:p w14:paraId="13C4A232"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1.5%</w:t>
            </w:r>
          </w:p>
        </w:tc>
        <w:tc>
          <w:tcPr>
            <w:tcW w:w="1184" w:type="dxa"/>
            <w:tcBorders>
              <w:top w:val="nil"/>
              <w:left w:val="nil"/>
              <w:bottom w:val="nil"/>
              <w:right w:val="nil"/>
            </w:tcBorders>
            <w:shd w:val="clear" w:color="auto" w:fill="auto"/>
            <w:noWrap/>
            <w:vAlign w:val="bottom"/>
            <w:hideMark/>
          </w:tcPr>
          <w:p w14:paraId="798F098A"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-0.5%</w:t>
            </w:r>
          </w:p>
        </w:tc>
        <w:tc>
          <w:tcPr>
            <w:tcW w:w="1136" w:type="dxa"/>
            <w:tcBorders>
              <w:top w:val="nil"/>
              <w:left w:val="nil"/>
              <w:bottom w:val="nil"/>
              <w:right w:val="nil"/>
            </w:tcBorders>
            <w:shd w:val="clear" w:color="auto" w:fill="auto"/>
            <w:noWrap/>
            <w:vAlign w:val="bottom"/>
            <w:hideMark/>
          </w:tcPr>
          <w:p w14:paraId="7F6DE7DE"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6.4%</w:t>
            </w:r>
          </w:p>
        </w:tc>
        <w:tc>
          <w:tcPr>
            <w:tcW w:w="1017" w:type="dxa"/>
            <w:tcBorders>
              <w:top w:val="nil"/>
              <w:left w:val="nil"/>
              <w:bottom w:val="nil"/>
              <w:right w:val="nil"/>
            </w:tcBorders>
            <w:shd w:val="clear" w:color="auto" w:fill="auto"/>
            <w:noWrap/>
            <w:vAlign w:val="bottom"/>
            <w:hideMark/>
          </w:tcPr>
          <w:p w14:paraId="36652FDA"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21.3%</w:t>
            </w:r>
          </w:p>
        </w:tc>
      </w:tr>
      <w:tr w:rsidR="00805EB4" w:rsidRPr="00A04732" w14:paraId="42B7DBB3" w14:textId="77777777" w:rsidTr="00E72162">
        <w:trPr>
          <w:trHeight w:val="345"/>
          <w:jc w:val="center"/>
        </w:trPr>
        <w:tc>
          <w:tcPr>
            <w:tcW w:w="2400" w:type="dxa"/>
            <w:tcBorders>
              <w:top w:val="nil"/>
              <w:left w:val="nil"/>
              <w:bottom w:val="nil"/>
              <w:right w:val="nil"/>
            </w:tcBorders>
            <w:shd w:val="clear" w:color="auto" w:fill="auto"/>
            <w:noWrap/>
            <w:vAlign w:val="bottom"/>
            <w:hideMark/>
          </w:tcPr>
          <w:p w14:paraId="3543F0E9"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0A7DE4C1"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9.5%</w:t>
            </w:r>
          </w:p>
        </w:tc>
        <w:tc>
          <w:tcPr>
            <w:tcW w:w="1080" w:type="dxa"/>
            <w:tcBorders>
              <w:top w:val="nil"/>
              <w:left w:val="nil"/>
              <w:bottom w:val="nil"/>
              <w:right w:val="nil"/>
            </w:tcBorders>
            <w:shd w:val="clear" w:color="auto" w:fill="auto"/>
            <w:noWrap/>
            <w:vAlign w:val="bottom"/>
            <w:hideMark/>
          </w:tcPr>
          <w:p w14:paraId="1ABD65E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7.1%</w:t>
            </w:r>
          </w:p>
        </w:tc>
        <w:tc>
          <w:tcPr>
            <w:tcW w:w="920" w:type="dxa"/>
            <w:tcBorders>
              <w:top w:val="nil"/>
              <w:left w:val="nil"/>
              <w:bottom w:val="nil"/>
              <w:right w:val="nil"/>
            </w:tcBorders>
            <w:shd w:val="clear" w:color="auto" w:fill="auto"/>
            <w:noWrap/>
            <w:vAlign w:val="bottom"/>
            <w:hideMark/>
          </w:tcPr>
          <w:p w14:paraId="6EFA313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7.0%</w:t>
            </w:r>
          </w:p>
        </w:tc>
        <w:tc>
          <w:tcPr>
            <w:tcW w:w="1184" w:type="dxa"/>
            <w:tcBorders>
              <w:top w:val="nil"/>
              <w:left w:val="nil"/>
              <w:bottom w:val="nil"/>
              <w:right w:val="nil"/>
            </w:tcBorders>
            <w:shd w:val="clear" w:color="auto" w:fill="auto"/>
            <w:noWrap/>
            <w:vAlign w:val="bottom"/>
            <w:hideMark/>
          </w:tcPr>
          <w:p w14:paraId="0F3E1772"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8.5%</w:t>
            </w:r>
          </w:p>
        </w:tc>
        <w:tc>
          <w:tcPr>
            <w:tcW w:w="1136" w:type="dxa"/>
            <w:tcBorders>
              <w:top w:val="nil"/>
              <w:left w:val="nil"/>
              <w:bottom w:val="nil"/>
              <w:right w:val="nil"/>
            </w:tcBorders>
            <w:shd w:val="clear" w:color="auto" w:fill="auto"/>
            <w:noWrap/>
            <w:vAlign w:val="bottom"/>
            <w:hideMark/>
          </w:tcPr>
          <w:p w14:paraId="5C162097"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8.8%</w:t>
            </w:r>
          </w:p>
        </w:tc>
        <w:tc>
          <w:tcPr>
            <w:tcW w:w="1017" w:type="dxa"/>
            <w:tcBorders>
              <w:top w:val="nil"/>
              <w:left w:val="nil"/>
              <w:bottom w:val="nil"/>
              <w:right w:val="nil"/>
            </w:tcBorders>
            <w:shd w:val="clear" w:color="auto" w:fill="auto"/>
            <w:noWrap/>
            <w:vAlign w:val="bottom"/>
            <w:hideMark/>
          </w:tcPr>
          <w:p w14:paraId="57ED3930"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38.1%</w:t>
            </w:r>
          </w:p>
        </w:tc>
      </w:tr>
      <w:tr w:rsidR="00805EB4" w:rsidRPr="00A04732" w14:paraId="3456233C"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2744622" w14:textId="77777777" w:rsidR="00805EB4" w:rsidRPr="004111BA" w:rsidRDefault="00805EB4" w:rsidP="00E72162">
            <w:pPr>
              <w:rPr>
                <w:rFonts w:cstheme="minorHAnsi"/>
                <w:b/>
                <w:bCs/>
                <w:color w:val="000000"/>
                <w:sz w:val="22"/>
                <w:szCs w:val="22"/>
                <w:u w:val="single"/>
              </w:rPr>
            </w:pPr>
            <w:r w:rsidRPr="004111BA">
              <w:rPr>
                <w:rFonts w:cstheme="minorHAnsi"/>
                <w:b/>
                <w:bCs/>
                <w:color w:val="000000"/>
                <w:sz w:val="22"/>
                <w:szCs w:val="22"/>
                <w:u w:val="single"/>
              </w:rPr>
              <w:t>Substance Use</w:t>
            </w:r>
          </w:p>
        </w:tc>
        <w:tc>
          <w:tcPr>
            <w:tcW w:w="840" w:type="dxa"/>
            <w:tcBorders>
              <w:top w:val="nil"/>
              <w:left w:val="nil"/>
              <w:bottom w:val="nil"/>
              <w:right w:val="nil"/>
            </w:tcBorders>
            <w:shd w:val="clear" w:color="auto" w:fill="auto"/>
            <w:noWrap/>
            <w:vAlign w:val="bottom"/>
            <w:hideMark/>
          </w:tcPr>
          <w:p w14:paraId="61B3539A" w14:textId="77777777" w:rsidR="00805EB4" w:rsidRPr="00636AEF" w:rsidRDefault="00805EB4" w:rsidP="00E72162">
            <w:pPr>
              <w:rPr>
                <w:rFonts w:cstheme="minorHAnsi"/>
                <w:b/>
                <w:bCs/>
                <w:i/>
                <w:color w:val="000000"/>
                <w:sz w:val="22"/>
                <w:szCs w:val="22"/>
              </w:rPr>
            </w:pPr>
          </w:p>
        </w:tc>
        <w:tc>
          <w:tcPr>
            <w:tcW w:w="1080" w:type="dxa"/>
            <w:tcBorders>
              <w:top w:val="nil"/>
              <w:left w:val="nil"/>
              <w:bottom w:val="nil"/>
              <w:right w:val="nil"/>
            </w:tcBorders>
            <w:shd w:val="clear" w:color="auto" w:fill="auto"/>
            <w:noWrap/>
            <w:vAlign w:val="bottom"/>
            <w:hideMark/>
          </w:tcPr>
          <w:p w14:paraId="379B1F33"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508C2B7"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4C22C27E"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6C8C37B5" w14:textId="77777777" w:rsidR="00805EB4" w:rsidRPr="00636AEF" w:rsidRDefault="00805EB4" w:rsidP="00E72162">
            <w:pPr>
              <w:rPr>
                <w:rFonts w:cstheme="minorHAnsi"/>
                <w:i/>
                <w:sz w:val="22"/>
                <w:szCs w:val="22"/>
              </w:rPr>
            </w:pPr>
          </w:p>
        </w:tc>
        <w:tc>
          <w:tcPr>
            <w:tcW w:w="1017" w:type="dxa"/>
            <w:tcBorders>
              <w:top w:val="nil"/>
              <w:left w:val="nil"/>
              <w:bottom w:val="nil"/>
              <w:right w:val="nil"/>
            </w:tcBorders>
            <w:shd w:val="clear" w:color="auto" w:fill="auto"/>
            <w:noWrap/>
            <w:vAlign w:val="bottom"/>
            <w:hideMark/>
          </w:tcPr>
          <w:p w14:paraId="5A421616" w14:textId="77777777" w:rsidR="00805EB4" w:rsidRPr="004111BA" w:rsidRDefault="00805EB4" w:rsidP="00E72162">
            <w:pPr>
              <w:rPr>
                <w:rFonts w:cstheme="minorHAnsi"/>
                <w:sz w:val="22"/>
                <w:szCs w:val="22"/>
              </w:rPr>
            </w:pPr>
          </w:p>
        </w:tc>
      </w:tr>
      <w:tr w:rsidR="00805EB4" w:rsidRPr="00A04732" w14:paraId="0398D70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7927515"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78A2A0FC" w14:textId="77777777" w:rsidR="00805EB4" w:rsidRPr="00636AEF" w:rsidRDefault="00805EB4" w:rsidP="00E72162">
            <w:pPr>
              <w:rPr>
                <w:rFonts w:cstheme="minorHAnsi"/>
                <w:b/>
                <w:bCs/>
                <w:i/>
                <w:color w:val="000000"/>
                <w:sz w:val="22"/>
                <w:szCs w:val="22"/>
              </w:rPr>
            </w:pPr>
          </w:p>
        </w:tc>
        <w:tc>
          <w:tcPr>
            <w:tcW w:w="1080" w:type="dxa"/>
            <w:tcBorders>
              <w:top w:val="nil"/>
              <w:left w:val="nil"/>
              <w:bottom w:val="nil"/>
              <w:right w:val="nil"/>
            </w:tcBorders>
            <w:shd w:val="clear" w:color="auto" w:fill="auto"/>
            <w:noWrap/>
            <w:vAlign w:val="bottom"/>
            <w:hideMark/>
          </w:tcPr>
          <w:p w14:paraId="1206D524"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B2B87A4"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3FFF75F2"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465C96D0" w14:textId="77777777" w:rsidR="00805EB4" w:rsidRPr="00636AEF" w:rsidRDefault="00805EB4" w:rsidP="00E72162">
            <w:pPr>
              <w:rPr>
                <w:rFonts w:cstheme="minorHAnsi"/>
                <w:i/>
                <w:sz w:val="22"/>
                <w:szCs w:val="22"/>
              </w:rPr>
            </w:pPr>
          </w:p>
        </w:tc>
        <w:tc>
          <w:tcPr>
            <w:tcW w:w="1017" w:type="dxa"/>
            <w:tcBorders>
              <w:top w:val="nil"/>
              <w:left w:val="nil"/>
              <w:bottom w:val="nil"/>
              <w:right w:val="nil"/>
            </w:tcBorders>
            <w:shd w:val="clear" w:color="auto" w:fill="auto"/>
            <w:noWrap/>
            <w:vAlign w:val="bottom"/>
            <w:hideMark/>
          </w:tcPr>
          <w:p w14:paraId="6912717E" w14:textId="77777777" w:rsidR="00805EB4" w:rsidRPr="004111BA" w:rsidRDefault="00805EB4" w:rsidP="00E72162">
            <w:pPr>
              <w:rPr>
                <w:rFonts w:cstheme="minorHAnsi"/>
                <w:sz w:val="22"/>
                <w:szCs w:val="22"/>
              </w:rPr>
            </w:pPr>
          </w:p>
        </w:tc>
      </w:tr>
      <w:tr w:rsidR="00805EB4" w:rsidRPr="00A04732" w14:paraId="24F3108D"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97CE7E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67D8642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11.4%</w:t>
            </w:r>
          </w:p>
        </w:tc>
        <w:tc>
          <w:tcPr>
            <w:tcW w:w="1080" w:type="dxa"/>
            <w:tcBorders>
              <w:top w:val="nil"/>
              <w:left w:val="nil"/>
              <w:bottom w:val="nil"/>
              <w:right w:val="nil"/>
            </w:tcBorders>
            <w:shd w:val="clear" w:color="auto" w:fill="auto"/>
            <w:noWrap/>
            <w:vAlign w:val="bottom"/>
            <w:hideMark/>
          </w:tcPr>
          <w:p w14:paraId="7386F598"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-1.4%</w:t>
            </w:r>
          </w:p>
        </w:tc>
        <w:tc>
          <w:tcPr>
            <w:tcW w:w="920" w:type="dxa"/>
            <w:tcBorders>
              <w:top w:val="nil"/>
              <w:left w:val="nil"/>
              <w:bottom w:val="nil"/>
              <w:right w:val="nil"/>
            </w:tcBorders>
            <w:shd w:val="clear" w:color="auto" w:fill="auto"/>
            <w:noWrap/>
            <w:vAlign w:val="bottom"/>
            <w:hideMark/>
          </w:tcPr>
          <w:p w14:paraId="1B88C8B9"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7.4%</w:t>
            </w:r>
          </w:p>
        </w:tc>
        <w:tc>
          <w:tcPr>
            <w:tcW w:w="1184" w:type="dxa"/>
            <w:tcBorders>
              <w:top w:val="nil"/>
              <w:left w:val="nil"/>
              <w:bottom w:val="nil"/>
              <w:right w:val="nil"/>
            </w:tcBorders>
            <w:shd w:val="clear" w:color="auto" w:fill="auto"/>
            <w:noWrap/>
            <w:vAlign w:val="bottom"/>
            <w:hideMark/>
          </w:tcPr>
          <w:p w14:paraId="69892876"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3.8%</w:t>
            </w:r>
          </w:p>
        </w:tc>
        <w:tc>
          <w:tcPr>
            <w:tcW w:w="1136" w:type="dxa"/>
            <w:tcBorders>
              <w:top w:val="nil"/>
              <w:left w:val="nil"/>
              <w:bottom w:val="nil"/>
              <w:right w:val="nil"/>
            </w:tcBorders>
            <w:shd w:val="clear" w:color="auto" w:fill="auto"/>
            <w:noWrap/>
            <w:vAlign w:val="bottom"/>
            <w:hideMark/>
          </w:tcPr>
          <w:p w14:paraId="4DE22D1A"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14.0%</w:t>
            </w:r>
          </w:p>
        </w:tc>
        <w:tc>
          <w:tcPr>
            <w:tcW w:w="1017" w:type="dxa"/>
            <w:tcBorders>
              <w:top w:val="nil"/>
              <w:left w:val="nil"/>
              <w:bottom w:val="nil"/>
              <w:right w:val="nil"/>
            </w:tcBorders>
            <w:shd w:val="clear" w:color="auto" w:fill="auto"/>
            <w:noWrap/>
            <w:vAlign w:val="bottom"/>
            <w:hideMark/>
          </w:tcPr>
          <w:p w14:paraId="78E93068"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13.8%</w:t>
            </w:r>
          </w:p>
        </w:tc>
      </w:tr>
      <w:tr w:rsidR="00805EB4" w:rsidRPr="00A04732" w14:paraId="3BBA793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BCEB3FC"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63DB9E51"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6.1%</w:t>
            </w:r>
          </w:p>
        </w:tc>
        <w:tc>
          <w:tcPr>
            <w:tcW w:w="1080" w:type="dxa"/>
            <w:tcBorders>
              <w:top w:val="nil"/>
              <w:left w:val="nil"/>
              <w:bottom w:val="nil"/>
              <w:right w:val="nil"/>
            </w:tcBorders>
            <w:shd w:val="clear" w:color="auto" w:fill="auto"/>
            <w:noWrap/>
            <w:vAlign w:val="bottom"/>
            <w:hideMark/>
          </w:tcPr>
          <w:p w14:paraId="7B55661C"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-3.6%</w:t>
            </w:r>
          </w:p>
        </w:tc>
        <w:tc>
          <w:tcPr>
            <w:tcW w:w="920" w:type="dxa"/>
            <w:tcBorders>
              <w:top w:val="nil"/>
              <w:left w:val="nil"/>
              <w:bottom w:val="nil"/>
              <w:right w:val="nil"/>
            </w:tcBorders>
            <w:shd w:val="clear" w:color="auto" w:fill="auto"/>
            <w:noWrap/>
            <w:vAlign w:val="bottom"/>
            <w:hideMark/>
          </w:tcPr>
          <w:p w14:paraId="163B3477"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-6.0%</w:t>
            </w:r>
          </w:p>
        </w:tc>
        <w:tc>
          <w:tcPr>
            <w:tcW w:w="1184" w:type="dxa"/>
            <w:tcBorders>
              <w:top w:val="nil"/>
              <w:left w:val="nil"/>
              <w:bottom w:val="nil"/>
              <w:right w:val="nil"/>
            </w:tcBorders>
            <w:shd w:val="clear" w:color="auto" w:fill="auto"/>
            <w:noWrap/>
            <w:vAlign w:val="bottom"/>
            <w:hideMark/>
          </w:tcPr>
          <w:p w14:paraId="7858691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-13.3%</w:t>
            </w:r>
          </w:p>
        </w:tc>
        <w:tc>
          <w:tcPr>
            <w:tcW w:w="1136" w:type="dxa"/>
            <w:tcBorders>
              <w:top w:val="nil"/>
              <w:left w:val="nil"/>
              <w:bottom w:val="nil"/>
              <w:right w:val="nil"/>
            </w:tcBorders>
            <w:shd w:val="clear" w:color="auto" w:fill="auto"/>
            <w:noWrap/>
            <w:vAlign w:val="bottom"/>
            <w:hideMark/>
          </w:tcPr>
          <w:p w14:paraId="72C533A1"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11.4%</w:t>
            </w:r>
          </w:p>
        </w:tc>
        <w:tc>
          <w:tcPr>
            <w:tcW w:w="1017" w:type="dxa"/>
            <w:tcBorders>
              <w:top w:val="nil"/>
              <w:left w:val="nil"/>
              <w:bottom w:val="nil"/>
              <w:right w:val="nil"/>
            </w:tcBorders>
            <w:shd w:val="clear" w:color="auto" w:fill="auto"/>
            <w:noWrap/>
            <w:vAlign w:val="bottom"/>
            <w:hideMark/>
          </w:tcPr>
          <w:p w14:paraId="125AAD63"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7.0%</w:t>
            </w:r>
          </w:p>
        </w:tc>
      </w:tr>
      <w:tr w:rsidR="00805EB4" w:rsidRPr="00A04732" w14:paraId="6A3F5282"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BC93367"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70C6035B" w14:textId="77777777" w:rsidR="00805EB4" w:rsidRPr="00636AEF" w:rsidRDefault="00805EB4" w:rsidP="00E72162">
            <w:pPr>
              <w:rPr>
                <w:rFonts w:cstheme="minorHAnsi"/>
                <w:b/>
                <w:bCs/>
                <w:i/>
                <w:color w:val="000000"/>
                <w:sz w:val="22"/>
                <w:szCs w:val="22"/>
              </w:rPr>
            </w:pPr>
          </w:p>
        </w:tc>
        <w:tc>
          <w:tcPr>
            <w:tcW w:w="1080" w:type="dxa"/>
            <w:tcBorders>
              <w:top w:val="nil"/>
              <w:left w:val="nil"/>
              <w:bottom w:val="nil"/>
              <w:right w:val="nil"/>
            </w:tcBorders>
            <w:shd w:val="clear" w:color="auto" w:fill="auto"/>
            <w:noWrap/>
            <w:vAlign w:val="bottom"/>
            <w:hideMark/>
          </w:tcPr>
          <w:p w14:paraId="777BAD85" w14:textId="77777777" w:rsidR="00805EB4" w:rsidRPr="004111BA"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EBCC412" w14:textId="77777777" w:rsidR="00805EB4" w:rsidRPr="004111BA" w:rsidRDefault="00805EB4"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0ABAD104" w14:textId="77777777" w:rsidR="00805EB4" w:rsidRPr="004111BA" w:rsidRDefault="00805EB4"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3BF13E33" w14:textId="77777777" w:rsidR="00805EB4" w:rsidRPr="00636AEF" w:rsidRDefault="00805EB4" w:rsidP="00E72162">
            <w:pPr>
              <w:rPr>
                <w:rFonts w:cstheme="minorHAnsi"/>
                <w:i/>
                <w:sz w:val="22"/>
                <w:szCs w:val="22"/>
              </w:rPr>
            </w:pPr>
          </w:p>
        </w:tc>
        <w:tc>
          <w:tcPr>
            <w:tcW w:w="1017" w:type="dxa"/>
            <w:tcBorders>
              <w:top w:val="nil"/>
              <w:left w:val="nil"/>
              <w:bottom w:val="nil"/>
              <w:right w:val="nil"/>
            </w:tcBorders>
            <w:shd w:val="clear" w:color="auto" w:fill="auto"/>
            <w:noWrap/>
            <w:vAlign w:val="bottom"/>
            <w:hideMark/>
          </w:tcPr>
          <w:p w14:paraId="30EC09C3" w14:textId="77777777" w:rsidR="00805EB4" w:rsidRPr="004111BA" w:rsidRDefault="00805EB4" w:rsidP="00E72162">
            <w:pPr>
              <w:rPr>
                <w:rFonts w:cstheme="minorHAnsi"/>
                <w:sz w:val="22"/>
                <w:szCs w:val="22"/>
              </w:rPr>
            </w:pPr>
          </w:p>
        </w:tc>
      </w:tr>
      <w:tr w:rsidR="00805EB4" w:rsidRPr="00A04732" w14:paraId="34E874B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A4D28CF"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1D23500A"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14.9%</w:t>
            </w:r>
          </w:p>
        </w:tc>
        <w:tc>
          <w:tcPr>
            <w:tcW w:w="1080" w:type="dxa"/>
            <w:tcBorders>
              <w:top w:val="nil"/>
              <w:left w:val="nil"/>
              <w:bottom w:val="nil"/>
              <w:right w:val="nil"/>
            </w:tcBorders>
            <w:shd w:val="clear" w:color="auto" w:fill="auto"/>
            <w:noWrap/>
            <w:vAlign w:val="bottom"/>
            <w:hideMark/>
          </w:tcPr>
          <w:p w14:paraId="6EC2440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-8.3%</w:t>
            </w:r>
          </w:p>
        </w:tc>
        <w:tc>
          <w:tcPr>
            <w:tcW w:w="920" w:type="dxa"/>
            <w:tcBorders>
              <w:top w:val="nil"/>
              <w:left w:val="nil"/>
              <w:bottom w:val="nil"/>
              <w:right w:val="nil"/>
            </w:tcBorders>
            <w:shd w:val="clear" w:color="auto" w:fill="auto"/>
            <w:noWrap/>
            <w:vAlign w:val="bottom"/>
            <w:hideMark/>
          </w:tcPr>
          <w:p w14:paraId="2DB7D94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23.0%</w:t>
            </w:r>
          </w:p>
        </w:tc>
        <w:tc>
          <w:tcPr>
            <w:tcW w:w="1184" w:type="dxa"/>
            <w:tcBorders>
              <w:top w:val="nil"/>
              <w:left w:val="nil"/>
              <w:bottom w:val="nil"/>
              <w:right w:val="nil"/>
            </w:tcBorders>
            <w:shd w:val="clear" w:color="auto" w:fill="auto"/>
            <w:noWrap/>
            <w:vAlign w:val="bottom"/>
            <w:hideMark/>
          </w:tcPr>
          <w:p w14:paraId="0117E0B3"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26.0%</w:t>
            </w:r>
          </w:p>
        </w:tc>
        <w:tc>
          <w:tcPr>
            <w:tcW w:w="1136" w:type="dxa"/>
            <w:tcBorders>
              <w:top w:val="nil"/>
              <w:left w:val="nil"/>
              <w:bottom w:val="nil"/>
              <w:right w:val="nil"/>
            </w:tcBorders>
            <w:shd w:val="clear" w:color="auto" w:fill="auto"/>
            <w:noWrap/>
            <w:vAlign w:val="bottom"/>
            <w:hideMark/>
          </w:tcPr>
          <w:p w14:paraId="0C13ED53"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16.0%</w:t>
            </w:r>
          </w:p>
        </w:tc>
        <w:tc>
          <w:tcPr>
            <w:tcW w:w="1017" w:type="dxa"/>
            <w:tcBorders>
              <w:top w:val="nil"/>
              <w:left w:val="nil"/>
              <w:bottom w:val="nil"/>
              <w:right w:val="nil"/>
            </w:tcBorders>
            <w:shd w:val="clear" w:color="auto" w:fill="auto"/>
            <w:noWrap/>
            <w:vAlign w:val="bottom"/>
            <w:hideMark/>
          </w:tcPr>
          <w:p w14:paraId="738448C4"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6.6%</w:t>
            </w:r>
          </w:p>
        </w:tc>
      </w:tr>
      <w:tr w:rsidR="00805EB4" w:rsidRPr="00636AEF" w14:paraId="38AD9B1F" w14:textId="77777777" w:rsidTr="00E72162">
        <w:trPr>
          <w:trHeight w:val="345"/>
          <w:jc w:val="center"/>
        </w:trPr>
        <w:tc>
          <w:tcPr>
            <w:tcW w:w="2400" w:type="dxa"/>
            <w:tcBorders>
              <w:top w:val="nil"/>
              <w:left w:val="nil"/>
              <w:bottom w:val="single" w:sz="4" w:space="0" w:color="auto"/>
              <w:right w:val="nil"/>
            </w:tcBorders>
            <w:shd w:val="clear" w:color="auto" w:fill="auto"/>
            <w:noWrap/>
            <w:vAlign w:val="bottom"/>
            <w:hideMark/>
          </w:tcPr>
          <w:p w14:paraId="54D242C2"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2157E1B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-26.9%</w:t>
            </w:r>
          </w:p>
        </w:tc>
        <w:tc>
          <w:tcPr>
            <w:tcW w:w="1080" w:type="dxa"/>
            <w:tcBorders>
              <w:top w:val="nil"/>
              <w:left w:val="nil"/>
              <w:bottom w:val="single" w:sz="4" w:space="0" w:color="auto"/>
              <w:right w:val="nil"/>
            </w:tcBorders>
            <w:shd w:val="clear" w:color="auto" w:fill="auto"/>
            <w:noWrap/>
            <w:vAlign w:val="bottom"/>
            <w:hideMark/>
          </w:tcPr>
          <w:p w14:paraId="437C2AFD"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-45.2%</w:t>
            </w:r>
          </w:p>
        </w:tc>
        <w:tc>
          <w:tcPr>
            <w:tcW w:w="920" w:type="dxa"/>
            <w:tcBorders>
              <w:top w:val="nil"/>
              <w:left w:val="nil"/>
              <w:bottom w:val="single" w:sz="4" w:space="0" w:color="auto"/>
              <w:right w:val="nil"/>
            </w:tcBorders>
            <w:shd w:val="clear" w:color="auto" w:fill="auto"/>
            <w:noWrap/>
            <w:vAlign w:val="bottom"/>
            <w:hideMark/>
          </w:tcPr>
          <w:p w14:paraId="0D89F425"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9.2%</w:t>
            </w:r>
          </w:p>
        </w:tc>
        <w:tc>
          <w:tcPr>
            <w:tcW w:w="1184" w:type="dxa"/>
            <w:tcBorders>
              <w:top w:val="nil"/>
              <w:left w:val="nil"/>
              <w:bottom w:val="single" w:sz="4" w:space="0" w:color="auto"/>
              <w:right w:val="nil"/>
            </w:tcBorders>
            <w:shd w:val="clear" w:color="auto" w:fill="auto"/>
            <w:noWrap/>
            <w:vAlign w:val="bottom"/>
            <w:hideMark/>
          </w:tcPr>
          <w:p w14:paraId="0067E6D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-22.6%</w:t>
            </w:r>
          </w:p>
        </w:tc>
        <w:tc>
          <w:tcPr>
            <w:tcW w:w="1136" w:type="dxa"/>
            <w:tcBorders>
              <w:top w:val="nil"/>
              <w:left w:val="nil"/>
              <w:bottom w:val="single" w:sz="4" w:space="0" w:color="auto"/>
              <w:right w:val="nil"/>
            </w:tcBorders>
            <w:shd w:val="clear" w:color="auto" w:fill="auto"/>
            <w:noWrap/>
            <w:vAlign w:val="bottom"/>
            <w:hideMark/>
          </w:tcPr>
          <w:p w14:paraId="2D0E9C52"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-25.7%</w:t>
            </w:r>
          </w:p>
        </w:tc>
        <w:tc>
          <w:tcPr>
            <w:tcW w:w="1017" w:type="dxa"/>
            <w:tcBorders>
              <w:top w:val="nil"/>
              <w:left w:val="nil"/>
              <w:bottom w:val="single" w:sz="4" w:space="0" w:color="auto"/>
              <w:right w:val="nil"/>
            </w:tcBorders>
            <w:shd w:val="clear" w:color="auto" w:fill="auto"/>
            <w:noWrap/>
            <w:vAlign w:val="bottom"/>
            <w:hideMark/>
          </w:tcPr>
          <w:p w14:paraId="248FB8B4"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-45.6%</w:t>
            </w:r>
          </w:p>
        </w:tc>
      </w:tr>
    </w:tbl>
    <w:p w14:paraId="6B3BD054" w14:textId="77777777" w:rsidR="00E847F0" w:rsidRPr="004111BA" w:rsidRDefault="00E847F0" w:rsidP="00E847F0">
      <w:pPr>
        <w:rPr>
          <w:rFonts w:cstheme="minorHAnsi"/>
          <w:sz w:val="22"/>
          <w:szCs w:val="22"/>
        </w:rPr>
      </w:pPr>
    </w:p>
    <w:p w14:paraId="70B4248B" w14:textId="77777777" w:rsidR="00E847F0" w:rsidRPr="004111BA" w:rsidRDefault="00E847F0" w:rsidP="00E847F0">
      <w:pPr>
        <w:rPr>
          <w:rFonts w:cstheme="minorHAnsi"/>
          <w:sz w:val="22"/>
          <w:szCs w:val="22"/>
        </w:rPr>
      </w:pPr>
    </w:p>
    <w:p w14:paraId="49EAD66A" w14:textId="77777777" w:rsidR="00E847F0" w:rsidRDefault="00E847F0" w:rsidP="00E847F0">
      <w:pPr>
        <w:rPr>
          <w:rFonts w:cstheme="minorHAnsi"/>
          <w:sz w:val="22"/>
          <w:szCs w:val="22"/>
          <w:u w:val="single"/>
        </w:rPr>
      </w:pPr>
      <w:r>
        <w:rPr>
          <w:rFonts w:cstheme="minorHAnsi"/>
          <w:sz w:val="22"/>
          <w:szCs w:val="22"/>
          <w:u w:val="single"/>
        </w:rPr>
        <w:br w:type="page"/>
      </w:r>
    </w:p>
    <w:p w14:paraId="51308C54" w14:textId="0518FDD0" w:rsidR="00E847F0" w:rsidRPr="00000D4B" w:rsidRDefault="00E847F0" w:rsidP="00E847F0">
      <w:pPr>
        <w:ind w:left="1152" w:hanging="1152"/>
        <w:jc w:val="center"/>
        <w:rPr>
          <w:rFonts w:cstheme="minorHAnsi"/>
          <w:b/>
          <w:bCs/>
          <w:color w:val="6A7F0F"/>
          <w:sz w:val="22"/>
          <w:szCs w:val="22"/>
        </w:rPr>
      </w:pPr>
      <w:bookmarkStart w:id="125" w:name="Appendix6_Table_A61b"/>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.1b: Change in Mental Health and Substance Service Quarterly Use and Visits </w:t>
      </w:r>
    </w:p>
    <w:p w14:paraId="4E845AF7"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Per Person Overall and by Place of Residence for CCBHC OHP Members</w:t>
      </w:r>
    </w:p>
    <w:bookmarkEnd w:id="125"/>
    <w:p w14:paraId="46A29783" w14:textId="77777777" w:rsidR="00E847F0" w:rsidRPr="004111BA" w:rsidRDefault="00E847F0" w:rsidP="00E847F0">
      <w:pPr>
        <w:ind w:left="1152" w:hanging="1152"/>
        <w:jc w:val="center"/>
        <w:rPr>
          <w:rFonts w:cstheme="minorHAnsi"/>
          <w:sz w:val="22"/>
          <w:szCs w:val="22"/>
        </w:rPr>
      </w:pPr>
    </w:p>
    <w:tbl>
      <w:tblPr>
        <w:tblW w:w="5320" w:type="dxa"/>
        <w:jc w:val="center"/>
        <w:tblLook w:val="04A0" w:firstRow="1" w:lastRow="0" w:firstColumn="1" w:lastColumn="0" w:noHBand="0" w:noVBand="1"/>
      </w:tblPr>
      <w:tblGrid>
        <w:gridCol w:w="2520"/>
        <w:gridCol w:w="880"/>
        <w:gridCol w:w="960"/>
        <w:gridCol w:w="960"/>
      </w:tblGrid>
      <w:tr w:rsidR="00805EB4" w:rsidRPr="00A04732" w14:paraId="4748C8EC"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71F8F825" w14:textId="77777777" w:rsidR="00805EB4" w:rsidRPr="004111BA" w:rsidRDefault="00805EB4" w:rsidP="00E72162">
            <w:pPr>
              <w:rPr>
                <w:rFonts w:cstheme="minorHAnsi"/>
                <w:sz w:val="22"/>
                <w:szCs w:val="22"/>
              </w:rPr>
            </w:pPr>
          </w:p>
          <w:p w14:paraId="7754AAD5" w14:textId="77777777" w:rsidR="00805EB4" w:rsidRPr="004111BA" w:rsidRDefault="00805EB4" w:rsidP="00E72162">
            <w:pPr>
              <w:rPr>
                <w:rFonts w:cstheme="minorHAnsi"/>
                <w:sz w:val="22"/>
                <w:szCs w:val="22"/>
              </w:rPr>
            </w:pPr>
          </w:p>
        </w:tc>
        <w:tc>
          <w:tcPr>
            <w:tcW w:w="880" w:type="dxa"/>
            <w:tcBorders>
              <w:top w:val="nil"/>
              <w:left w:val="nil"/>
              <w:bottom w:val="nil"/>
              <w:right w:val="nil"/>
            </w:tcBorders>
            <w:shd w:val="clear" w:color="auto" w:fill="auto"/>
            <w:noWrap/>
            <w:vAlign w:val="bottom"/>
            <w:hideMark/>
          </w:tcPr>
          <w:p w14:paraId="062AB647"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All</w:t>
            </w:r>
          </w:p>
        </w:tc>
        <w:tc>
          <w:tcPr>
            <w:tcW w:w="960" w:type="dxa"/>
            <w:tcBorders>
              <w:top w:val="nil"/>
              <w:left w:val="nil"/>
              <w:bottom w:val="nil"/>
              <w:right w:val="nil"/>
            </w:tcBorders>
            <w:shd w:val="clear" w:color="auto" w:fill="auto"/>
            <w:noWrap/>
            <w:vAlign w:val="bottom"/>
            <w:hideMark/>
          </w:tcPr>
          <w:p w14:paraId="2F9F6FE0" w14:textId="77777777" w:rsidR="00805EB4" w:rsidRPr="004111BA" w:rsidRDefault="00805EB4" w:rsidP="00E72162">
            <w:pPr>
              <w:jc w:val="cente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1293B30E"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Rural or</w:t>
            </w:r>
          </w:p>
        </w:tc>
      </w:tr>
      <w:tr w:rsidR="00805EB4" w:rsidRPr="00A04732" w14:paraId="0A4C74AE" w14:textId="77777777" w:rsidTr="00E72162">
        <w:trPr>
          <w:trHeight w:val="300"/>
          <w:jc w:val="center"/>
        </w:trPr>
        <w:tc>
          <w:tcPr>
            <w:tcW w:w="2520" w:type="dxa"/>
            <w:tcBorders>
              <w:top w:val="nil"/>
              <w:left w:val="nil"/>
              <w:bottom w:val="single" w:sz="4" w:space="0" w:color="auto"/>
              <w:right w:val="nil"/>
            </w:tcBorders>
            <w:shd w:val="clear" w:color="auto" w:fill="auto"/>
            <w:noWrap/>
            <w:vAlign w:val="bottom"/>
            <w:hideMark/>
          </w:tcPr>
          <w:p w14:paraId="4E50DF59"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MH/SUD Outpatient</w:t>
            </w:r>
          </w:p>
        </w:tc>
        <w:tc>
          <w:tcPr>
            <w:tcW w:w="880" w:type="dxa"/>
            <w:tcBorders>
              <w:top w:val="nil"/>
              <w:left w:val="nil"/>
              <w:bottom w:val="single" w:sz="4" w:space="0" w:color="auto"/>
              <w:right w:val="nil"/>
            </w:tcBorders>
            <w:shd w:val="clear" w:color="auto" w:fill="auto"/>
            <w:noWrap/>
            <w:vAlign w:val="bottom"/>
            <w:hideMark/>
          </w:tcPr>
          <w:p w14:paraId="0F953C77"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CCBHC</w:t>
            </w:r>
          </w:p>
        </w:tc>
        <w:tc>
          <w:tcPr>
            <w:tcW w:w="960" w:type="dxa"/>
            <w:tcBorders>
              <w:top w:val="nil"/>
              <w:left w:val="nil"/>
              <w:bottom w:val="single" w:sz="4" w:space="0" w:color="auto"/>
              <w:right w:val="nil"/>
            </w:tcBorders>
            <w:shd w:val="clear" w:color="auto" w:fill="auto"/>
            <w:noWrap/>
            <w:vAlign w:val="bottom"/>
            <w:hideMark/>
          </w:tcPr>
          <w:p w14:paraId="6B3D609E" w14:textId="77777777" w:rsidR="00805EB4" w:rsidRPr="004111BA" w:rsidRDefault="00805EB4" w:rsidP="00E72162">
            <w:pPr>
              <w:jc w:val="center"/>
              <w:rPr>
                <w:rFonts w:cstheme="minorHAnsi"/>
                <w:b/>
                <w:bCs/>
                <w:color w:val="000000"/>
                <w:sz w:val="22"/>
                <w:szCs w:val="22"/>
              </w:rPr>
            </w:pPr>
            <w:r w:rsidRPr="004111BA">
              <w:rPr>
                <w:rFonts w:cstheme="minorHAnsi"/>
                <w:b/>
                <w:bCs/>
                <w:color w:val="000000"/>
                <w:sz w:val="22"/>
                <w:szCs w:val="22"/>
              </w:rPr>
              <w:t>Urban</w:t>
            </w:r>
          </w:p>
        </w:tc>
        <w:tc>
          <w:tcPr>
            <w:tcW w:w="960" w:type="dxa"/>
            <w:tcBorders>
              <w:top w:val="nil"/>
              <w:left w:val="nil"/>
              <w:bottom w:val="single" w:sz="4" w:space="0" w:color="auto"/>
              <w:right w:val="nil"/>
            </w:tcBorders>
            <w:shd w:val="clear" w:color="auto" w:fill="auto"/>
            <w:noWrap/>
            <w:vAlign w:val="bottom"/>
            <w:hideMark/>
          </w:tcPr>
          <w:p w14:paraId="2CB080DD" w14:textId="77777777" w:rsidR="00805EB4" w:rsidRPr="004111BA" w:rsidRDefault="00805EB4" w:rsidP="00E72162">
            <w:pPr>
              <w:jc w:val="center"/>
              <w:rPr>
                <w:rFonts w:cstheme="minorHAnsi"/>
                <w:b/>
                <w:bCs/>
                <w:color w:val="000000"/>
                <w:sz w:val="22"/>
                <w:szCs w:val="22"/>
              </w:rPr>
            </w:pPr>
            <w:r>
              <w:rPr>
                <w:rFonts w:cstheme="minorHAnsi"/>
                <w:b/>
                <w:bCs/>
                <w:color w:val="000000"/>
                <w:sz w:val="22"/>
                <w:szCs w:val="22"/>
              </w:rPr>
              <w:t>Remote</w:t>
            </w:r>
          </w:p>
        </w:tc>
      </w:tr>
      <w:tr w:rsidR="00805EB4" w:rsidRPr="00A04732" w14:paraId="51BEA4EF"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3224FB3F" w14:textId="77777777" w:rsidR="00805EB4" w:rsidRPr="004111BA" w:rsidRDefault="00805EB4" w:rsidP="00E72162">
            <w:pPr>
              <w:rPr>
                <w:rFonts w:cstheme="minorHAnsi"/>
                <w:b/>
                <w:bCs/>
                <w:color w:val="000000"/>
                <w:sz w:val="22"/>
                <w:szCs w:val="22"/>
                <w:u w:val="single"/>
              </w:rPr>
            </w:pPr>
            <w:r w:rsidRPr="004111BA">
              <w:rPr>
                <w:rFonts w:cstheme="minorHAnsi"/>
                <w:b/>
                <w:bCs/>
                <w:color w:val="000000"/>
                <w:sz w:val="22"/>
                <w:szCs w:val="22"/>
                <w:u w:val="single"/>
              </w:rPr>
              <w:t>Mental Health</w:t>
            </w:r>
          </w:p>
        </w:tc>
        <w:tc>
          <w:tcPr>
            <w:tcW w:w="880" w:type="dxa"/>
            <w:tcBorders>
              <w:top w:val="nil"/>
              <w:left w:val="nil"/>
              <w:bottom w:val="nil"/>
              <w:right w:val="nil"/>
            </w:tcBorders>
            <w:shd w:val="clear" w:color="auto" w:fill="auto"/>
            <w:noWrap/>
            <w:vAlign w:val="bottom"/>
            <w:hideMark/>
          </w:tcPr>
          <w:p w14:paraId="4FC77707"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322E2AE6"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30308DDA" w14:textId="77777777" w:rsidR="00805EB4" w:rsidRPr="004111BA" w:rsidRDefault="00805EB4" w:rsidP="00E72162">
            <w:pPr>
              <w:rPr>
                <w:rFonts w:cstheme="minorHAnsi"/>
                <w:sz w:val="22"/>
                <w:szCs w:val="22"/>
              </w:rPr>
            </w:pPr>
          </w:p>
        </w:tc>
      </w:tr>
      <w:tr w:rsidR="00805EB4" w:rsidRPr="00A04732" w14:paraId="53CFD18C"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19CA3C45"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Quarterly Use</w:t>
            </w:r>
          </w:p>
        </w:tc>
        <w:tc>
          <w:tcPr>
            <w:tcW w:w="880" w:type="dxa"/>
            <w:tcBorders>
              <w:top w:val="nil"/>
              <w:left w:val="nil"/>
              <w:bottom w:val="nil"/>
              <w:right w:val="nil"/>
            </w:tcBorders>
            <w:shd w:val="clear" w:color="auto" w:fill="auto"/>
            <w:noWrap/>
            <w:vAlign w:val="bottom"/>
            <w:hideMark/>
          </w:tcPr>
          <w:p w14:paraId="7E76D591"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2FEC05DA"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0CA93E83" w14:textId="77777777" w:rsidR="00805EB4" w:rsidRPr="004111BA" w:rsidRDefault="00805EB4" w:rsidP="00E72162">
            <w:pPr>
              <w:rPr>
                <w:rFonts w:cstheme="minorHAnsi"/>
                <w:sz w:val="22"/>
                <w:szCs w:val="22"/>
              </w:rPr>
            </w:pPr>
          </w:p>
        </w:tc>
      </w:tr>
      <w:tr w:rsidR="00805EB4" w:rsidRPr="00A04732" w14:paraId="657D0E9F"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66A6DD45"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80" w:type="dxa"/>
            <w:tcBorders>
              <w:top w:val="nil"/>
              <w:left w:val="nil"/>
              <w:bottom w:val="nil"/>
              <w:right w:val="nil"/>
            </w:tcBorders>
            <w:shd w:val="clear" w:color="auto" w:fill="auto"/>
            <w:noWrap/>
            <w:vAlign w:val="bottom"/>
            <w:hideMark/>
          </w:tcPr>
          <w:p w14:paraId="2A83921C"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2.3%</w:t>
            </w:r>
          </w:p>
        </w:tc>
        <w:tc>
          <w:tcPr>
            <w:tcW w:w="960" w:type="dxa"/>
            <w:tcBorders>
              <w:top w:val="nil"/>
              <w:left w:val="nil"/>
              <w:bottom w:val="nil"/>
              <w:right w:val="nil"/>
            </w:tcBorders>
            <w:shd w:val="clear" w:color="auto" w:fill="auto"/>
            <w:noWrap/>
            <w:vAlign w:val="bottom"/>
            <w:hideMark/>
          </w:tcPr>
          <w:p w14:paraId="1489012F"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-6.7%</w:t>
            </w:r>
          </w:p>
        </w:tc>
        <w:tc>
          <w:tcPr>
            <w:tcW w:w="960" w:type="dxa"/>
            <w:tcBorders>
              <w:top w:val="nil"/>
              <w:left w:val="nil"/>
              <w:bottom w:val="nil"/>
              <w:right w:val="nil"/>
            </w:tcBorders>
            <w:shd w:val="clear" w:color="auto" w:fill="auto"/>
            <w:noWrap/>
            <w:vAlign w:val="bottom"/>
            <w:hideMark/>
          </w:tcPr>
          <w:p w14:paraId="66FF26B6"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9.1%</w:t>
            </w:r>
          </w:p>
        </w:tc>
      </w:tr>
      <w:tr w:rsidR="00805EB4" w:rsidRPr="00A04732" w14:paraId="50742007"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09A6E94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80" w:type="dxa"/>
            <w:tcBorders>
              <w:top w:val="nil"/>
              <w:left w:val="nil"/>
              <w:bottom w:val="nil"/>
              <w:right w:val="nil"/>
            </w:tcBorders>
            <w:shd w:val="clear" w:color="auto" w:fill="auto"/>
            <w:noWrap/>
            <w:vAlign w:val="bottom"/>
            <w:hideMark/>
          </w:tcPr>
          <w:p w14:paraId="63509B90"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14.8%</w:t>
            </w:r>
          </w:p>
        </w:tc>
        <w:tc>
          <w:tcPr>
            <w:tcW w:w="960" w:type="dxa"/>
            <w:tcBorders>
              <w:top w:val="nil"/>
              <w:left w:val="nil"/>
              <w:bottom w:val="nil"/>
              <w:right w:val="nil"/>
            </w:tcBorders>
            <w:shd w:val="clear" w:color="auto" w:fill="auto"/>
            <w:noWrap/>
            <w:vAlign w:val="bottom"/>
            <w:hideMark/>
          </w:tcPr>
          <w:p w14:paraId="266CE1C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1.8%</w:t>
            </w:r>
          </w:p>
        </w:tc>
        <w:tc>
          <w:tcPr>
            <w:tcW w:w="960" w:type="dxa"/>
            <w:tcBorders>
              <w:top w:val="nil"/>
              <w:left w:val="nil"/>
              <w:bottom w:val="nil"/>
              <w:right w:val="nil"/>
            </w:tcBorders>
            <w:shd w:val="clear" w:color="auto" w:fill="auto"/>
            <w:noWrap/>
            <w:vAlign w:val="bottom"/>
            <w:hideMark/>
          </w:tcPr>
          <w:p w14:paraId="3A1EF39A"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24.2%</w:t>
            </w:r>
          </w:p>
        </w:tc>
      </w:tr>
      <w:tr w:rsidR="00805EB4" w:rsidRPr="00A04732" w14:paraId="42AC0A01"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11FD9885"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Visits per Person</w:t>
            </w:r>
          </w:p>
        </w:tc>
        <w:tc>
          <w:tcPr>
            <w:tcW w:w="880" w:type="dxa"/>
            <w:tcBorders>
              <w:top w:val="nil"/>
              <w:left w:val="nil"/>
              <w:bottom w:val="nil"/>
              <w:right w:val="nil"/>
            </w:tcBorders>
            <w:shd w:val="clear" w:color="auto" w:fill="auto"/>
            <w:noWrap/>
            <w:vAlign w:val="bottom"/>
            <w:hideMark/>
          </w:tcPr>
          <w:p w14:paraId="48D0CFFA"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0DC7835D"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3A073C96" w14:textId="77777777" w:rsidR="00805EB4" w:rsidRPr="004111BA" w:rsidRDefault="00805EB4" w:rsidP="00E72162">
            <w:pPr>
              <w:rPr>
                <w:rFonts w:cstheme="minorHAnsi"/>
                <w:sz w:val="22"/>
                <w:szCs w:val="22"/>
              </w:rPr>
            </w:pPr>
          </w:p>
        </w:tc>
      </w:tr>
      <w:tr w:rsidR="00805EB4" w:rsidRPr="00A04732" w14:paraId="46306D94"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5D089517"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80" w:type="dxa"/>
            <w:tcBorders>
              <w:top w:val="nil"/>
              <w:left w:val="nil"/>
              <w:bottom w:val="nil"/>
              <w:right w:val="nil"/>
            </w:tcBorders>
            <w:shd w:val="clear" w:color="auto" w:fill="auto"/>
            <w:noWrap/>
            <w:vAlign w:val="bottom"/>
            <w:hideMark/>
          </w:tcPr>
          <w:p w14:paraId="2D4C6D32"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6.6%</w:t>
            </w:r>
          </w:p>
        </w:tc>
        <w:tc>
          <w:tcPr>
            <w:tcW w:w="960" w:type="dxa"/>
            <w:tcBorders>
              <w:top w:val="nil"/>
              <w:left w:val="nil"/>
              <w:bottom w:val="nil"/>
              <w:right w:val="nil"/>
            </w:tcBorders>
            <w:shd w:val="clear" w:color="auto" w:fill="auto"/>
            <w:noWrap/>
            <w:vAlign w:val="bottom"/>
            <w:hideMark/>
          </w:tcPr>
          <w:p w14:paraId="6805E8D5"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-1.4%</w:t>
            </w:r>
          </w:p>
        </w:tc>
        <w:tc>
          <w:tcPr>
            <w:tcW w:w="960" w:type="dxa"/>
            <w:tcBorders>
              <w:top w:val="nil"/>
              <w:left w:val="nil"/>
              <w:bottom w:val="nil"/>
              <w:right w:val="nil"/>
            </w:tcBorders>
            <w:shd w:val="clear" w:color="auto" w:fill="auto"/>
            <w:noWrap/>
            <w:vAlign w:val="bottom"/>
            <w:hideMark/>
          </w:tcPr>
          <w:p w14:paraId="45C23322"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12.6%</w:t>
            </w:r>
          </w:p>
        </w:tc>
      </w:tr>
      <w:tr w:rsidR="00805EB4" w:rsidRPr="00A04732" w14:paraId="6B9FA0DE" w14:textId="77777777" w:rsidTr="00E72162">
        <w:trPr>
          <w:trHeight w:val="345"/>
          <w:jc w:val="center"/>
        </w:trPr>
        <w:tc>
          <w:tcPr>
            <w:tcW w:w="2520" w:type="dxa"/>
            <w:tcBorders>
              <w:top w:val="nil"/>
              <w:left w:val="nil"/>
              <w:bottom w:val="nil"/>
              <w:right w:val="nil"/>
            </w:tcBorders>
            <w:shd w:val="clear" w:color="auto" w:fill="auto"/>
            <w:noWrap/>
            <w:vAlign w:val="bottom"/>
            <w:hideMark/>
          </w:tcPr>
          <w:p w14:paraId="4AE89285"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80" w:type="dxa"/>
            <w:tcBorders>
              <w:top w:val="nil"/>
              <w:left w:val="nil"/>
              <w:bottom w:val="nil"/>
              <w:right w:val="nil"/>
            </w:tcBorders>
            <w:shd w:val="clear" w:color="auto" w:fill="auto"/>
            <w:noWrap/>
            <w:vAlign w:val="bottom"/>
            <w:hideMark/>
          </w:tcPr>
          <w:p w14:paraId="5749C44B"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9.5%</w:t>
            </w:r>
          </w:p>
        </w:tc>
        <w:tc>
          <w:tcPr>
            <w:tcW w:w="960" w:type="dxa"/>
            <w:tcBorders>
              <w:top w:val="nil"/>
              <w:left w:val="nil"/>
              <w:bottom w:val="nil"/>
              <w:right w:val="nil"/>
            </w:tcBorders>
            <w:shd w:val="clear" w:color="auto" w:fill="auto"/>
            <w:noWrap/>
            <w:vAlign w:val="bottom"/>
            <w:hideMark/>
          </w:tcPr>
          <w:p w14:paraId="43FC5221"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-0.2%</w:t>
            </w:r>
          </w:p>
        </w:tc>
        <w:tc>
          <w:tcPr>
            <w:tcW w:w="960" w:type="dxa"/>
            <w:tcBorders>
              <w:top w:val="nil"/>
              <w:left w:val="nil"/>
              <w:bottom w:val="nil"/>
              <w:right w:val="nil"/>
            </w:tcBorders>
            <w:shd w:val="clear" w:color="auto" w:fill="auto"/>
            <w:noWrap/>
            <w:vAlign w:val="bottom"/>
            <w:hideMark/>
          </w:tcPr>
          <w:p w14:paraId="41E79082"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15.5%</w:t>
            </w:r>
          </w:p>
        </w:tc>
      </w:tr>
      <w:tr w:rsidR="00805EB4" w:rsidRPr="00A04732" w14:paraId="70283F63"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65EB5617" w14:textId="77777777" w:rsidR="00805EB4" w:rsidRPr="004111BA" w:rsidRDefault="00805EB4" w:rsidP="00E72162">
            <w:pPr>
              <w:rPr>
                <w:rFonts w:cstheme="minorHAnsi"/>
                <w:b/>
                <w:bCs/>
                <w:color w:val="000000"/>
                <w:sz w:val="22"/>
                <w:szCs w:val="22"/>
                <w:u w:val="single"/>
              </w:rPr>
            </w:pPr>
            <w:r w:rsidRPr="004111BA">
              <w:rPr>
                <w:rFonts w:cstheme="minorHAnsi"/>
                <w:b/>
                <w:bCs/>
                <w:color w:val="000000"/>
                <w:sz w:val="22"/>
                <w:szCs w:val="22"/>
                <w:u w:val="single"/>
              </w:rPr>
              <w:t>Substance Use</w:t>
            </w:r>
          </w:p>
        </w:tc>
        <w:tc>
          <w:tcPr>
            <w:tcW w:w="880" w:type="dxa"/>
            <w:tcBorders>
              <w:top w:val="nil"/>
              <w:left w:val="nil"/>
              <w:bottom w:val="nil"/>
              <w:right w:val="nil"/>
            </w:tcBorders>
            <w:shd w:val="clear" w:color="auto" w:fill="auto"/>
            <w:noWrap/>
            <w:vAlign w:val="bottom"/>
            <w:hideMark/>
          </w:tcPr>
          <w:p w14:paraId="10528A7F"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4997F151"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65119FB1" w14:textId="77777777" w:rsidR="00805EB4" w:rsidRPr="004111BA" w:rsidRDefault="00805EB4" w:rsidP="00E72162">
            <w:pPr>
              <w:rPr>
                <w:rFonts w:cstheme="minorHAnsi"/>
                <w:sz w:val="22"/>
                <w:szCs w:val="22"/>
              </w:rPr>
            </w:pPr>
          </w:p>
        </w:tc>
      </w:tr>
      <w:tr w:rsidR="00805EB4" w:rsidRPr="00A04732" w14:paraId="54AFC543"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53149CFE"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Quarterly Use</w:t>
            </w:r>
          </w:p>
        </w:tc>
        <w:tc>
          <w:tcPr>
            <w:tcW w:w="880" w:type="dxa"/>
            <w:tcBorders>
              <w:top w:val="nil"/>
              <w:left w:val="nil"/>
              <w:bottom w:val="nil"/>
              <w:right w:val="nil"/>
            </w:tcBorders>
            <w:shd w:val="clear" w:color="auto" w:fill="auto"/>
            <w:noWrap/>
            <w:vAlign w:val="bottom"/>
            <w:hideMark/>
          </w:tcPr>
          <w:p w14:paraId="58D7A8FE"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647B079D"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5EE00F17" w14:textId="77777777" w:rsidR="00805EB4" w:rsidRPr="004111BA" w:rsidRDefault="00805EB4" w:rsidP="00E72162">
            <w:pPr>
              <w:rPr>
                <w:rFonts w:cstheme="minorHAnsi"/>
                <w:sz w:val="22"/>
                <w:szCs w:val="22"/>
              </w:rPr>
            </w:pPr>
          </w:p>
        </w:tc>
      </w:tr>
      <w:tr w:rsidR="00805EB4" w:rsidRPr="00A04732" w14:paraId="3F5CAD7F"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762F885C"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80" w:type="dxa"/>
            <w:tcBorders>
              <w:top w:val="nil"/>
              <w:left w:val="nil"/>
              <w:bottom w:val="nil"/>
              <w:right w:val="nil"/>
            </w:tcBorders>
            <w:shd w:val="clear" w:color="auto" w:fill="auto"/>
            <w:noWrap/>
            <w:vAlign w:val="bottom"/>
            <w:hideMark/>
          </w:tcPr>
          <w:p w14:paraId="188F1647"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11.4%</w:t>
            </w:r>
          </w:p>
        </w:tc>
        <w:tc>
          <w:tcPr>
            <w:tcW w:w="960" w:type="dxa"/>
            <w:tcBorders>
              <w:top w:val="nil"/>
              <w:left w:val="nil"/>
              <w:bottom w:val="nil"/>
              <w:right w:val="nil"/>
            </w:tcBorders>
            <w:shd w:val="clear" w:color="auto" w:fill="auto"/>
            <w:noWrap/>
            <w:vAlign w:val="bottom"/>
            <w:hideMark/>
          </w:tcPr>
          <w:p w14:paraId="44566827"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24.7%</w:t>
            </w:r>
          </w:p>
        </w:tc>
        <w:tc>
          <w:tcPr>
            <w:tcW w:w="960" w:type="dxa"/>
            <w:tcBorders>
              <w:top w:val="nil"/>
              <w:left w:val="nil"/>
              <w:bottom w:val="nil"/>
              <w:right w:val="nil"/>
            </w:tcBorders>
            <w:shd w:val="clear" w:color="auto" w:fill="auto"/>
            <w:noWrap/>
            <w:vAlign w:val="bottom"/>
            <w:hideMark/>
          </w:tcPr>
          <w:p w14:paraId="41E66926"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7.6%</w:t>
            </w:r>
          </w:p>
        </w:tc>
      </w:tr>
      <w:tr w:rsidR="00805EB4" w:rsidRPr="00A04732" w14:paraId="2C496F6E"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6178C10B"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80" w:type="dxa"/>
            <w:tcBorders>
              <w:top w:val="nil"/>
              <w:left w:val="nil"/>
              <w:bottom w:val="nil"/>
              <w:right w:val="nil"/>
            </w:tcBorders>
            <w:shd w:val="clear" w:color="auto" w:fill="auto"/>
            <w:noWrap/>
            <w:vAlign w:val="bottom"/>
            <w:hideMark/>
          </w:tcPr>
          <w:p w14:paraId="7092B004"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6.1%</w:t>
            </w:r>
          </w:p>
        </w:tc>
        <w:tc>
          <w:tcPr>
            <w:tcW w:w="960" w:type="dxa"/>
            <w:tcBorders>
              <w:top w:val="nil"/>
              <w:left w:val="nil"/>
              <w:bottom w:val="nil"/>
              <w:right w:val="nil"/>
            </w:tcBorders>
            <w:shd w:val="clear" w:color="auto" w:fill="auto"/>
            <w:noWrap/>
            <w:vAlign w:val="bottom"/>
            <w:hideMark/>
          </w:tcPr>
          <w:p w14:paraId="46776E4E"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76.4%</w:t>
            </w:r>
          </w:p>
        </w:tc>
        <w:tc>
          <w:tcPr>
            <w:tcW w:w="960" w:type="dxa"/>
            <w:tcBorders>
              <w:top w:val="nil"/>
              <w:left w:val="nil"/>
              <w:bottom w:val="nil"/>
              <w:right w:val="nil"/>
            </w:tcBorders>
            <w:shd w:val="clear" w:color="auto" w:fill="auto"/>
            <w:noWrap/>
            <w:vAlign w:val="bottom"/>
            <w:hideMark/>
          </w:tcPr>
          <w:p w14:paraId="6ECF930E"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-14.4%</w:t>
            </w:r>
          </w:p>
        </w:tc>
      </w:tr>
      <w:tr w:rsidR="00805EB4" w:rsidRPr="00A04732" w14:paraId="3F4AF24D"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1844A5CE" w14:textId="77777777" w:rsidR="00805EB4" w:rsidRPr="004111BA" w:rsidRDefault="00805EB4" w:rsidP="00E72162">
            <w:pPr>
              <w:rPr>
                <w:rFonts w:cstheme="minorHAnsi"/>
                <w:b/>
                <w:bCs/>
                <w:color w:val="000000"/>
                <w:sz w:val="22"/>
                <w:szCs w:val="22"/>
              </w:rPr>
            </w:pPr>
            <w:r w:rsidRPr="004111BA">
              <w:rPr>
                <w:rFonts w:cstheme="minorHAnsi"/>
                <w:b/>
                <w:bCs/>
                <w:color w:val="000000"/>
                <w:sz w:val="22"/>
                <w:szCs w:val="22"/>
              </w:rPr>
              <w:t>Visits per Person</w:t>
            </w:r>
          </w:p>
        </w:tc>
        <w:tc>
          <w:tcPr>
            <w:tcW w:w="880" w:type="dxa"/>
            <w:tcBorders>
              <w:top w:val="nil"/>
              <w:left w:val="nil"/>
              <w:bottom w:val="nil"/>
              <w:right w:val="nil"/>
            </w:tcBorders>
            <w:shd w:val="clear" w:color="auto" w:fill="auto"/>
            <w:noWrap/>
            <w:vAlign w:val="bottom"/>
            <w:hideMark/>
          </w:tcPr>
          <w:p w14:paraId="1C999752" w14:textId="77777777" w:rsidR="00805EB4" w:rsidRPr="004111BA" w:rsidRDefault="00805EB4" w:rsidP="00E72162">
            <w:pPr>
              <w:rPr>
                <w:rFonts w:cstheme="minorHAnsi"/>
                <w:b/>
                <w:bCs/>
                <w:color w:val="000000"/>
                <w:sz w:val="22"/>
                <w:szCs w:val="22"/>
              </w:rPr>
            </w:pPr>
          </w:p>
        </w:tc>
        <w:tc>
          <w:tcPr>
            <w:tcW w:w="960" w:type="dxa"/>
            <w:tcBorders>
              <w:top w:val="nil"/>
              <w:left w:val="nil"/>
              <w:bottom w:val="nil"/>
              <w:right w:val="nil"/>
            </w:tcBorders>
            <w:shd w:val="clear" w:color="auto" w:fill="auto"/>
            <w:noWrap/>
            <w:vAlign w:val="bottom"/>
            <w:hideMark/>
          </w:tcPr>
          <w:p w14:paraId="4B4EE334" w14:textId="77777777" w:rsidR="00805EB4" w:rsidRPr="004111BA" w:rsidRDefault="00805EB4" w:rsidP="00E72162">
            <w:pPr>
              <w:rPr>
                <w:rFonts w:cstheme="minorHAnsi"/>
                <w:sz w:val="22"/>
                <w:szCs w:val="22"/>
              </w:rPr>
            </w:pPr>
          </w:p>
        </w:tc>
        <w:tc>
          <w:tcPr>
            <w:tcW w:w="960" w:type="dxa"/>
            <w:tcBorders>
              <w:top w:val="nil"/>
              <w:left w:val="nil"/>
              <w:bottom w:val="nil"/>
              <w:right w:val="nil"/>
            </w:tcBorders>
            <w:shd w:val="clear" w:color="auto" w:fill="auto"/>
            <w:noWrap/>
            <w:vAlign w:val="bottom"/>
            <w:hideMark/>
          </w:tcPr>
          <w:p w14:paraId="2C6F277F" w14:textId="77777777" w:rsidR="00805EB4" w:rsidRPr="004111BA" w:rsidRDefault="00805EB4" w:rsidP="00E72162">
            <w:pPr>
              <w:rPr>
                <w:rFonts w:cstheme="minorHAnsi"/>
                <w:sz w:val="22"/>
                <w:szCs w:val="22"/>
              </w:rPr>
            </w:pPr>
          </w:p>
        </w:tc>
      </w:tr>
      <w:tr w:rsidR="00805EB4" w:rsidRPr="00A04732" w14:paraId="311585C2" w14:textId="77777777" w:rsidTr="00E72162">
        <w:trPr>
          <w:trHeight w:val="300"/>
          <w:jc w:val="center"/>
        </w:trPr>
        <w:tc>
          <w:tcPr>
            <w:tcW w:w="2520" w:type="dxa"/>
            <w:tcBorders>
              <w:top w:val="nil"/>
              <w:left w:val="nil"/>
              <w:bottom w:val="nil"/>
              <w:right w:val="nil"/>
            </w:tcBorders>
            <w:shd w:val="clear" w:color="auto" w:fill="auto"/>
            <w:noWrap/>
            <w:vAlign w:val="bottom"/>
            <w:hideMark/>
          </w:tcPr>
          <w:p w14:paraId="393E5288"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First CCBHC Period</w:t>
            </w:r>
          </w:p>
        </w:tc>
        <w:tc>
          <w:tcPr>
            <w:tcW w:w="880" w:type="dxa"/>
            <w:tcBorders>
              <w:top w:val="nil"/>
              <w:left w:val="nil"/>
              <w:bottom w:val="nil"/>
              <w:right w:val="nil"/>
            </w:tcBorders>
            <w:shd w:val="clear" w:color="auto" w:fill="auto"/>
            <w:noWrap/>
            <w:vAlign w:val="bottom"/>
            <w:hideMark/>
          </w:tcPr>
          <w:p w14:paraId="26F10E17"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14.9%</w:t>
            </w:r>
          </w:p>
        </w:tc>
        <w:tc>
          <w:tcPr>
            <w:tcW w:w="960" w:type="dxa"/>
            <w:tcBorders>
              <w:top w:val="nil"/>
              <w:left w:val="nil"/>
              <w:bottom w:val="nil"/>
              <w:right w:val="nil"/>
            </w:tcBorders>
            <w:shd w:val="clear" w:color="auto" w:fill="auto"/>
            <w:noWrap/>
            <w:vAlign w:val="bottom"/>
            <w:hideMark/>
          </w:tcPr>
          <w:p w14:paraId="08B6444D"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7.2%</w:t>
            </w:r>
          </w:p>
        </w:tc>
        <w:tc>
          <w:tcPr>
            <w:tcW w:w="960" w:type="dxa"/>
            <w:tcBorders>
              <w:top w:val="nil"/>
              <w:left w:val="nil"/>
              <w:bottom w:val="nil"/>
              <w:right w:val="nil"/>
            </w:tcBorders>
            <w:shd w:val="clear" w:color="auto" w:fill="auto"/>
            <w:noWrap/>
            <w:vAlign w:val="bottom"/>
            <w:hideMark/>
          </w:tcPr>
          <w:p w14:paraId="5366FD70"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20.0%</w:t>
            </w:r>
          </w:p>
        </w:tc>
      </w:tr>
      <w:tr w:rsidR="00805EB4" w:rsidRPr="00A04732" w14:paraId="76C52556" w14:textId="77777777" w:rsidTr="00E72162">
        <w:trPr>
          <w:trHeight w:val="345"/>
          <w:jc w:val="center"/>
        </w:trPr>
        <w:tc>
          <w:tcPr>
            <w:tcW w:w="2520" w:type="dxa"/>
            <w:tcBorders>
              <w:top w:val="nil"/>
              <w:left w:val="nil"/>
              <w:bottom w:val="single" w:sz="4" w:space="0" w:color="auto"/>
              <w:right w:val="nil"/>
            </w:tcBorders>
            <w:shd w:val="clear" w:color="auto" w:fill="auto"/>
            <w:noWrap/>
            <w:vAlign w:val="bottom"/>
            <w:hideMark/>
          </w:tcPr>
          <w:p w14:paraId="21B935AD"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Second CCBHC Period</w:t>
            </w:r>
          </w:p>
        </w:tc>
        <w:tc>
          <w:tcPr>
            <w:tcW w:w="880" w:type="dxa"/>
            <w:tcBorders>
              <w:top w:val="nil"/>
              <w:left w:val="nil"/>
              <w:bottom w:val="single" w:sz="4" w:space="0" w:color="auto"/>
              <w:right w:val="nil"/>
            </w:tcBorders>
            <w:shd w:val="clear" w:color="auto" w:fill="auto"/>
            <w:noWrap/>
            <w:vAlign w:val="bottom"/>
            <w:hideMark/>
          </w:tcPr>
          <w:p w14:paraId="594CEB4A"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-26.9%</w:t>
            </w:r>
          </w:p>
        </w:tc>
        <w:tc>
          <w:tcPr>
            <w:tcW w:w="960" w:type="dxa"/>
            <w:tcBorders>
              <w:top w:val="nil"/>
              <w:left w:val="nil"/>
              <w:bottom w:val="single" w:sz="4" w:space="0" w:color="auto"/>
              <w:right w:val="nil"/>
            </w:tcBorders>
            <w:shd w:val="clear" w:color="auto" w:fill="auto"/>
            <w:noWrap/>
            <w:vAlign w:val="bottom"/>
            <w:hideMark/>
          </w:tcPr>
          <w:p w14:paraId="76EB4D9F" w14:textId="77777777" w:rsidR="00805EB4" w:rsidRPr="004111BA" w:rsidRDefault="00805EB4" w:rsidP="00E72162">
            <w:pPr>
              <w:jc w:val="right"/>
              <w:rPr>
                <w:rFonts w:cstheme="minorHAnsi"/>
                <w:color w:val="000000"/>
                <w:sz w:val="22"/>
                <w:szCs w:val="22"/>
              </w:rPr>
            </w:pPr>
            <w:r w:rsidRPr="004111BA">
              <w:rPr>
                <w:rFonts w:cstheme="minorHAnsi"/>
                <w:color w:val="000000"/>
                <w:sz w:val="22"/>
                <w:szCs w:val="22"/>
              </w:rPr>
              <w:t>-1.7%</w:t>
            </w:r>
          </w:p>
        </w:tc>
        <w:tc>
          <w:tcPr>
            <w:tcW w:w="960" w:type="dxa"/>
            <w:tcBorders>
              <w:top w:val="nil"/>
              <w:left w:val="nil"/>
              <w:bottom w:val="single" w:sz="4" w:space="0" w:color="auto"/>
              <w:right w:val="nil"/>
            </w:tcBorders>
            <w:shd w:val="clear" w:color="auto" w:fill="auto"/>
            <w:noWrap/>
            <w:vAlign w:val="bottom"/>
            <w:hideMark/>
          </w:tcPr>
          <w:p w14:paraId="3C0DC180" w14:textId="77777777" w:rsidR="00805EB4" w:rsidRPr="004111BA" w:rsidRDefault="00805EB4" w:rsidP="00E72162">
            <w:pPr>
              <w:jc w:val="right"/>
              <w:rPr>
                <w:rFonts w:cstheme="minorHAnsi"/>
                <w:b/>
                <w:bCs/>
                <w:color w:val="000000"/>
                <w:sz w:val="22"/>
                <w:szCs w:val="22"/>
              </w:rPr>
            </w:pPr>
            <w:r w:rsidRPr="004111BA">
              <w:rPr>
                <w:rFonts w:cstheme="minorHAnsi"/>
                <w:b/>
                <w:bCs/>
                <w:color w:val="000000"/>
                <w:sz w:val="22"/>
                <w:szCs w:val="22"/>
              </w:rPr>
              <w:t>-34.4%</w:t>
            </w:r>
          </w:p>
        </w:tc>
      </w:tr>
    </w:tbl>
    <w:p w14:paraId="59F24A70" w14:textId="77777777" w:rsidR="00E847F0" w:rsidRPr="004111BA" w:rsidRDefault="00E847F0" w:rsidP="00E847F0">
      <w:pPr>
        <w:rPr>
          <w:rFonts w:cstheme="minorHAnsi"/>
          <w:sz w:val="22"/>
          <w:szCs w:val="22"/>
        </w:rPr>
      </w:pPr>
    </w:p>
    <w:p w14:paraId="3F1EA2F3" w14:textId="77777777" w:rsidR="00E847F0" w:rsidRPr="004111BA" w:rsidRDefault="00E847F0" w:rsidP="00E847F0">
      <w:pPr>
        <w:rPr>
          <w:rFonts w:cstheme="minorHAnsi"/>
          <w:sz w:val="22"/>
          <w:szCs w:val="22"/>
        </w:rPr>
      </w:pPr>
    </w:p>
    <w:p w14:paraId="155E0C36" w14:textId="77777777" w:rsidR="00E847F0" w:rsidRPr="004111BA" w:rsidRDefault="00E847F0" w:rsidP="00E847F0">
      <w:pPr>
        <w:jc w:val="center"/>
        <w:rPr>
          <w:rFonts w:cstheme="minorHAnsi"/>
          <w:sz w:val="22"/>
          <w:szCs w:val="22"/>
        </w:rPr>
      </w:pPr>
    </w:p>
    <w:p w14:paraId="5407357A" w14:textId="77777777" w:rsidR="00E847F0" w:rsidRPr="004111BA" w:rsidRDefault="00E847F0" w:rsidP="00E847F0">
      <w:pPr>
        <w:jc w:val="center"/>
        <w:rPr>
          <w:rFonts w:cstheme="minorHAnsi"/>
          <w:sz w:val="22"/>
          <w:szCs w:val="22"/>
        </w:rPr>
      </w:pPr>
    </w:p>
    <w:p w14:paraId="339B7C90" w14:textId="77777777" w:rsidR="00E847F0" w:rsidRPr="004111BA" w:rsidRDefault="00E847F0" w:rsidP="00E847F0">
      <w:pPr>
        <w:jc w:val="center"/>
        <w:rPr>
          <w:rFonts w:cstheme="minorHAnsi"/>
          <w:sz w:val="22"/>
          <w:szCs w:val="22"/>
        </w:rPr>
      </w:pPr>
    </w:p>
    <w:p w14:paraId="6F0661B9" w14:textId="77777777" w:rsidR="00E847F0" w:rsidRPr="004111BA" w:rsidRDefault="00E847F0" w:rsidP="00E847F0">
      <w:pPr>
        <w:jc w:val="center"/>
        <w:rPr>
          <w:rFonts w:cstheme="minorHAnsi"/>
          <w:sz w:val="22"/>
          <w:szCs w:val="22"/>
        </w:rPr>
      </w:pPr>
    </w:p>
    <w:p w14:paraId="62DFE600" w14:textId="77777777" w:rsidR="00E847F0" w:rsidRPr="004111BA" w:rsidRDefault="00E847F0" w:rsidP="00E847F0">
      <w:pPr>
        <w:jc w:val="center"/>
        <w:rPr>
          <w:rFonts w:cstheme="minorHAnsi"/>
          <w:sz w:val="22"/>
          <w:szCs w:val="22"/>
        </w:rPr>
      </w:pPr>
    </w:p>
    <w:p w14:paraId="42876824" w14:textId="77777777" w:rsidR="00E847F0" w:rsidRPr="004111BA" w:rsidRDefault="00E847F0" w:rsidP="00E847F0">
      <w:pPr>
        <w:jc w:val="center"/>
        <w:rPr>
          <w:rFonts w:cstheme="minorHAnsi"/>
          <w:sz w:val="22"/>
          <w:szCs w:val="22"/>
        </w:rPr>
      </w:pPr>
    </w:p>
    <w:p w14:paraId="5FB2F442" w14:textId="77777777" w:rsidR="00E847F0" w:rsidRPr="004111BA" w:rsidRDefault="00E847F0" w:rsidP="00E847F0">
      <w:pPr>
        <w:jc w:val="center"/>
        <w:rPr>
          <w:rFonts w:cstheme="minorHAnsi"/>
          <w:sz w:val="22"/>
          <w:szCs w:val="22"/>
        </w:rPr>
      </w:pPr>
    </w:p>
    <w:p w14:paraId="6F51773E" w14:textId="77777777" w:rsidR="00E847F0" w:rsidRPr="004111BA" w:rsidRDefault="00E847F0" w:rsidP="00E847F0">
      <w:pPr>
        <w:jc w:val="center"/>
        <w:rPr>
          <w:rFonts w:cstheme="minorHAnsi"/>
          <w:sz w:val="22"/>
          <w:szCs w:val="22"/>
        </w:rPr>
      </w:pPr>
    </w:p>
    <w:p w14:paraId="23587B9D" w14:textId="77777777" w:rsidR="00E847F0" w:rsidRPr="004111BA" w:rsidRDefault="00E847F0" w:rsidP="00E847F0">
      <w:pPr>
        <w:jc w:val="center"/>
        <w:rPr>
          <w:rFonts w:cstheme="minorHAnsi"/>
          <w:sz w:val="22"/>
          <w:szCs w:val="22"/>
        </w:rPr>
      </w:pPr>
    </w:p>
    <w:p w14:paraId="148AF3B4" w14:textId="77777777" w:rsidR="00E847F0" w:rsidRPr="004111BA" w:rsidRDefault="00E847F0" w:rsidP="00E847F0">
      <w:pPr>
        <w:jc w:val="center"/>
        <w:rPr>
          <w:rFonts w:cstheme="minorHAnsi"/>
          <w:sz w:val="22"/>
          <w:szCs w:val="22"/>
        </w:rPr>
      </w:pPr>
    </w:p>
    <w:p w14:paraId="31B406AD" w14:textId="77777777" w:rsidR="00E847F0" w:rsidRPr="004111BA" w:rsidRDefault="00E847F0" w:rsidP="00E847F0">
      <w:pPr>
        <w:jc w:val="center"/>
        <w:rPr>
          <w:rFonts w:cstheme="minorHAnsi"/>
          <w:sz w:val="22"/>
          <w:szCs w:val="22"/>
        </w:rPr>
      </w:pPr>
    </w:p>
    <w:p w14:paraId="6270DCDC" w14:textId="77777777" w:rsidR="00E847F0" w:rsidRPr="004111BA" w:rsidRDefault="00E847F0" w:rsidP="00E847F0">
      <w:pPr>
        <w:jc w:val="center"/>
        <w:rPr>
          <w:rFonts w:cstheme="minorHAnsi"/>
          <w:sz w:val="22"/>
          <w:szCs w:val="22"/>
        </w:rPr>
      </w:pPr>
    </w:p>
    <w:p w14:paraId="1ED5BEBD" w14:textId="77777777" w:rsidR="00E847F0" w:rsidRPr="004111BA" w:rsidRDefault="00E847F0" w:rsidP="00E847F0">
      <w:pPr>
        <w:jc w:val="center"/>
        <w:rPr>
          <w:rFonts w:cstheme="minorHAnsi"/>
          <w:sz w:val="22"/>
          <w:szCs w:val="22"/>
        </w:rPr>
      </w:pPr>
    </w:p>
    <w:p w14:paraId="090311D6" w14:textId="77777777" w:rsidR="00E847F0" w:rsidRPr="004111BA" w:rsidRDefault="00E847F0" w:rsidP="00E847F0">
      <w:pPr>
        <w:jc w:val="center"/>
        <w:rPr>
          <w:rFonts w:cstheme="minorHAnsi"/>
          <w:sz w:val="22"/>
          <w:szCs w:val="22"/>
        </w:rPr>
      </w:pPr>
    </w:p>
    <w:p w14:paraId="55CFE28F" w14:textId="77777777" w:rsidR="00E847F0" w:rsidRPr="004111BA" w:rsidRDefault="00E847F0" w:rsidP="00E847F0">
      <w:pPr>
        <w:jc w:val="center"/>
        <w:rPr>
          <w:rFonts w:cstheme="minorHAnsi"/>
          <w:sz w:val="22"/>
          <w:szCs w:val="22"/>
        </w:rPr>
      </w:pPr>
    </w:p>
    <w:p w14:paraId="23335B0C" w14:textId="77777777" w:rsidR="00E847F0" w:rsidRPr="004111BA" w:rsidRDefault="00E847F0" w:rsidP="00E847F0">
      <w:pPr>
        <w:jc w:val="center"/>
        <w:rPr>
          <w:rFonts w:cstheme="minorHAnsi"/>
          <w:sz w:val="22"/>
          <w:szCs w:val="22"/>
        </w:rPr>
      </w:pPr>
    </w:p>
    <w:p w14:paraId="04389FB3" w14:textId="77777777" w:rsidR="00E847F0" w:rsidRPr="004111BA" w:rsidRDefault="00E847F0" w:rsidP="00E847F0">
      <w:pPr>
        <w:jc w:val="center"/>
        <w:rPr>
          <w:rFonts w:cstheme="minorHAnsi"/>
          <w:sz w:val="22"/>
          <w:szCs w:val="22"/>
        </w:rPr>
      </w:pPr>
    </w:p>
    <w:p w14:paraId="0B533C52" w14:textId="77777777" w:rsidR="00E847F0" w:rsidRPr="004111BA" w:rsidRDefault="00E847F0" w:rsidP="00E847F0">
      <w:pPr>
        <w:jc w:val="center"/>
        <w:rPr>
          <w:rFonts w:cstheme="minorHAnsi"/>
          <w:sz w:val="22"/>
          <w:szCs w:val="22"/>
        </w:rPr>
      </w:pPr>
    </w:p>
    <w:p w14:paraId="133DC24D" w14:textId="77777777" w:rsidR="00E847F0" w:rsidRPr="004111BA" w:rsidRDefault="00E847F0" w:rsidP="00E847F0">
      <w:pPr>
        <w:jc w:val="center"/>
        <w:rPr>
          <w:rFonts w:cstheme="minorHAnsi"/>
          <w:sz w:val="22"/>
          <w:szCs w:val="22"/>
        </w:rPr>
      </w:pPr>
    </w:p>
    <w:p w14:paraId="4353B367" w14:textId="77777777" w:rsidR="00E847F0" w:rsidRPr="004111BA" w:rsidRDefault="00E847F0" w:rsidP="00E847F0">
      <w:pPr>
        <w:jc w:val="center"/>
        <w:rPr>
          <w:rFonts w:cstheme="minorHAnsi"/>
          <w:sz w:val="22"/>
          <w:szCs w:val="22"/>
        </w:rPr>
      </w:pPr>
    </w:p>
    <w:p w14:paraId="5071CA87" w14:textId="77777777" w:rsidR="00E847F0" w:rsidRPr="004111BA" w:rsidRDefault="00E847F0" w:rsidP="00E847F0">
      <w:pPr>
        <w:rPr>
          <w:rFonts w:cstheme="minorHAnsi"/>
          <w:sz w:val="22"/>
          <w:szCs w:val="22"/>
        </w:rPr>
      </w:pPr>
    </w:p>
    <w:p w14:paraId="38738B90" w14:textId="77777777" w:rsidR="00E847F0" w:rsidRPr="004111BA" w:rsidRDefault="00E847F0" w:rsidP="00E847F0">
      <w:pPr>
        <w:rPr>
          <w:rFonts w:cstheme="minorHAnsi"/>
          <w:sz w:val="22"/>
          <w:szCs w:val="22"/>
        </w:rPr>
      </w:pPr>
      <w:r w:rsidRPr="004111BA">
        <w:rPr>
          <w:rFonts w:cstheme="minorHAnsi"/>
          <w:sz w:val="22"/>
          <w:szCs w:val="22"/>
        </w:rPr>
        <w:br w:type="page"/>
      </w:r>
    </w:p>
    <w:p w14:paraId="43BDEA14" w14:textId="30FEF625" w:rsidR="00E847F0" w:rsidRPr="00000D4B" w:rsidRDefault="00E847F0" w:rsidP="00E847F0">
      <w:pPr>
        <w:ind w:left="1152" w:hanging="1152"/>
        <w:jc w:val="center"/>
        <w:rPr>
          <w:rFonts w:cstheme="minorHAnsi"/>
          <w:b/>
          <w:bCs/>
          <w:color w:val="6A7F0F"/>
          <w:sz w:val="22"/>
          <w:szCs w:val="22"/>
        </w:rPr>
      </w:pPr>
      <w:bookmarkStart w:id="126" w:name="Appendix6_Table_A62a"/>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.2a: Location of Behavioral Health Services by Place of Service Code </w:t>
      </w:r>
    </w:p>
    <w:p w14:paraId="47DB95FA" w14:textId="32F3508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Race/Ethnicity for CCBHC OHP Members</w:t>
      </w:r>
    </w:p>
    <w:bookmarkEnd w:id="126"/>
    <w:p w14:paraId="3B6518E5" w14:textId="77777777" w:rsidR="00E847F0" w:rsidRPr="00E847F0" w:rsidRDefault="00E847F0" w:rsidP="00E847F0">
      <w:pPr>
        <w:ind w:left="1152" w:hanging="1152"/>
        <w:jc w:val="center"/>
        <w:rPr>
          <w:rFonts w:cstheme="minorHAnsi"/>
          <w:sz w:val="22"/>
          <w:szCs w:val="22"/>
          <w:u w:val="single"/>
        </w:rPr>
      </w:pPr>
    </w:p>
    <w:p w14:paraId="296B1E69" w14:textId="0706DA2E" w:rsidR="00E847F0" w:rsidRDefault="00805EB4" w:rsidP="00E847F0">
      <w:pPr>
        <w:jc w:val="center"/>
        <w:rPr>
          <w:rFonts w:cstheme="minorHAnsi"/>
          <w:sz w:val="22"/>
          <w:szCs w:val="22"/>
        </w:rPr>
      </w:pPr>
      <w:r w:rsidRPr="004111BA">
        <w:rPr>
          <w:rFonts w:cstheme="minorHAnsi"/>
          <w:noProof/>
          <w:sz w:val="22"/>
          <w:szCs w:val="22"/>
        </w:rPr>
        <w:drawing>
          <wp:inline distT="0" distB="0" distL="0" distR="0" wp14:anchorId="2CECB80E" wp14:editId="4503639F">
            <wp:extent cx="5422705" cy="737783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26329" cy="7382761"/>
                    </a:xfrm>
                    <a:prstGeom prst="rect">
                      <a:avLst/>
                    </a:prstGeom>
                    <a:noFill/>
                    <a:ln>
                      <a:noFill/>
                    </a:ln>
                  </pic:spPr>
                </pic:pic>
              </a:graphicData>
            </a:graphic>
          </wp:inline>
        </w:drawing>
      </w:r>
      <w:r w:rsidR="00E847F0">
        <w:rPr>
          <w:rFonts w:cstheme="minorHAnsi"/>
          <w:sz w:val="22"/>
          <w:szCs w:val="22"/>
        </w:rPr>
        <w:br w:type="page"/>
      </w:r>
    </w:p>
    <w:p w14:paraId="0D7A6EF3" w14:textId="693E1694" w:rsidR="00E847F0" w:rsidRPr="00000D4B" w:rsidRDefault="00E847F0" w:rsidP="00E847F0">
      <w:pPr>
        <w:ind w:left="1152" w:hanging="1152"/>
        <w:jc w:val="center"/>
        <w:rPr>
          <w:rFonts w:cstheme="minorHAnsi"/>
          <w:b/>
          <w:bCs/>
          <w:color w:val="6A7F0F"/>
          <w:sz w:val="22"/>
          <w:szCs w:val="22"/>
        </w:rPr>
      </w:pPr>
      <w:bookmarkStart w:id="127" w:name="Appendix6_Table_A62b"/>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.2b: Location of Behavioral Health Services by Place of Service Code </w:t>
      </w:r>
    </w:p>
    <w:p w14:paraId="51B0F8C2" w14:textId="072FD5FA"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Place of Residence for CCBHC OHP Members</w:t>
      </w:r>
    </w:p>
    <w:bookmarkEnd w:id="127"/>
    <w:p w14:paraId="51308A8C" w14:textId="77777777" w:rsidR="00E847F0" w:rsidRPr="00E847F0" w:rsidRDefault="00E847F0" w:rsidP="00E847F0">
      <w:pPr>
        <w:ind w:left="1152" w:hanging="1152"/>
        <w:jc w:val="center"/>
        <w:rPr>
          <w:rFonts w:cstheme="minorHAnsi"/>
          <w:sz w:val="22"/>
          <w:szCs w:val="22"/>
          <w:u w:val="single"/>
        </w:rPr>
      </w:pPr>
    </w:p>
    <w:p w14:paraId="0563893B" w14:textId="58545A2E" w:rsidR="00E847F0" w:rsidRPr="004C66D9" w:rsidRDefault="00805EB4" w:rsidP="00E847F0">
      <w:pPr>
        <w:jc w:val="center"/>
        <w:rPr>
          <w:rFonts w:cstheme="minorHAnsi"/>
          <w:sz w:val="22"/>
          <w:szCs w:val="22"/>
        </w:rPr>
      </w:pPr>
      <w:r w:rsidRPr="004111BA">
        <w:rPr>
          <w:rFonts w:cstheme="minorHAnsi"/>
          <w:noProof/>
          <w:sz w:val="22"/>
          <w:szCs w:val="22"/>
        </w:rPr>
        <w:drawing>
          <wp:inline distT="0" distB="0" distL="0" distR="0" wp14:anchorId="37146C94" wp14:editId="4FF1A607">
            <wp:extent cx="3150807" cy="744046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53473" cy="7446757"/>
                    </a:xfrm>
                    <a:prstGeom prst="rect">
                      <a:avLst/>
                    </a:prstGeom>
                    <a:noFill/>
                    <a:ln>
                      <a:noFill/>
                    </a:ln>
                  </pic:spPr>
                </pic:pic>
              </a:graphicData>
            </a:graphic>
          </wp:inline>
        </w:drawing>
      </w:r>
      <w:r w:rsidR="00E847F0" w:rsidRPr="004C66D9">
        <w:rPr>
          <w:rFonts w:cstheme="minorHAnsi"/>
          <w:sz w:val="22"/>
          <w:szCs w:val="22"/>
        </w:rPr>
        <w:br w:type="page"/>
      </w:r>
    </w:p>
    <w:p w14:paraId="56945394" w14:textId="0C7D3621" w:rsidR="00E847F0" w:rsidRPr="00000D4B" w:rsidRDefault="00E847F0" w:rsidP="00E847F0">
      <w:pPr>
        <w:ind w:left="1152" w:hanging="1152"/>
        <w:jc w:val="center"/>
        <w:rPr>
          <w:rFonts w:cstheme="minorHAnsi"/>
          <w:b/>
          <w:bCs/>
          <w:color w:val="6A7F0F"/>
          <w:sz w:val="22"/>
          <w:szCs w:val="22"/>
        </w:rPr>
      </w:pPr>
      <w:bookmarkStart w:id="128" w:name="Appendix6_Table_A63a"/>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.3a: Distribution of Behavioral Health Services by CCBHC Service Type </w:t>
      </w:r>
    </w:p>
    <w:p w14:paraId="135748FC"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Race/Ethnicity for CCBHC OHP Members</w:t>
      </w:r>
    </w:p>
    <w:bookmarkEnd w:id="128"/>
    <w:p w14:paraId="16979476" w14:textId="77777777" w:rsidR="00E847F0" w:rsidRPr="004C66D9" w:rsidRDefault="00E847F0" w:rsidP="00E847F0">
      <w:pPr>
        <w:jc w:val="center"/>
        <w:rPr>
          <w:rFonts w:cstheme="minorHAnsi"/>
          <w:sz w:val="22"/>
          <w:szCs w:val="22"/>
        </w:rPr>
      </w:pPr>
    </w:p>
    <w:p w14:paraId="50272D16" w14:textId="72A10143" w:rsidR="00E847F0" w:rsidRPr="004C66D9" w:rsidRDefault="00805EB4" w:rsidP="00E847F0">
      <w:pPr>
        <w:rPr>
          <w:rFonts w:cstheme="minorHAnsi"/>
          <w:sz w:val="22"/>
          <w:szCs w:val="22"/>
        </w:rPr>
      </w:pPr>
      <w:r w:rsidRPr="004C66D9">
        <w:rPr>
          <w:rFonts w:cstheme="minorHAnsi"/>
          <w:noProof/>
          <w:sz w:val="22"/>
          <w:szCs w:val="22"/>
        </w:rPr>
        <w:drawing>
          <wp:inline distT="0" distB="0" distL="0" distR="0" wp14:anchorId="25BA6D3D" wp14:editId="7BFD8769">
            <wp:extent cx="5943411" cy="52006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6918" cy="5203719"/>
                    </a:xfrm>
                    <a:prstGeom prst="rect">
                      <a:avLst/>
                    </a:prstGeom>
                    <a:noFill/>
                    <a:ln>
                      <a:noFill/>
                    </a:ln>
                  </pic:spPr>
                </pic:pic>
              </a:graphicData>
            </a:graphic>
          </wp:inline>
        </w:drawing>
      </w:r>
    </w:p>
    <w:p w14:paraId="09F98401" w14:textId="77777777" w:rsidR="00E847F0" w:rsidRPr="004C66D9" w:rsidRDefault="00E847F0" w:rsidP="00E847F0">
      <w:pPr>
        <w:rPr>
          <w:rFonts w:cstheme="minorHAnsi"/>
          <w:sz w:val="22"/>
          <w:szCs w:val="22"/>
        </w:rPr>
      </w:pPr>
    </w:p>
    <w:p w14:paraId="4449DA21" w14:textId="77777777" w:rsidR="00E847F0" w:rsidRPr="004C66D9" w:rsidRDefault="00E847F0" w:rsidP="00E847F0">
      <w:pPr>
        <w:jc w:val="center"/>
        <w:rPr>
          <w:rFonts w:cstheme="minorHAnsi"/>
          <w:sz w:val="22"/>
          <w:szCs w:val="22"/>
        </w:rPr>
      </w:pPr>
    </w:p>
    <w:p w14:paraId="6041ED91" w14:textId="77777777" w:rsidR="00E847F0" w:rsidRPr="004C66D9" w:rsidRDefault="00E847F0" w:rsidP="00E847F0">
      <w:pPr>
        <w:jc w:val="center"/>
        <w:rPr>
          <w:rFonts w:cstheme="minorHAnsi"/>
          <w:sz w:val="22"/>
          <w:szCs w:val="22"/>
        </w:rPr>
      </w:pPr>
    </w:p>
    <w:p w14:paraId="5C43BBC0" w14:textId="77777777" w:rsidR="00E847F0" w:rsidRPr="004C66D9" w:rsidRDefault="00E847F0" w:rsidP="00E847F0">
      <w:pPr>
        <w:jc w:val="center"/>
        <w:rPr>
          <w:rFonts w:cstheme="minorHAnsi"/>
          <w:sz w:val="22"/>
          <w:szCs w:val="22"/>
        </w:rPr>
      </w:pPr>
    </w:p>
    <w:p w14:paraId="2D869A0E" w14:textId="77777777" w:rsidR="00E847F0" w:rsidRPr="004C66D9" w:rsidRDefault="00E847F0" w:rsidP="00E847F0">
      <w:pPr>
        <w:jc w:val="center"/>
        <w:rPr>
          <w:rFonts w:cstheme="minorHAnsi"/>
          <w:sz w:val="22"/>
          <w:szCs w:val="22"/>
        </w:rPr>
      </w:pPr>
    </w:p>
    <w:p w14:paraId="1FD0D4BE" w14:textId="77777777" w:rsidR="00E847F0" w:rsidRPr="004C66D9" w:rsidRDefault="00E847F0" w:rsidP="00E847F0">
      <w:pPr>
        <w:jc w:val="center"/>
        <w:rPr>
          <w:rFonts w:cstheme="minorHAnsi"/>
          <w:sz w:val="22"/>
          <w:szCs w:val="22"/>
        </w:rPr>
      </w:pPr>
    </w:p>
    <w:p w14:paraId="297E45B5" w14:textId="77777777" w:rsidR="00E847F0" w:rsidRPr="004C66D9" w:rsidRDefault="00E847F0" w:rsidP="00E847F0">
      <w:pPr>
        <w:jc w:val="center"/>
        <w:rPr>
          <w:rFonts w:cstheme="minorHAnsi"/>
          <w:sz w:val="22"/>
          <w:szCs w:val="22"/>
        </w:rPr>
      </w:pPr>
    </w:p>
    <w:p w14:paraId="6C44EB92" w14:textId="77777777" w:rsidR="00E847F0" w:rsidRPr="004C66D9" w:rsidRDefault="00E847F0" w:rsidP="00E847F0">
      <w:pPr>
        <w:jc w:val="center"/>
        <w:rPr>
          <w:rFonts w:cstheme="minorHAnsi"/>
          <w:sz w:val="22"/>
          <w:szCs w:val="22"/>
        </w:rPr>
      </w:pPr>
    </w:p>
    <w:p w14:paraId="2B0E306F" w14:textId="77777777" w:rsidR="00E847F0" w:rsidRPr="004C66D9" w:rsidRDefault="00E847F0" w:rsidP="00E847F0">
      <w:pPr>
        <w:jc w:val="center"/>
        <w:rPr>
          <w:rFonts w:cstheme="minorHAnsi"/>
          <w:sz w:val="22"/>
          <w:szCs w:val="22"/>
        </w:rPr>
      </w:pPr>
    </w:p>
    <w:p w14:paraId="5A64D77B" w14:textId="77777777" w:rsidR="00E847F0" w:rsidRPr="004C66D9" w:rsidRDefault="00E847F0" w:rsidP="00E847F0">
      <w:pPr>
        <w:jc w:val="center"/>
        <w:rPr>
          <w:rFonts w:cstheme="minorHAnsi"/>
          <w:sz w:val="22"/>
          <w:szCs w:val="22"/>
        </w:rPr>
      </w:pPr>
    </w:p>
    <w:p w14:paraId="69AB7C9F" w14:textId="77777777" w:rsidR="00E847F0" w:rsidRPr="004C66D9" w:rsidRDefault="00E847F0" w:rsidP="00E847F0">
      <w:pPr>
        <w:jc w:val="center"/>
        <w:rPr>
          <w:rFonts w:cstheme="minorHAnsi"/>
          <w:sz w:val="22"/>
          <w:szCs w:val="22"/>
        </w:rPr>
      </w:pPr>
    </w:p>
    <w:p w14:paraId="72D8D206" w14:textId="77777777" w:rsidR="00E847F0" w:rsidRPr="004C66D9" w:rsidRDefault="00E847F0" w:rsidP="00E847F0">
      <w:pPr>
        <w:jc w:val="center"/>
        <w:rPr>
          <w:rFonts w:cstheme="minorHAnsi"/>
          <w:sz w:val="22"/>
          <w:szCs w:val="22"/>
        </w:rPr>
      </w:pPr>
    </w:p>
    <w:p w14:paraId="4A854DB6" w14:textId="77777777" w:rsidR="00E847F0" w:rsidRPr="004C66D9" w:rsidRDefault="00E847F0" w:rsidP="00E847F0">
      <w:pPr>
        <w:rPr>
          <w:rFonts w:cstheme="minorHAnsi"/>
          <w:sz w:val="22"/>
          <w:szCs w:val="22"/>
        </w:rPr>
      </w:pPr>
      <w:r w:rsidRPr="004C66D9">
        <w:rPr>
          <w:rFonts w:cstheme="minorHAnsi"/>
          <w:sz w:val="22"/>
          <w:szCs w:val="22"/>
        </w:rPr>
        <w:br w:type="page"/>
      </w:r>
    </w:p>
    <w:p w14:paraId="770324CB" w14:textId="19E50A60" w:rsidR="00E847F0" w:rsidRPr="00000D4B" w:rsidRDefault="00E847F0" w:rsidP="00E847F0">
      <w:pPr>
        <w:ind w:left="1152" w:hanging="1152"/>
        <w:jc w:val="center"/>
        <w:rPr>
          <w:rFonts w:cstheme="minorHAnsi"/>
          <w:b/>
          <w:bCs/>
          <w:color w:val="6A7F0F"/>
          <w:sz w:val="22"/>
          <w:szCs w:val="22"/>
        </w:rPr>
      </w:pPr>
      <w:bookmarkStart w:id="129" w:name="Appendix6_Table_A63b"/>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.3b: Distribution of Behavioral Health Services by CCBHC Service Type </w:t>
      </w:r>
    </w:p>
    <w:p w14:paraId="4EA76C3E"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Place of Residence for CCBHC OHP Members</w:t>
      </w:r>
    </w:p>
    <w:bookmarkEnd w:id="129"/>
    <w:p w14:paraId="07F060F7" w14:textId="77777777" w:rsidR="00E847F0" w:rsidRPr="004C66D9" w:rsidRDefault="00E847F0" w:rsidP="00E847F0">
      <w:pPr>
        <w:rPr>
          <w:rFonts w:cstheme="minorHAnsi"/>
          <w:sz w:val="22"/>
          <w:szCs w:val="22"/>
        </w:rPr>
      </w:pPr>
    </w:p>
    <w:p w14:paraId="2BC4A06D" w14:textId="77777777" w:rsidR="00E847F0" w:rsidRPr="004C66D9" w:rsidRDefault="00E847F0" w:rsidP="00E847F0">
      <w:pPr>
        <w:rPr>
          <w:rFonts w:cstheme="minorHAnsi"/>
          <w:sz w:val="22"/>
          <w:szCs w:val="22"/>
        </w:rPr>
      </w:pPr>
    </w:p>
    <w:tbl>
      <w:tblPr>
        <w:tblW w:w="0" w:type="auto"/>
        <w:jc w:val="center"/>
        <w:tblLayout w:type="fixed"/>
        <w:tblLook w:val="0000" w:firstRow="0" w:lastRow="0" w:firstColumn="0" w:lastColumn="0" w:noHBand="0" w:noVBand="0"/>
      </w:tblPr>
      <w:tblGrid>
        <w:gridCol w:w="3900"/>
        <w:gridCol w:w="1032"/>
        <w:gridCol w:w="1032"/>
        <w:gridCol w:w="1032"/>
        <w:gridCol w:w="1032"/>
      </w:tblGrid>
      <w:tr w:rsidR="00805EB4" w:rsidRPr="00E60BC4" w14:paraId="5A745AC1" w14:textId="77777777" w:rsidTr="00E72162">
        <w:trPr>
          <w:trHeight w:val="290"/>
          <w:jc w:val="center"/>
        </w:trPr>
        <w:tc>
          <w:tcPr>
            <w:tcW w:w="3900" w:type="dxa"/>
            <w:tcBorders>
              <w:top w:val="nil"/>
              <w:left w:val="nil"/>
              <w:bottom w:val="nil"/>
              <w:right w:val="nil"/>
            </w:tcBorders>
          </w:tcPr>
          <w:p w14:paraId="4AC8EFBD"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p>
        </w:tc>
        <w:tc>
          <w:tcPr>
            <w:tcW w:w="1032" w:type="dxa"/>
            <w:tcBorders>
              <w:top w:val="nil"/>
              <w:left w:val="nil"/>
              <w:bottom w:val="nil"/>
              <w:right w:val="nil"/>
            </w:tcBorders>
          </w:tcPr>
          <w:p w14:paraId="19A2068C"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77E1D703"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p>
        </w:tc>
        <w:tc>
          <w:tcPr>
            <w:tcW w:w="1032" w:type="dxa"/>
            <w:tcBorders>
              <w:top w:val="nil"/>
              <w:left w:val="nil"/>
              <w:bottom w:val="nil"/>
              <w:right w:val="nil"/>
            </w:tcBorders>
          </w:tcPr>
          <w:p w14:paraId="2E028A19"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p>
        </w:tc>
        <w:tc>
          <w:tcPr>
            <w:tcW w:w="1032" w:type="dxa"/>
            <w:tcBorders>
              <w:top w:val="nil"/>
              <w:left w:val="nil"/>
              <w:bottom w:val="nil"/>
              <w:right w:val="nil"/>
            </w:tcBorders>
          </w:tcPr>
          <w:p w14:paraId="3278AC3C"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p>
        </w:tc>
      </w:tr>
      <w:tr w:rsidR="00805EB4" w:rsidRPr="00E60BC4" w14:paraId="0985F1D7" w14:textId="77777777" w:rsidTr="00E72162">
        <w:trPr>
          <w:trHeight w:val="290"/>
          <w:jc w:val="center"/>
        </w:trPr>
        <w:tc>
          <w:tcPr>
            <w:tcW w:w="3900" w:type="dxa"/>
            <w:tcBorders>
              <w:top w:val="nil"/>
              <w:left w:val="nil"/>
              <w:bottom w:val="single" w:sz="6" w:space="0" w:color="auto"/>
              <w:right w:val="nil"/>
            </w:tcBorders>
          </w:tcPr>
          <w:p w14:paraId="3CCA799A"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CCCBHC Service Types</w:t>
            </w:r>
          </w:p>
        </w:tc>
        <w:tc>
          <w:tcPr>
            <w:tcW w:w="1032" w:type="dxa"/>
            <w:tcBorders>
              <w:top w:val="nil"/>
              <w:left w:val="nil"/>
              <w:bottom w:val="single" w:sz="6" w:space="0" w:color="auto"/>
              <w:right w:val="nil"/>
            </w:tcBorders>
          </w:tcPr>
          <w:p w14:paraId="3EA7DA78"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4874F90C"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4A8317D4"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Rural</w:t>
            </w:r>
          </w:p>
        </w:tc>
        <w:tc>
          <w:tcPr>
            <w:tcW w:w="1032" w:type="dxa"/>
            <w:tcBorders>
              <w:top w:val="nil"/>
              <w:left w:val="nil"/>
              <w:bottom w:val="single" w:sz="6" w:space="0" w:color="auto"/>
              <w:right w:val="nil"/>
            </w:tcBorders>
          </w:tcPr>
          <w:p w14:paraId="2235EB05"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Remote</w:t>
            </w:r>
          </w:p>
        </w:tc>
      </w:tr>
      <w:tr w:rsidR="00805EB4" w:rsidRPr="00E60BC4" w14:paraId="49712300" w14:textId="77777777" w:rsidTr="00E72162">
        <w:trPr>
          <w:trHeight w:val="290"/>
          <w:jc w:val="center"/>
        </w:trPr>
        <w:tc>
          <w:tcPr>
            <w:tcW w:w="3900" w:type="dxa"/>
            <w:tcBorders>
              <w:top w:val="nil"/>
              <w:left w:val="nil"/>
              <w:bottom w:val="nil"/>
              <w:right w:val="nil"/>
            </w:tcBorders>
          </w:tcPr>
          <w:p w14:paraId="729B8278"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Crisis Services</w:t>
            </w:r>
          </w:p>
        </w:tc>
        <w:tc>
          <w:tcPr>
            <w:tcW w:w="1032" w:type="dxa"/>
            <w:tcBorders>
              <w:top w:val="nil"/>
              <w:left w:val="nil"/>
              <w:bottom w:val="nil"/>
              <w:right w:val="nil"/>
            </w:tcBorders>
          </w:tcPr>
          <w:p w14:paraId="52E92CBB"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665D49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B991905"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B6193D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41ED86B7" w14:textId="77777777" w:rsidTr="00E72162">
        <w:trPr>
          <w:trHeight w:val="290"/>
          <w:jc w:val="center"/>
        </w:trPr>
        <w:tc>
          <w:tcPr>
            <w:tcW w:w="3900" w:type="dxa"/>
            <w:tcBorders>
              <w:top w:val="nil"/>
              <w:left w:val="nil"/>
              <w:bottom w:val="nil"/>
              <w:right w:val="nil"/>
            </w:tcBorders>
          </w:tcPr>
          <w:p w14:paraId="1458A1ED"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2748BC4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0.8%</w:t>
            </w:r>
          </w:p>
        </w:tc>
        <w:tc>
          <w:tcPr>
            <w:tcW w:w="1032" w:type="dxa"/>
            <w:tcBorders>
              <w:top w:val="nil"/>
              <w:left w:val="nil"/>
              <w:bottom w:val="nil"/>
              <w:right w:val="nil"/>
            </w:tcBorders>
          </w:tcPr>
          <w:p w14:paraId="2C6C4FC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0.6%</w:t>
            </w:r>
          </w:p>
        </w:tc>
        <w:tc>
          <w:tcPr>
            <w:tcW w:w="1032" w:type="dxa"/>
            <w:tcBorders>
              <w:top w:val="nil"/>
              <w:left w:val="nil"/>
              <w:bottom w:val="nil"/>
              <w:right w:val="nil"/>
            </w:tcBorders>
          </w:tcPr>
          <w:p w14:paraId="523C760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w:t>
            </w:r>
          </w:p>
        </w:tc>
        <w:tc>
          <w:tcPr>
            <w:tcW w:w="1032" w:type="dxa"/>
            <w:tcBorders>
              <w:top w:val="nil"/>
              <w:left w:val="nil"/>
              <w:bottom w:val="nil"/>
              <w:right w:val="nil"/>
            </w:tcBorders>
          </w:tcPr>
          <w:p w14:paraId="7488DF5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0.8%</w:t>
            </w:r>
          </w:p>
        </w:tc>
      </w:tr>
      <w:tr w:rsidR="00805EB4" w:rsidRPr="00E60BC4" w14:paraId="1F9A3994" w14:textId="77777777" w:rsidTr="00E72162">
        <w:trPr>
          <w:trHeight w:val="290"/>
          <w:jc w:val="center"/>
        </w:trPr>
        <w:tc>
          <w:tcPr>
            <w:tcW w:w="3900" w:type="dxa"/>
            <w:tcBorders>
              <w:top w:val="nil"/>
              <w:left w:val="nil"/>
              <w:bottom w:val="nil"/>
              <w:right w:val="nil"/>
            </w:tcBorders>
          </w:tcPr>
          <w:p w14:paraId="5056009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0E622A4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w:t>
            </w:r>
          </w:p>
        </w:tc>
        <w:tc>
          <w:tcPr>
            <w:tcW w:w="1032" w:type="dxa"/>
            <w:tcBorders>
              <w:top w:val="nil"/>
              <w:left w:val="nil"/>
              <w:bottom w:val="nil"/>
              <w:right w:val="nil"/>
            </w:tcBorders>
          </w:tcPr>
          <w:p w14:paraId="66FBC153"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0.7%</w:t>
            </w:r>
          </w:p>
        </w:tc>
        <w:tc>
          <w:tcPr>
            <w:tcW w:w="1032" w:type="dxa"/>
            <w:tcBorders>
              <w:top w:val="nil"/>
              <w:left w:val="nil"/>
              <w:bottom w:val="nil"/>
              <w:right w:val="nil"/>
            </w:tcBorders>
          </w:tcPr>
          <w:p w14:paraId="6334727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w:t>
            </w:r>
          </w:p>
        </w:tc>
        <w:tc>
          <w:tcPr>
            <w:tcW w:w="1032" w:type="dxa"/>
            <w:tcBorders>
              <w:top w:val="nil"/>
              <w:left w:val="nil"/>
              <w:bottom w:val="nil"/>
              <w:right w:val="nil"/>
            </w:tcBorders>
          </w:tcPr>
          <w:p w14:paraId="6E17BC2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0.9%</w:t>
            </w:r>
          </w:p>
        </w:tc>
      </w:tr>
      <w:tr w:rsidR="00805EB4" w:rsidRPr="00E60BC4" w14:paraId="401E5787" w14:textId="77777777" w:rsidTr="00E72162">
        <w:trPr>
          <w:trHeight w:val="290"/>
          <w:jc w:val="center"/>
        </w:trPr>
        <w:tc>
          <w:tcPr>
            <w:tcW w:w="3900" w:type="dxa"/>
            <w:tcBorders>
              <w:top w:val="nil"/>
              <w:left w:val="nil"/>
              <w:bottom w:val="nil"/>
              <w:right w:val="nil"/>
            </w:tcBorders>
          </w:tcPr>
          <w:p w14:paraId="7A9F9DB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58730D43"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w:t>
            </w:r>
          </w:p>
        </w:tc>
        <w:tc>
          <w:tcPr>
            <w:tcW w:w="1032" w:type="dxa"/>
            <w:tcBorders>
              <w:top w:val="nil"/>
              <w:left w:val="nil"/>
              <w:bottom w:val="nil"/>
              <w:right w:val="nil"/>
            </w:tcBorders>
          </w:tcPr>
          <w:p w14:paraId="50D0A6C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0.9%</w:t>
            </w:r>
          </w:p>
        </w:tc>
        <w:tc>
          <w:tcPr>
            <w:tcW w:w="1032" w:type="dxa"/>
            <w:tcBorders>
              <w:top w:val="nil"/>
              <w:left w:val="nil"/>
              <w:bottom w:val="nil"/>
              <w:right w:val="nil"/>
            </w:tcBorders>
          </w:tcPr>
          <w:p w14:paraId="6F9AAED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1.5%</w:t>
            </w:r>
          </w:p>
        </w:tc>
        <w:tc>
          <w:tcPr>
            <w:tcW w:w="1032" w:type="dxa"/>
            <w:tcBorders>
              <w:top w:val="nil"/>
              <w:left w:val="nil"/>
              <w:bottom w:val="nil"/>
              <w:right w:val="nil"/>
            </w:tcBorders>
          </w:tcPr>
          <w:p w14:paraId="1C31DE0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w:t>
            </w:r>
          </w:p>
        </w:tc>
      </w:tr>
      <w:tr w:rsidR="00805EB4" w:rsidRPr="00E60BC4" w14:paraId="4BC64104" w14:textId="77777777" w:rsidTr="00E72162">
        <w:trPr>
          <w:trHeight w:val="290"/>
          <w:jc w:val="center"/>
        </w:trPr>
        <w:tc>
          <w:tcPr>
            <w:tcW w:w="3900" w:type="dxa"/>
            <w:tcBorders>
              <w:top w:val="nil"/>
              <w:left w:val="nil"/>
              <w:bottom w:val="nil"/>
              <w:right w:val="nil"/>
            </w:tcBorders>
          </w:tcPr>
          <w:p w14:paraId="6710B25A"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Outpatient MH &amp; SUD Services</w:t>
            </w:r>
          </w:p>
        </w:tc>
        <w:tc>
          <w:tcPr>
            <w:tcW w:w="1032" w:type="dxa"/>
            <w:tcBorders>
              <w:top w:val="nil"/>
              <w:left w:val="nil"/>
              <w:bottom w:val="nil"/>
              <w:right w:val="nil"/>
            </w:tcBorders>
          </w:tcPr>
          <w:p w14:paraId="06971E82"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E7A25B5"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F0591B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3B3977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31B76469" w14:textId="77777777" w:rsidTr="00E72162">
        <w:trPr>
          <w:trHeight w:val="290"/>
          <w:jc w:val="center"/>
        </w:trPr>
        <w:tc>
          <w:tcPr>
            <w:tcW w:w="3900" w:type="dxa"/>
            <w:tcBorders>
              <w:top w:val="nil"/>
              <w:left w:val="nil"/>
              <w:bottom w:val="nil"/>
              <w:right w:val="nil"/>
            </w:tcBorders>
          </w:tcPr>
          <w:p w14:paraId="0FB9044F"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47E6F39C"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54.5%</w:t>
            </w:r>
          </w:p>
        </w:tc>
        <w:tc>
          <w:tcPr>
            <w:tcW w:w="1032" w:type="dxa"/>
            <w:tcBorders>
              <w:top w:val="nil"/>
              <w:left w:val="nil"/>
              <w:bottom w:val="nil"/>
              <w:right w:val="nil"/>
            </w:tcBorders>
          </w:tcPr>
          <w:p w14:paraId="021C8842"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53.8%</w:t>
            </w:r>
          </w:p>
        </w:tc>
        <w:tc>
          <w:tcPr>
            <w:tcW w:w="1032" w:type="dxa"/>
            <w:tcBorders>
              <w:top w:val="nil"/>
              <w:left w:val="nil"/>
              <w:bottom w:val="nil"/>
              <w:right w:val="nil"/>
            </w:tcBorders>
          </w:tcPr>
          <w:p w14:paraId="1BA404A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56.0%</w:t>
            </w:r>
          </w:p>
        </w:tc>
        <w:tc>
          <w:tcPr>
            <w:tcW w:w="1032" w:type="dxa"/>
            <w:tcBorders>
              <w:top w:val="nil"/>
              <w:left w:val="nil"/>
              <w:bottom w:val="nil"/>
              <w:right w:val="nil"/>
            </w:tcBorders>
          </w:tcPr>
          <w:p w14:paraId="7E522DE3"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49.1%</w:t>
            </w:r>
          </w:p>
        </w:tc>
      </w:tr>
      <w:tr w:rsidR="00805EB4" w:rsidRPr="00E60BC4" w14:paraId="7E5EEEC0" w14:textId="77777777" w:rsidTr="00E72162">
        <w:trPr>
          <w:trHeight w:val="290"/>
          <w:jc w:val="center"/>
        </w:trPr>
        <w:tc>
          <w:tcPr>
            <w:tcW w:w="3900" w:type="dxa"/>
            <w:tcBorders>
              <w:top w:val="nil"/>
              <w:left w:val="nil"/>
              <w:bottom w:val="nil"/>
              <w:right w:val="nil"/>
            </w:tcBorders>
          </w:tcPr>
          <w:p w14:paraId="6393EF3A"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3D4D712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54.6%</w:t>
            </w:r>
          </w:p>
        </w:tc>
        <w:tc>
          <w:tcPr>
            <w:tcW w:w="1032" w:type="dxa"/>
            <w:tcBorders>
              <w:top w:val="nil"/>
              <w:left w:val="nil"/>
              <w:bottom w:val="nil"/>
              <w:right w:val="nil"/>
            </w:tcBorders>
          </w:tcPr>
          <w:p w14:paraId="5EFB441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54.6%</w:t>
            </w:r>
          </w:p>
        </w:tc>
        <w:tc>
          <w:tcPr>
            <w:tcW w:w="1032" w:type="dxa"/>
            <w:tcBorders>
              <w:top w:val="nil"/>
              <w:left w:val="nil"/>
              <w:bottom w:val="nil"/>
              <w:right w:val="nil"/>
            </w:tcBorders>
          </w:tcPr>
          <w:p w14:paraId="686F9BB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55.6%</w:t>
            </w:r>
          </w:p>
        </w:tc>
        <w:tc>
          <w:tcPr>
            <w:tcW w:w="1032" w:type="dxa"/>
            <w:tcBorders>
              <w:top w:val="nil"/>
              <w:left w:val="nil"/>
              <w:bottom w:val="nil"/>
              <w:right w:val="nil"/>
            </w:tcBorders>
          </w:tcPr>
          <w:p w14:paraId="1CB59D4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45.4%</w:t>
            </w:r>
          </w:p>
        </w:tc>
      </w:tr>
      <w:tr w:rsidR="00805EB4" w:rsidRPr="00E60BC4" w14:paraId="24082C5A" w14:textId="77777777" w:rsidTr="00E72162">
        <w:trPr>
          <w:trHeight w:val="290"/>
          <w:jc w:val="center"/>
        </w:trPr>
        <w:tc>
          <w:tcPr>
            <w:tcW w:w="3900" w:type="dxa"/>
            <w:tcBorders>
              <w:top w:val="nil"/>
              <w:left w:val="nil"/>
              <w:bottom w:val="nil"/>
              <w:right w:val="nil"/>
            </w:tcBorders>
          </w:tcPr>
          <w:p w14:paraId="1AFA2CA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0A906BC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51.4%</w:t>
            </w:r>
          </w:p>
        </w:tc>
        <w:tc>
          <w:tcPr>
            <w:tcW w:w="1032" w:type="dxa"/>
            <w:tcBorders>
              <w:top w:val="nil"/>
              <w:left w:val="nil"/>
              <w:bottom w:val="nil"/>
              <w:right w:val="nil"/>
            </w:tcBorders>
          </w:tcPr>
          <w:p w14:paraId="618341A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53.9%</w:t>
            </w:r>
          </w:p>
        </w:tc>
        <w:tc>
          <w:tcPr>
            <w:tcW w:w="1032" w:type="dxa"/>
            <w:tcBorders>
              <w:top w:val="nil"/>
              <w:left w:val="nil"/>
              <w:bottom w:val="nil"/>
              <w:right w:val="nil"/>
            </w:tcBorders>
          </w:tcPr>
          <w:p w14:paraId="037987E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49.0%</w:t>
            </w:r>
          </w:p>
        </w:tc>
        <w:tc>
          <w:tcPr>
            <w:tcW w:w="1032" w:type="dxa"/>
            <w:tcBorders>
              <w:top w:val="nil"/>
              <w:left w:val="nil"/>
              <w:bottom w:val="nil"/>
              <w:right w:val="nil"/>
            </w:tcBorders>
          </w:tcPr>
          <w:p w14:paraId="685F1DD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41.3%</w:t>
            </w:r>
          </w:p>
        </w:tc>
      </w:tr>
      <w:tr w:rsidR="00805EB4" w:rsidRPr="00E60BC4" w14:paraId="645CB21C" w14:textId="77777777" w:rsidTr="00E72162">
        <w:trPr>
          <w:trHeight w:val="290"/>
          <w:jc w:val="center"/>
        </w:trPr>
        <w:tc>
          <w:tcPr>
            <w:tcW w:w="3900" w:type="dxa"/>
            <w:tcBorders>
              <w:top w:val="nil"/>
              <w:left w:val="nil"/>
              <w:bottom w:val="nil"/>
              <w:right w:val="nil"/>
            </w:tcBorders>
          </w:tcPr>
          <w:p w14:paraId="689A4678"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018E584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CDCE70B"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1986FA2"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FFF6899"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5B08514E" w14:textId="77777777" w:rsidTr="00E72162">
        <w:trPr>
          <w:trHeight w:val="290"/>
          <w:jc w:val="center"/>
        </w:trPr>
        <w:tc>
          <w:tcPr>
            <w:tcW w:w="3900" w:type="dxa"/>
            <w:tcBorders>
              <w:top w:val="nil"/>
              <w:left w:val="nil"/>
              <w:bottom w:val="nil"/>
              <w:right w:val="nil"/>
            </w:tcBorders>
          </w:tcPr>
          <w:p w14:paraId="5329D807"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0751680D"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7.7%</w:t>
            </w:r>
          </w:p>
        </w:tc>
        <w:tc>
          <w:tcPr>
            <w:tcW w:w="1032" w:type="dxa"/>
            <w:tcBorders>
              <w:top w:val="nil"/>
              <w:left w:val="nil"/>
              <w:bottom w:val="nil"/>
              <w:right w:val="nil"/>
            </w:tcBorders>
          </w:tcPr>
          <w:p w14:paraId="5911769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8.2%</w:t>
            </w:r>
          </w:p>
        </w:tc>
        <w:tc>
          <w:tcPr>
            <w:tcW w:w="1032" w:type="dxa"/>
            <w:tcBorders>
              <w:top w:val="nil"/>
              <w:left w:val="nil"/>
              <w:bottom w:val="nil"/>
              <w:right w:val="nil"/>
            </w:tcBorders>
          </w:tcPr>
          <w:p w14:paraId="0DFF5DB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7.3%</w:t>
            </w:r>
          </w:p>
        </w:tc>
        <w:tc>
          <w:tcPr>
            <w:tcW w:w="1032" w:type="dxa"/>
            <w:tcBorders>
              <w:top w:val="nil"/>
              <w:left w:val="nil"/>
              <w:bottom w:val="nil"/>
              <w:right w:val="nil"/>
            </w:tcBorders>
          </w:tcPr>
          <w:p w14:paraId="18BB0DAC"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3.3%</w:t>
            </w:r>
          </w:p>
        </w:tc>
      </w:tr>
      <w:tr w:rsidR="00805EB4" w:rsidRPr="00E60BC4" w14:paraId="72A9E0D2" w14:textId="77777777" w:rsidTr="00E72162">
        <w:trPr>
          <w:trHeight w:val="290"/>
          <w:jc w:val="center"/>
        </w:trPr>
        <w:tc>
          <w:tcPr>
            <w:tcW w:w="3900" w:type="dxa"/>
            <w:tcBorders>
              <w:top w:val="nil"/>
              <w:left w:val="nil"/>
              <w:bottom w:val="nil"/>
              <w:right w:val="nil"/>
            </w:tcBorders>
          </w:tcPr>
          <w:p w14:paraId="692404A9"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25D3B3B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7.0%</w:t>
            </w:r>
          </w:p>
        </w:tc>
        <w:tc>
          <w:tcPr>
            <w:tcW w:w="1032" w:type="dxa"/>
            <w:tcBorders>
              <w:top w:val="nil"/>
              <w:left w:val="nil"/>
              <w:bottom w:val="nil"/>
              <w:right w:val="nil"/>
            </w:tcBorders>
          </w:tcPr>
          <w:p w14:paraId="45A34C8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7.5%</w:t>
            </w:r>
          </w:p>
        </w:tc>
        <w:tc>
          <w:tcPr>
            <w:tcW w:w="1032" w:type="dxa"/>
            <w:tcBorders>
              <w:top w:val="nil"/>
              <w:left w:val="nil"/>
              <w:bottom w:val="nil"/>
              <w:right w:val="nil"/>
            </w:tcBorders>
          </w:tcPr>
          <w:p w14:paraId="24BB9BF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6.5%</w:t>
            </w:r>
          </w:p>
        </w:tc>
        <w:tc>
          <w:tcPr>
            <w:tcW w:w="1032" w:type="dxa"/>
            <w:tcBorders>
              <w:top w:val="nil"/>
              <w:left w:val="nil"/>
              <w:bottom w:val="nil"/>
              <w:right w:val="nil"/>
            </w:tcBorders>
          </w:tcPr>
          <w:p w14:paraId="4C5BA3D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6.1%</w:t>
            </w:r>
          </w:p>
        </w:tc>
      </w:tr>
      <w:tr w:rsidR="00805EB4" w:rsidRPr="00E60BC4" w14:paraId="3E946889" w14:textId="77777777" w:rsidTr="00E72162">
        <w:trPr>
          <w:trHeight w:val="290"/>
          <w:jc w:val="center"/>
        </w:trPr>
        <w:tc>
          <w:tcPr>
            <w:tcW w:w="3900" w:type="dxa"/>
            <w:tcBorders>
              <w:top w:val="nil"/>
              <w:left w:val="nil"/>
              <w:bottom w:val="nil"/>
              <w:right w:val="nil"/>
            </w:tcBorders>
          </w:tcPr>
          <w:p w14:paraId="7A22D770"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25AFED5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6.7%</w:t>
            </w:r>
          </w:p>
        </w:tc>
        <w:tc>
          <w:tcPr>
            <w:tcW w:w="1032" w:type="dxa"/>
            <w:tcBorders>
              <w:top w:val="nil"/>
              <w:left w:val="nil"/>
              <w:bottom w:val="nil"/>
              <w:right w:val="nil"/>
            </w:tcBorders>
          </w:tcPr>
          <w:p w14:paraId="6930A34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7.3%</w:t>
            </w:r>
          </w:p>
        </w:tc>
        <w:tc>
          <w:tcPr>
            <w:tcW w:w="1032" w:type="dxa"/>
            <w:tcBorders>
              <w:top w:val="nil"/>
              <w:left w:val="nil"/>
              <w:bottom w:val="nil"/>
              <w:right w:val="nil"/>
            </w:tcBorders>
          </w:tcPr>
          <w:p w14:paraId="09F4CCFD"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6.0%</w:t>
            </w:r>
          </w:p>
        </w:tc>
        <w:tc>
          <w:tcPr>
            <w:tcW w:w="1032" w:type="dxa"/>
            <w:tcBorders>
              <w:top w:val="nil"/>
              <w:left w:val="nil"/>
              <w:bottom w:val="nil"/>
              <w:right w:val="nil"/>
            </w:tcBorders>
          </w:tcPr>
          <w:p w14:paraId="0F68B27F"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5.8%</w:t>
            </w:r>
          </w:p>
        </w:tc>
      </w:tr>
      <w:tr w:rsidR="00805EB4" w:rsidRPr="00E60BC4" w14:paraId="019ACA9B" w14:textId="77777777" w:rsidTr="00E72162">
        <w:trPr>
          <w:trHeight w:val="290"/>
          <w:jc w:val="center"/>
        </w:trPr>
        <w:tc>
          <w:tcPr>
            <w:tcW w:w="3900" w:type="dxa"/>
            <w:tcBorders>
              <w:top w:val="nil"/>
              <w:left w:val="nil"/>
              <w:bottom w:val="nil"/>
              <w:right w:val="nil"/>
            </w:tcBorders>
          </w:tcPr>
          <w:p w14:paraId="5E7B24A9"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Patient Centered Treatment Planning</w:t>
            </w:r>
          </w:p>
        </w:tc>
        <w:tc>
          <w:tcPr>
            <w:tcW w:w="1032" w:type="dxa"/>
            <w:tcBorders>
              <w:top w:val="nil"/>
              <w:left w:val="nil"/>
              <w:bottom w:val="nil"/>
              <w:right w:val="nil"/>
            </w:tcBorders>
          </w:tcPr>
          <w:p w14:paraId="353A5FE1"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B7D179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8FE3E4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CA784B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785DDB25" w14:textId="77777777" w:rsidTr="00E72162">
        <w:trPr>
          <w:trHeight w:val="290"/>
          <w:jc w:val="center"/>
        </w:trPr>
        <w:tc>
          <w:tcPr>
            <w:tcW w:w="3900" w:type="dxa"/>
            <w:tcBorders>
              <w:top w:val="nil"/>
              <w:left w:val="nil"/>
              <w:bottom w:val="nil"/>
              <w:right w:val="nil"/>
            </w:tcBorders>
          </w:tcPr>
          <w:p w14:paraId="2A5B4E4A"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0BD7264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w:t>
            </w:r>
          </w:p>
        </w:tc>
        <w:tc>
          <w:tcPr>
            <w:tcW w:w="1032" w:type="dxa"/>
            <w:tcBorders>
              <w:top w:val="nil"/>
              <w:left w:val="nil"/>
              <w:bottom w:val="nil"/>
              <w:right w:val="nil"/>
            </w:tcBorders>
          </w:tcPr>
          <w:p w14:paraId="57E45C6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w:t>
            </w:r>
          </w:p>
        </w:tc>
        <w:tc>
          <w:tcPr>
            <w:tcW w:w="1032" w:type="dxa"/>
            <w:tcBorders>
              <w:top w:val="nil"/>
              <w:left w:val="nil"/>
              <w:bottom w:val="nil"/>
              <w:right w:val="nil"/>
            </w:tcBorders>
          </w:tcPr>
          <w:p w14:paraId="6EB8CA9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1.7%</w:t>
            </w:r>
          </w:p>
        </w:tc>
        <w:tc>
          <w:tcPr>
            <w:tcW w:w="1032" w:type="dxa"/>
            <w:tcBorders>
              <w:top w:val="nil"/>
              <w:left w:val="nil"/>
              <w:bottom w:val="nil"/>
              <w:right w:val="nil"/>
            </w:tcBorders>
          </w:tcPr>
          <w:p w14:paraId="4241FB9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0.4%</w:t>
            </w:r>
          </w:p>
        </w:tc>
      </w:tr>
      <w:tr w:rsidR="00805EB4" w:rsidRPr="00E60BC4" w14:paraId="67144F4E" w14:textId="77777777" w:rsidTr="00E72162">
        <w:trPr>
          <w:trHeight w:val="290"/>
          <w:jc w:val="center"/>
        </w:trPr>
        <w:tc>
          <w:tcPr>
            <w:tcW w:w="3900" w:type="dxa"/>
            <w:tcBorders>
              <w:top w:val="nil"/>
              <w:left w:val="nil"/>
              <w:bottom w:val="nil"/>
              <w:right w:val="nil"/>
            </w:tcBorders>
          </w:tcPr>
          <w:p w14:paraId="43AD0DF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60FE339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1.6%</w:t>
            </w:r>
          </w:p>
        </w:tc>
        <w:tc>
          <w:tcPr>
            <w:tcW w:w="1032" w:type="dxa"/>
            <w:tcBorders>
              <w:top w:val="nil"/>
              <w:left w:val="nil"/>
              <w:bottom w:val="nil"/>
              <w:right w:val="nil"/>
            </w:tcBorders>
          </w:tcPr>
          <w:p w14:paraId="130F21A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w:t>
            </w:r>
          </w:p>
        </w:tc>
        <w:tc>
          <w:tcPr>
            <w:tcW w:w="1032" w:type="dxa"/>
            <w:tcBorders>
              <w:top w:val="nil"/>
              <w:left w:val="nil"/>
              <w:bottom w:val="nil"/>
              <w:right w:val="nil"/>
            </w:tcBorders>
          </w:tcPr>
          <w:p w14:paraId="468A8A5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1.8%</w:t>
            </w:r>
          </w:p>
        </w:tc>
        <w:tc>
          <w:tcPr>
            <w:tcW w:w="1032" w:type="dxa"/>
            <w:tcBorders>
              <w:top w:val="nil"/>
              <w:left w:val="nil"/>
              <w:bottom w:val="nil"/>
              <w:right w:val="nil"/>
            </w:tcBorders>
          </w:tcPr>
          <w:p w14:paraId="4BE9E573"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0.8%</w:t>
            </w:r>
          </w:p>
        </w:tc>
      </w:tr>
      <w:tr w:rsidR="00805EB4" w:rsidRPr="00E60BC4" w14:paraId="13AB5F98" w14:textId="77777777" w:rsidTr="00E72162">
        <w:trPr>
          <w:trHeight w:val="290"/>
          <w:jc w:val="center"/>
        </w:trPr>
        <w:tc>
          <w:tcPr>
            <w:tcW w:w="3900" w:type="dxa"/>
            <w:tcBorders>
              <w:top w:val="nil"/>
              <w:left w:val="nil"/>
              <w:bottom w:val="nil"/>
              <w:right w:val="nil"/>
            </w:tcBorders>
          </w:tcPr>
          <w:p w14:paraId="11335E12"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7AACA03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1.7%</w:t>
            </w:r>
          </w:p>
        </w:tc>
        <w:tc>
          <w:tcPr>
            <w:tcW w:w="1032" w:type="dxa"/>
            <w:tcBorders>
              <w:top w:val="nil"/>
              <w:left w:val="nil"/>
              <w:bottom w:val="nil"/>
              <w:right w:val="nil"/>
            </w:tcBorders>
          </w:tcPr>
          <w:p w14:paraId="4B8C643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1.9%</w:t>
            </w:r>
          </w:p>
        </w:tc>
        <w:tc>
          <w:tcPr>
            <w:tcW w:w="1032" w:type="dxa"/>
            <w:tcBorders>
              <w:top w:val="nil"/>
              <w:left w:val="nil"/>
              <w:bottom w:val="nil"/>
              <w:right w:val="nil"/>
            </w:tcBorders>
          </w:tcPr>
          <w:p w14:paraId="63ED1E7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1.7%</w:t>
            </w:r>
          </w:p>
        </w:tc>
        <w:tc>
          <w:tcPr>
            <w:tcW w:w="1032" w:type="dxa"/>
            <w:tcBorders>
              <w:top w:val="nil"/>
              <w:left w:val="nil"/>
              <w:bottom w:val="nil"/>
              <w:right w:val="nil"/>
            </w:tcBorders>
          </w:tcPr>
          <w:p w14:paraId="1AB7AE6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0.4%</w:t>
            </w:r>
          </w:p>
        </w:tc>
      </w:tr>
      <w:tr w:rsidR="00805EB4" w:rsidRPr="00E60BC4" w14:paraId="4CDB4401" w14:textId="77777777" w:rsidTr="00E72162">
        <w:trPr>
          <w:trHeight w:val="290"/>
          <w:jc w:val="center"/>
        </w:trPr>
        <w:tc>
          <w:tcPr>
            <w:tcW w:w="3900" w:type="dxa"/>
            <w:tcBorders>
              <w:top w:val="nil"/>
              <w:left w:val="nil"/>
              <w:bottom w:val="nil"/>
              <w:right w:val="nil"/>
            </w:tcBorders>
          </w:tcPr>
          <w:p w14:paraId="307F1573"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Peer Services</w:t>
            </w:r>
          </w:p>
        </w:tc>
        <w:tc>
          <w:tcPr>
            <w:tcW w:w="1032" w:type="dxa"/>
            <w:tcBorders>
              <w:top w:val="nil"/>
              <w:left w:val="nil"/>
              <w:bottom w:val="nil"/>
              <w:right w:val="nil"/>
            </w:tcBorders>
          </w:tcPr>
          <w:p w14:paraId="16669E58"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9D546F8"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610905C"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47EBB11"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19FF3294" w14:textId="77777777" w:rsidTr="00E72162">
        <w:trPr>
          <w:trHeight w:val="290"/>
          <w:jc w:val="center"/>
        </w:trPr>
        <w:tc>
          <w:tcPr>
            <w:tcW w:w="3900" w:type="dxa"/>
            <w:tcBorders>
              <w:top w:val="nil"/>
              <w:left w:val="nil"/>
              <w:bottom w:val="nil"/>
              <w:right w:val="nil"/>
            </w:tcBorders>
          </w:tcPr>
          <w:p w14:paraId="12CCC97C"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555A5BD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14.6%</w:t>
            </w:r>
          </w:p>
        </w:tc>
        <w:tc>
          <w:tcPr>
            <w:tcW w:w="1032" w:type="dxa"/>
            <w:tcBorders>
              <w:top w:val="nil"/>
              <w:left w:val="nil"/>
              <w:bottom w:val="nil"/>
              <w:right w:val="nil"/>
            </w:tcBorders>
          </w:tcPr>
          <w:p w14:paraId="0681E6A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15.8%</w:t>
            </w:r>
          </w:p>
        </w:tc>
        <w:tc>
          <w:tcPr>
            <w:tcW w:w="1032" w:type="dxa"/>
            <w:tcBorders>
              <w:top w:val="nil"/>
              <w:left w:val="nil"/>
              <w:bottom w:val="nil"/>
              <w:right w:val="nil"/>
            </w:tcBorders>
          </w:tcPr>
          <w:p w14:paraId="407A5A3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13.1%</w:t>
            </w:r>
          </w:p>
        </w:tc>
        <w:tc>
          <w:tcPr>
            <w:tcW w:w="1032" w:type="dxa"/>
            <w:tcBorders>
              <w:top w:val="nil"/>
              <w:left w:val="nil"/>
              <w:bottom w:val="nil"/>
              <w:right w:val="nil"/>
            </w:tcBorders>
          </w:tcPr>
          <w:p w14:paraId="30E345F2"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10.9%</w:t>
            </w:r>
          </w:p>
        </w:tc>
      </w:tr>
      <w:tr w:rsidR="00805EB4" w:rsidRPr="00E60BC4" w14:paraId="272870B7" w14:textId="77777777" w:rsidTr="00E72162">
        <w:trPr>
          <w:trHeight w:val="290"/>
          <w:jc w:val="center"/>
        </w:trPr>
        <w:tc>
          <w:tcPr>
            <w:tcW w:w="3900" w:type="dxa"/>
            <w:tcBorders>
              <w:top w:val="nil"/>
              <w:left w:val="nil"/>
              <w:bottom w:val="nil"/>
              <w:right w:val="nil"/>
            </w:tcBorders>
          </w:tcPr>
          <w:p w14:paraId="6E440D30"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43BAD7D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12.5%</w:t>
            </w:r>
          </w:p>
        </w:tc>
        <w:tc>
          <w:tcPr>
            <w:tcW w:w="1032" w:type="dxa"/>
            <w:tcBorders>
              <w:top w:val="nil"/>
              <w:left w:val="nil"/>
              <w:bottom w:val="nil"/>
              <w:right w:val="nil"/>
            </w:tcBorders>
          </w:tcPr>
          <w:p w14:paraId="71F6E7B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10.6%</w:t>
            </w:r>
          </w:p>
        </w:tc>
        <w:tc>
          <w:tcPr>
            <w:tcW w:w="1032" w:type="dxa"/>
            <w:tcBorders>
              <w:top w:val="nil"/>
              <w:left w:val="nil"/>
              <w:bottom w:val="nil"/>
              <w:right w:val="nil"/>
            </w:tcBorders>
          </w:tcPr>
          <w:p w14:paraId="2824091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15.1%</w:t>
            </w:r>
          </w:p>
        </w:tc>
        <w:tc>
          <w:tcPr>
            <w:tcW w:w="1032" w:type="dxa"/>
            <w:tcBorders>
              <w:top w:val="nil"/>
              <w:left w:val="nil"/>
              <w:bottom w:val="nil"/>
              <w:right w:val="nil"/>
            </w:tcBorders>
          </w:tcPr>
          <w:p w14:paraId="097D4E1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10.3%</w:t>
            </w:r>
          </w:p>
        </w:tc>
      </w:tr>
      <w:tr w:rsidR="00805EB4" w:rsidRPr="00E60BC4" w14:paraId="452E4968" w14:textId="77777777" w:rsidTr="00E72162">
        <w:trPr>
          <w:trHeight w:val="290"/>
          <w:jc w:val="center"/>
        </w:trPr>
        <w:tc>
          <w:tcPr>
            <w:tcW w:w="3900" w:type="dxa"/>
            <w:tcBorders>
              <w:top w:val="nil"/>
              <w:left w:val="nil"/>
              <w:bottom w:val="nil"/>
              <w:right w:val="nil"/>
            </w:tcBorders>
          </w:tcPr>
          <w:p w14:paraId="5578D919"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182D6BE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17.9%</w:t>
            </w:r>
          </w:p>
        </w:tc>
        <w:tc>
          <w:tcPr>
            <w:tcW w:w="1032" w:type="dxa"/>
            <w:tcBorders>
              <w:top w:val="nil"/>
              <w:left w:val="nil"/>
              <w:bottom w:val="nil"/>
              <w:right w:val="nil"/>
            </w:tcBorders>
          </w:tcPr>
          <w:p w14:paraId="21912BE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14.0%</w:t>
            </w:r>
          </w:p>
        </w:tc>
        <w:tc>
          <w:tcPr>
            <w:tcW w:w="1032" w:type="dxa"/>
            <w:tcBorders>
              <w:top w:val="nil"/>
              <w:left w:val="nil"/>
              <w:bottom w:val="nil"/>
              <w:right w:val="nil"/>
            </w:tcBorders>
          </w:tcPr>
          <w:p w14:paraId="594DEC1F"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23.1%</w:t>
            </w:r>
          </w:p>
        </w:tc>
        <w:tc>
          <w:tcPr>
            <w:tcW w:w="1032" w:type="dxa"/>
            <w:tcBorders>
              <w:top w:val="nil"/>
              <w:left w:val="nil"/>
              <w:bottom w:val="nil"/>
              <w:right w:val="nil"/>
            </w:tcBorders>
          </w:tcPr>
          <w:p w14:paraId="1D684BBD"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9.3%</w:t>
            </w:r>
          </w:p>
        </w:tc>
      </w:tr>
      <w:tr w:rsidR="00805EB4" w:rsidRPr="00E60BC4" w14:paraId="3C520178" w14:textId="77777777" w:rsidTr="00E72162">
        <w:trPr>
          <w:trHeight w:val="290"/>
          <w:jc w:val="center"/>
        </w:trPr>
        <w:tc>
          <w:tcPr>
            <w:tcW w:w="3900" w:type="dxa"/>
            <w:tcBorders>
              <w:top w:val="nil"/>
              <w:left w:val="nil"/>
              <w:bottom w:val="nil"/>
              <w:right w:val="nil"/>
            </w:tcBorders>
          </w:tcPr>
          <w:p w14:paraId="1BC2FA05"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Psychiatric Rehabilitation Services</w:t>
            </w:r>
          </w:p>
        </w:tc>
        <w:tc>
          <w:tcPr>
            <w:tcW w:w="1032" w:type="dxa"/>
            <w:tcBorders>
              <w:top w:val="nil"/>
              <w:left w:val="nil"/>
              <w:bottom w:val="nil"/>
              <w:right w:val="nil"/>
            </w:tcBorders>
          </w:tcPr>
          <w:p w14:paraId="21FE4020"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1EEC8D8"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09BC94E"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3869012"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5A64EA40" w14:textId="77777777" w:rsidTr="00E72162">
        <w:trPr>
          <w:trHeight w:val="290"/>
          <w:jc w:val="center"/>
        </w:trPr>
        <w:tc>
          <w:tcPr>
            <w:tcW w:w="3900" w:type="dxa"/>
            <w:tcBorders>
              <w:top w:val="nil"/>
              <w:left w:val="nil"/>
              <w:bottom w:val="nil"/>
              <w:right w:val="nil"/>
            </w:tcBorders>
          </w:tcPr>
          <w:p w14:paraId="310F26E5"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2D53F1E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7.9%</w:t>
            </w:r>
          </w:p>
        </w:tc>
        <w:tc>
          <w:tcPr>
            <w:tcW w:w="1032" w:type="dxa"/>
            <w:tcBorders>
              <w:top w:val="nil"/>
              <w:left w:val="nil"/>
              <w:bottom w:val="nil"/>
              <w:right w:val="nil"/>
            </w:tcBorders>
          </w:tcPr>
          <w:p w14:paraId="087465D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5.7%</w:t>
            </w:r>
          </w:p>
        </w:tc>
        <w:tc>
          <w:tcPr>
            <w:tcW w:w="1032" w:type="dxa"/>
            <w:tcBorders>
              <w:top w:val="nil"/>
              <w:left w:val="nil"/>
              <w:bottom w:val="nil"/>
              <w:right w:val="nil"/>
            </w:tcBorders>
          </w:tcPr>
          <w:p w14:paraId="7474B08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9.7%</w:t>
            </w:r>
          </w:p>
        </w:tc>
        <w:tc>
          <w:tcPr>
            <w:tcW w:w="1032" w:type="dxa"/>
            <w:tcBorders>
              <w:top w:val="nil"/>
              <w:left w:val="nil"/>
              <w:bottom w:val="nil"/>
              <w:right w:val="nil"/>
            </w:tcBorders>
          </w:tcPr>
          <w:p w14:paraId="3BA5957F"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27.8%</w:t>
            </w:r>
          </w:p>
        </w:tc>
      </w:tr>
      <w:tr w:rsidR="00805EB4" w:rsidRPr="00E60BC4" w14:paraId="308FCFA2" w14:textId="77777777" w:rsidTr="00E72162">
        <w:trPr>
          <w:trHeight w:val="290"/>
          <w:jc w:val="center"/>
        </w:trPr>
        <w:tc>
          <w:tcPr>
            <w:tcW w:w="3900" w:type="dxa"/>
            <w:tcBorders>
              <w:top w:val="nil"/>
              <w:left w:val="nil"/>
              <w:bottom w:val="nil"/>
              <w:right w:val="nil"/>
            </w:tcBorders>
          </w:tcPr>
          <w:p w14:paraId="6C7B6D2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5617F53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10.5%</w:t>
            </w:r>
          </w:p>
        </w:tc>
        <w:tc>
          <w:tcPr>
            <w:tcW w:w="1032" w:type="dxa"/>
            <w:tcBorders>
              <w:top w:val="nil"/>
              <w:left w:val="nil"/>
              <w:bottom w:val="nil"/>
              <w:right w:val="nil"/>
            </w:tcBorders>
          </w:tcPr>
          <w:p w14:paraId="702837A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11.1%</w:t>
            </w:r>
          </w:p>
        </w:tc>
        <w:tc>
          <w:tcPr>
            <w:tcW w:w="1032" w:type="dxa"/>
            <w:tcBorders>
              <w:top w:val="nil"/>
              <w:left w:val="nil"/>
              <w:bottom w:val="nil"/>
              <w:right w:val="nil"/>
            </w:tcBorders>
          </w:tcPr>
          <w:p w14:paraId="51EB92E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8.3%</w:t>
            </w:r>
          </w:p>
        </w:tc>
        <w:tc>
          <w:tcPr>
            <w:tcW w:w="1032" w:type="dxa"/>
            <w:tcBorders>
              <w:top w:val="nil"/>
              <w:left w:val="nil"/>
              <w:bottom w:val="nil"/>
              <w:right w:val="nil"/>
            </w:tcBorders>
          </w:tcPr>
          <w:p w14:paraId="556F795D"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27.3%</w:t>
            </w:r>
          </w:p>
        </w:tc>
      </w:tr>
      <w:tr w:rsidR="00805EB4" w:rsidRPr="00E60BC4" w14:paraId="614508EE" w14:textId="77777777" w:rsidTr="00E72162">
        <w:trPr>
          <w:trHeight w:val="290"/>
          <w:jc w:val="center"/>
        </w:trPr>
        <w:tc>
          <w:tcPr>
            <w:tcW w:w="3900" w:type="dxa"/>
            <w:tcBorders>
              <w:top w:val="nil"/>
              <w:left w:val="nil"/>
              <w:bottom w:val="nil"/>
              <w:right w:val="nil"/>
            </w:tcBorders>
          </w:tcPr>
          <w:p w14:paraId="181D5471"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383D3DA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9.3%</w:t>
            </w:r>
          </w:p>
        </w:tc>
        <w:tc>
          <w:tcPr>
            <w:tcW w:w="1032" w:type="dxa"/>
            <w:tcBorders>
              <w:top w:val="nil"/>
              <w:left w:val="nil"/>
              <w:bottom w:val="nil"/>
              <w:right w:val="nil"/>
            </w:tcBorders>
          </w:tcPr>
          <w:p w14:paraId="207412C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9.4%</w:t>
            </w:r>
          </w:p>
        </w:tc>
        <w:tc>
          <w:tcPr>
            <w:tcW w:w="1032" w:type="dxa"/>
            <w:tcBorders>
              <w:top w:val="nil"/>
              <w:left w:val="nil"/>
              <w:bottom w:val="nil"/>
              <w:right w:val="nil"/>
            </w:tcBorders>
          </w:tcPr>
          <w:p w14:paraId="2000481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7.7%</w:t>
            </w:r>
          </w:p>
        </w:tc>
        <w:tc>
          <w:tcPr>
            <w:tcW w:w="1032" w:type="dxa"/>
            <w:tcBorders>
              <w:top w:val="nil"/>
              <w:left w:val="nil"/>
              <w:bottom w:val="nil"/>
              <w:right w:val="nil"/>
            </w:tcBorders>
          </w:tcPr>
          <w:p w14:paraId="45DA42E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30.7%</w:t>
            </w:r>
          </w:p>
        </w:tc>
      </w:tr>
      <w:tr w:rsidR="00805EB4" w:rsidRPr="00E60BC4" w14:paraId="2D247852" w14:textId="77777777" w:rsidTr="00E72162">
        <w:trPr>
          <w:trHeight w:val="290"/>
          <w:jc w:val="center"/>
        </w:trPr>
        <w:tc>
          <w:tcPr>
            <w:tcW w:w="3900" w:type="dxa"/>
            <w:tcBorders>
              <w:top w:val="nil"/>
              <w:left w:val="nil"/>
              <w:bottom w:val="nil"/>
              <w:right w:val="nil"/>
            </w:tcBorders>
          </w:tcPr>
          <w:p w14:paraId="30748614"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Screening, Assessment &amp; Diagnosis</w:t>
            </w:r>
          </w:p>
        </w:tc>
        <w:tc>
          <w:tcPr>
            <w:tcW w:w="1032" w:type="dxa"/>
            <w:tcBorders>
              <w:top w:val="nil"/>
              <w:left w:val="nil"/>
              <w:bottom w:val="nil"/>
              <w:right w:val="nil"/>
            </w:tcBorders>
          </w:tcPr>
          <w:p w14:paraId="01486B29"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243B8B8"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B1246DC"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73526F5"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02835023" w14:textId="77777777" w:rsidTr="00E72162">
        <w:trPr>
          <w:trHeight w:val="290"/>
          <w:jc w:val="center"/>
        </w:trPr>
        <w:tc>
          <w:tcPr>
            <w:tcW w:w="3900" w:type="dxa"/>
            <w:tcBorders>
              <w:top w:val="nil"/>
              <w:left w:val="nil"/>
              <w:bottom w:val="nil"/>
              <w:right w:val="nil"/>
            </w:tcBorders>
          </w:tcPr>
          <w:p w14:paraId="6B28AA2B"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12151F4C"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6.8%</w:t>
            </w:r>
          </w:p>
        </w:tc>
        <w:tc>
          <w:tcPr>
            <w:tcW w:w="1032" w:type="dxa"/>
            <w:tcBorders>
              <w:top w:val="nil"/>
              <w:left w:val="nil"/>
              <w:bottom w:val="nil"/>
              <w:right w:val="nil"/>
            </w:tcBorders>
          </w:tcPr>
          <w:p w14:paraId="4F5E5AD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7.0%</w:t>
            </w:r>
          </w:p>
        </w:tc>
        <w:tc>
          <w:tcPr>
            <w:tcW w:w="1032" w:type="dxa"/>
            <w:tcBorders>
              <w:top w:val="nil"/>
              <w:left w:val="nil"/>
              <w:bottom w:val="nil"/>
              <w:right w:val="nil"/>
            </w:tcBorders>
          </w:tcPr>
          <w:p w14:paraId="71CF8E5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6.8%</w:t>
            </w:r>
          </w:p>
        </w:tc>
        <w:tc>
          <w:tcPr>
            <w:tcW w:w="1032" w:type="dxa"/>
            <w:tcBorders>
              <w:top w:val="nil"/>
              <w:left w:val="nil"/>
              <w:bottom w:val="nil"/>
              <w:right w:val="nil"/>
            </w:tcBorders>
          </w:tcPr>
          <w:p w14:paraId="4295A90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3.6%</w:t>
            </w:r>
          </w:p>
        </w:tc>
      </w:tr>
      <w:tr w:rsidR="00805EB4" w:rsidRPr="00E60BC4" w14:paraId="236C53B6" w14:textId="77777777" w:rsidTr="00E72162">
        <w:trPr>
          <w:trHeight w:val="290"/>
          <w:jc w:val="center"/>
        </w:trPr>
        <w:tc>
          <w:tcPr>
            <w:tcW w:w="3900" w:type="dxa"/>
            <w:tcBorders>
              <w:top w:val="nil"/>
              <w:left w:val="nil"/>
              <w:bottom w:val="nil"/>
              <w:right w:val="nil"/>
            </w:tcBorders>
          </w:tcPr>
          <w:p w14:paraId="02A5FE39"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35168A55"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7.0%</w:t>
            </w:r>
          </w:p>
        </w:tc>
        <w:tc>
          <w:tcPr>
            <w:tcW w:w="1032" w:type="dxa"/>
            <w:tcBorders>
              <w:top w:val="nil"/>
              <w:left w:val="nil"/>
              <w:bottom w:val="nil"/>
              <w:right w:val="nil"/>
            </w:tcBorders>
          </w:tcPr>
          <w:p w14:paraId="3CC59D2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7.0%</w:t>
            </w:r>
          </w:p>
        </w:tc>
        <w:tc>
          <w:tcPr>
            <w:tcW w:w="1032" w:type="dxa"/>
            <w:tcBorders>
              <w:top w:val="nil"/>
              <w:left w:val="nil"/>
              <w:bottom w:val="nil"/>
              <w:right w:val="nil"/>
            </w:tcBorders>
          </w:tcPr>
          <w:p w14:paraId="042A3E1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7.2%</w:t>
            </w:r>
          </w:p>
        </w:tc>
        <w:tc>
          <w:tcPr>
            <w:tcW w:w="1032" w:type="dxa"/>
            <w:tcBorders>
              <w:top w:val="nil"/>
              <w:left w:val="nil"/>
              <w:bottom w:val="nil"/>
              <w:right w:val="nil"/>
            </w:tcBorders>
          </w:tcPr>
          <w:p w14:paraId="639D44FC"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5.3%</w:t>
            </w:r>
          </w:p>
        </w:tc>
      </w:tr>
      <w:tr w:rsidR="00805EB4" w:rsidRPr="00E60BC4" w14:paraId="3779AFB4" w14:textId="77777777" w:rsidTr="00E72162">
        <w:trPr>
          <w:trHeight w:val="290"/>
          <w:jc w:val="center"/>
        </w:trPr>
        <w:tc>
          <w:tcPr>
            <w:tcW w:w="3900" w:type="dxa"/>
            <w:tcBorders>
              <w:top w:val="nil"/>
              <w:left w:val="nil"/>
              <w:bottom w:val="nil"/>
              <w:right w:val="nil"/>
            </w:tcBorders>
          </w:tcPr>
          <w:p w14:paraId="0DD430A2"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nil"/>
              <w:right w:val="nil"/>
            </w:tcBorders>
          </w:tcPr>
          <w:p w14:paraId="205A5D38"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6.6%</w:t>
            </w:r>
          </w:p>
        </w:tc>
        <w:tc>
          <w:tcPr>
            <w:tcW w:w="1032" w:type="dxa"/>
            <w:tcBorders>
              <w:top w:val="nil"/>
              <w:left w:val="nil"/>
              <w:bottom w:val="nil"/>
              <w:right w:val="nil"/>
            </w:tcBorders>
          </w:tcPr>
          <w:p w14:paraId="45B6E0D2"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6.1%</w:t>
            </w:r>
          </w:p>
        </w:tc>
        <w:tc>
          <w:tcPr>
            <w:tcW w:w="1032" w:type="dxa"/>
            <w:tcBorders>
              <w:top w:val="nil"/>
              <w:left w:val="nil"/>
              <w:bottom w:val="nil"/>
              <w:right w:val="nil"/>
            </w:tcBorders>
          </w:tcPr>
          <w:p w14:paraId="13DBA9F7"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7.2%</w:t>
            </w:r>
          </w:p>
        </w:tc>
        <w:tc>
          <w:tcPr>
            <w:tcW w:w="1032" w:type="dxa"/>
            <w:tcBorders>
              <w:top w:val="nil"/>
              <w:left w:val="nil"/>
              <w:bottom w:val="nil"/>
              <w:right w:val="nil"/>
            </w:tcBorders>
          </w:tcPr>
          <w:p w14:paraId="6D141BC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5.8%</w:t>
            </w:r>
          </w:p>
        </w:tc>
      </w:tr>
      <w:tr w:rsidR="00805EB4" w:rsidRPr="00E60BC4" w14:paraId="566CCB37" w14:textId="77777777" w:rsidTr="00E72162">
        <w:trPr>
          <w:trHeight w:val="290"/>
          <w:jc w:val="center"/>
        </w:trPr>
        <w:tc>
          <w:tcPr>
            <w:tcW w:w="3900" w:type="dxa"/>
            <w:tcBorders>
              <w:top w:val="nil"/>
              <w:left w:val="nil"/>
              <w:bottom w:val="nil"/>
              <w:right w:val="nil"/>
            </w:tcBorders>
          </w:tcPr>
          <w:p w14:paraId="52565824"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Targeted Case Management</w:t>
            </w:r>
          </w:p>
        </w:tc>
        <w:tc>
          <w:tcPr>
            <w:tcW w:w="1032" w:type="dxa"/>
            <w:tcBorders>
              <w:top w:val="nil"/>
              <w:left w:val="nil"/>
              <w:bottom w:val="nil"/>
              <w:right w:val="nil"/>
            </w:tcBorders>
          </w:tcPr>
          <w:p w14:paraId="55804F6B"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6739CC1"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C516CA3"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AC1587F"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4D79933B" w14:textId="77777777" w:rsidTr="00E72162">
        <w:trPr>
          <w:trHeight w:val="290"/>
          <w:jc w:val="center"/>
        </w:trPr>
        <w:tc>
          <w:tcPr>
            <w:tcW w:w="3900" w:type="dxa"/>
            <w:tcBorders>
              <w:top w:val="nil"/>
              <w:left w:val="nil"/>
              <w:bottom w:val="nil"/>
              <w:right w:val="nil"/>
            </w:tcBorders>
          </w:tcPr>
          <w:p w14:paraId="26BCD6F9"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Pre</w:t>
            </w:r>
          </w:p>
        </w:tc>
        <w:tc>
          <w:tcPr>
            <w:tcW w:w="1032" w:type="dxa"/>
            <w:tcBorders>
              <w:top w:val="nil"/>
              <w:left w:val="nil"/>
              <w:bottom w:val="nil"/>
              <w:right w:val="nil"/>
            </w:tcBorders>
          </w:tcPr>
          <w:p w14:paraId="358FC7B4"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6.2%</w:t>
            </w:r>
          </w:p>
        </w:tc>
        <w:tc>
          <w:tcPr>
            <w:tcW w:w="1032" w:type="dxa"/>
            <w:tcBorders>
              <w:top w:val="nil"/>
              <w:left w:val="nil"/>
              <w:bottom w:val="nil"/>
              <w:right w:val="nil"/>
            </w:tcBorders>
          </w:tcPr>
          <w:p w14:paraId="67ED1589"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7.7%</w:t>
            </w:r>
          </w:p>
        </w:tc>
        <w:tc>
          <w:tcPr>
            <w:tcW w:w="1032" w:type="dxa"/>
            <w:tcBorders>
              <w:top w:val="nil"/>
              <w:left w:val="nil"/>
              <w:bottom w:val="nil"/>
              <w:right w:val="nil"/>
            </w:tcBorders>
          </w:tcPr>
          <w:p w14:paraId="0D601E1C"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4.2%</w:t>
            </w:r>
          </w:p>
        </w:tc>
        <w:tc>
          <w:tcPr>
            <w:tcW w:w="1032" w:type="dxa"/>
            <w:tcBorders>
              <w:top w:val="nil"/>
              <w:left w:val="nil"/>
              <w:bottom w:val="nil"/>
              <w:right w:val="nil"/>
            </w:tcBorders>
          </w:tcPr>
          <w:p w14:paraId="3B6FDCE2"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4.1%</w:t>
            </w:r>
          </w:p>
        </w:tc>
      </w:tr>
      <w:tr w:rsidR="00805EB4" w:rsidRPr="00E60BC4" w14:paraId="0152C21A" w14:textId="77777777" w:rsidTr="00E72162">
        <w:trPr>
          <w:trHeight w:val="290"/>
          <w:jc w:val="center"/>
        </w:trPr>
        <w:tc>
          <w:tcPr>
            <w:tcW w:w="3900" w:type="dxa"/>
            <w:tcBorders>
              <w:top w:val="nil"/>
              <w:left w:val="nil"/>
              <w:bottom w:val="nil"/>
              <w:right w:val="nil"/>
            </w:tcBorders>
          </w:tcPr>
          <w:p w14:paraId="4C122310"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First Post</w:t>
            </w:r>
          </w:p>
        </w:tc>
        <w:tc>
          <w:tcPr>
            <w:tcW w:w="1032" w:type="dxa"/>
            <w:tcBorders>
              <w:top w:val="nil"/>
              <w:left w:val="nil"/>
              <w:bottom w:val="nil"/>
              <w:right w:val="nil"/>
            </w:tcBorders>
          </w:tcPr>
          <w:p w14:paraId="6ED7F47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5.7%</w:t>
            </w:r>
          </w:p>
        </w:tc>
        <w:tc>
          <w:tcPr>
            <w:tcW w:w="1032" w:type="dxa"/>
            <w:tcBorders>
              <w:top w:val="nil"/>
              <w:left w:val="nil"/>
              <w:bottom w:val="nil"/>
              <w:right w:val="nil"/>
            </w:tcBorders>
          </w:tcPr>
          <w:p w14:paraId="6DCADA1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7.1%</w:t>
            </w:r>
          </w:p>
        </w:tc>
        <w:tc>
          <w:tcPr>
            <w:tcW w:w="1032" w:type="dxa"/>
            <w:tcBorders>
              <w:top w:val="nil"/>
              <w:left w:val="nil"/>
              <w:bottom w:val="nil"/>
              <w:right w:val="nil"/>
            </w:tcBorders>
          </w:tcPr>
          <w:p w14:paraId="1A1D823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4.1%</w:t>
            </w:r>
          </w:p>
        </w:tc>
        <w:tc>
          <w:tcPr>
            <w:tcW w:w="1032" w:type="dxa"/>
            <w:tcBorders>
              <w:top w:val="nil"/>
              <w:left w:val="nil"/>
              <w:bottom w:val="nil"/>
              <w:right w:val="nil"/>
            </w:tcBorders>
          </w:tcPr>
          <w:p w14:paraId="791A4EED"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3.8%</w:t>
            </w:r>
          </w:p>
        </w:tc>
      </w:tr>
      <w:tr w:rsidR="00805EB4" w:rsidRPr="00E60BC4" w14:paraId="11BA46C6" w14:textId="77777777" w:rsidTr="00E72162">
        <w:trPr>
          <w:trHeight w:val="290"/>
          <w:jc w:val="center"/>
        </w:trPr>
        <w:tc>
          <w:tcPr>
            <w:tcW w:w="3900" w:type="dxa"/>
            <w:tcBorders>
              <w:top w:val="nil"/>
              <w:left w:val="nil"/>
              <w:bottom w:val="single" w:sz="6" w:space="0" w:color="auto"/>
              <w:right w:val="nil"/>
            </w:tcBorders>
          </w:tcPr>
          <w:p w14:paraId="5EED176A" w14:textId="77777777" w:rsidR="00805EB4" w:rsidRPr="00E60BC4" w:rsidRDefault="00805EB4" w:rsidP="00E72162">
            <w:pPr>
              <w:autoSpaceDE w:val="0"/>
              <w:autoSpaceDN w:val="0"/>
              <w:adjustRightInd w:val="0"/>
              <w:jc w:val="right"/>
              <w:rPr>
                <w:rFonts w:ascii="Calibri" w:hAnsi="Calibri" w:cs="Calibri"/>
                <w:b/>
                <w:bCs/>
                <w:color w:val="000000"/>
                <w:sz w:val="22"/>
                <w:szCs w:val="22"/>
              </w:rPr>
            </w:pPr>
            <w:r w:rsidRPr="00E60BC4">
              <w:rPr>
                <w:rFonts w:ascii="Calibri" w:hAnsi="Calibri" w:cs="Calibri"/>
                <w:b/>
                <w:bCs/>
                <w:color w:val="000000"/>
                <w:sz w:val="22"/>
                <w:szCs w:val="22"/>
              </w:rPr>
              <w:t>Second Post</w:t>
            </w:r>
          </w:p>
        </w:tc>
        <w:tc>
          <w:tcPr>
            <w:tcW w:w="1032" w:type="dxa"/>
            <w:tcBorders>
              <w:top w:val="nil"/>
              <w:left w:val="nil"/>
              <w:bottom w:val="single" w:sz="6" w:space="0" w:color="auto"/>
              <w:right w:val="nil"/>
            </w:tcBorders>
          </w:tcPr>
          <w:p w14:paraId="48A831A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5.3%</w:t>
            </w:r>
          </w:p>
        </w:tc>
        <w:tc>
          <w:tcPr>
            <w:tcW w:w="1032" w:type="dxa"/>
            <w:tcBorders>
              <w:top w:val="nil"/>
              <w:left w:val="nil"/>
              <w:bottom w:val="single" w:sz="6" w:space="0" w:color="auto"/>
              <w:right w:val="nil"/>
            </w:tcBorders>
          </w:tcPr>
          <w:p w14:paraId="77858112"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6.4%</w:t>
            </w:r>
          </w:p>
        </w:tc>
        <w:tc>
          <w:tcPr>
            <w:tcW w:w="1032" w:type="dxa"/>
            <w:tcBorders>
              <w:top w:val="nil"/>
              <w:left w:val="nil"/>
              <w:bottom w:val="single" w:sz="6" w:space="0" w:color="auto"/>
              <w:right w:val="nil"/>
            </w:tcBorders>
          </w:tcPr>
          <w:p w14:paraId="57B5929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3.9%</w:t>
            </w:r>
          </w:p>
        </w:tc>
        <w:tc>
          <w:tcPr>
            <w:tcW w:w="1032" w:type="dxa"/>
            <w:tcBorders>
              <w:top w:val="nil"/>
              <w:left w:val="nil"/>
              <w:bottom w:val="single" w:sz="6" w:space="0" w:color="auto"/>
              <w:right w:val="nil"/>
            </w:tcBorders>
          </w:tcPr>
          <w:p w14:paraId="6BC578D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5.5%</w:t>
            </w:r>
          </w:p>
        </w:tc>
      </w:tr>
    </w:tbl>
    <w:p w14:paraId="1B32C511" w14:textId="77777777" w:rsidR="00E847F0" w:rsidRPr="004C66D9" w:rsidRDefault="00E847F0" w:rsidP="00E847F0">
      <w:pPr>
        <w:jc w:val="center"/>
        <w:rPr>
          <w:rFonts w:cstheme="minorHAnsi"/>
          <w:iCs/>
          <w:sz w:val="22"/>
          <w:szCs w:val="22"/>
        </w:rPr>
      </w:pPr>
    </w:p>
    <w:p w14:paraId="05BEDE5E" w14:textId="77777777" w:rsidR="00E847F0" w:rsidRPr="004C66D9" w:rsidRDefault="00E847F0" w:rsidP="00E847F0">
      <w:pPr>
        <w:jc w:val="center"/>
        <w:rPr>
          <w:rFonts w:cstheme="minorHAnsi"/>
          <w:iCs/>
          <w:sz w:val="22"/>
          <w:szCs w:val="22"/>
        </w:rPr>
      </w:pPr>
    </w:p>
    <w:p w14:paraId="2F1C1BF8" w14:textId="77777777" w:rsidR="00E847F0" w:rsidRPr="004C66D9" w:rsidRDefault="00E847F0" w:rsidP="00E847F0">
      <w:pPr>
        <w:jc w:val="center"/>
        <w:rPr>
          <w:rFonts w:cstheme="minorHAnsi"/>
          <w:iCs/>
          <w:sz w:val="22"/>
          <w:szCs w:val="22"/>
        </w:rPr>
      </w:pPr>
    </w:p>
    <w:p w14:paraId="6469CCA3" w14:textId="77777777" w:rsidR="00E847F0" w:rsidRPr="004C66D9" w:rsidRDefault="00E847F0" w:rsidP="00E847F0">
      <w:pPr>
        <w:jc w:val="center"/>
        <w:rPr>
          <w:rFonts w:cstheme="minorHAnsi"/>
          <w:iCs/>
          <w:sz w:val="22"/>
          <w:szCs w:val="22"/>
        </w:rPr>
      </w:pPr>
    </w:p>
    <w:p w14:paraId="49DC775C" w14:textId="77777777" w:rsidR="00E847F0" w:rsidRDefault="00E847F0" w:rsidP="00E847F0">
      <w:pPr>
        <w:rPr>
          <w:rFonts w:cstheme="minorHAnsi"/>
          <w:iCs/>
          <w:sz w:val="22"/>
          <w:szCs w:val="22"/>
        </w:rPr>
      </w:pPr>
      <w:r>
        <w:rPr>
          <w:rFonts w:cstheme="minorHAnsi"/>
          <w:iCs/>
          <w:sz w:val="22"/>
          <w:szCs w:val="22"/>
        </w:rPr>
        <w:br w:type="page"/>
      </w:r>
    </w:p>
    <w:p w14:paraId="29DBDEB6" w14:textId="60D5D38A" w:rsidR="00E847F0" w:rsidRPr="00000D4B" w:rsidRDefault="00E847F0" w:rsidP="00E847F0">
      <w:pPr>
        <w:jc w:val="center"/>
        <w:rPr>
          <w:rFonts w:cstheme="minorHAnsi"/>
          <w:b/>
          <w:bCs/>
          <w:color w:val="6A7F0F"/>
          <w:sz w:val="22"/>
          <w:szCs w:val="22"/>
        </w:rPr>
      </w:pPr>
      <w:bookmarkStart w:id="130" w:name="Appendix6_Table_A64a"/>
      <w:r w:rsidRPr="00000D4B">
        <w:rPr>
          <w:rFonts w:cstheme="minorHAnsi"/>
          <w:b/>
          <w:bCs/>
          <w:iCs/>
          <w:color w:val="6A7F0F"/>
          <w:sz w:val="22"/>
          <w:szCs w:val="22"/>
        </w:rPr>
        <w:t>Table A</w:t>
      </w:r>
      <w:r w:rsidR="0067134D" w:rsidRPr="00000D4B">
        <w:rPr>
          <w:rFonts w:cstheme="minorHAnsi"/>
          <w:b/>
          <w:bCs/>
          <w:iCs/>
          <w:color w:val="6A7F0F"/>
          <w:sz w:val="22"/>
          <w:szCs w:val="22"/>
        </w:rPr>
        <w:t>7</w:t>
      </w:r>
      <w:r w:rsidRPr="00000D4B">
        <w:rPr>
          <w:rFonts w:cstheme="minorHAnsi"/>
          <w:b/>
          <w:bCs/>
          <w:iCs/>
          <w:color w:val="6A7F0F"/>
          <w:sz w:val="22"/>
          <w:szCs w:val="22"/>
        </w:rPr>
        <w:t xml:space="preserve">.4a: Changes in Primary Care Quarterly Use and Visits Per Person </w:t>
      </w:r>
      <w:r w:rsidRPr="00000D4B">
        <w:rPr>
          <w:rFonts w:cstheme="minorHAnsi"/>
          <w:b/>
          <w:bCs/>
          <w:color w:val="6A7F0F"/>
          <w:sz w:val="22"/>
          <w:szCs w:val="22"/>
        </w:rPr>
        <w:t xml:space="preserve">Overall </w:t>
      </w:r>
    </w:p>
    <w:p w14:paraId="72FBC13C" w14:textId="77777777" w:rsidR="00E847F0" w:rsidRPr="00000D4B" w:rsidRDefault="00E847F0" w:rsidP="00E847F0">
      <w:pPr>
        <w:jc w:val="center"/>
        <w:rPr>
          <w:rFonts w:cstheme="minorHAnsi"/>
          <w:b/>
          <w:bCs/>
          <w:color w:val="6A7F0F"/>
          <w:sz w:val="22"/>
          <w:szCs w:val="22"/>
        </w:rPr>
      </w:pPr>
      <w:r w:rsidRPr="00000D4B">
        <w:rPr>
          <w:rFonts w:cstheme="minorHAnsi"/>
          <w:b/>
          <w:bCs/>
          <w:color w:val="6A7F0F"/>
          <w:sz w:val="22"/>
          <w:szCs w:val="22"/>
        </w:rPr>
        <w:t>and by Race/Ethnicity for CCBHC OHP Members</w:t>
      </w:r>
    </w:p>
    <w:bookmarkEnd w:id="130"/>
    <w:p w14:paraId="3F3101D3" w14:textId="77777777" w:rsidR="00E847F0" w:rsidRPr="004C66D9" w:rsidRDefault="00E847F0" w:rsidP="00E847F0">
      <w:pPr>
        <w:jc w:val="center"/>
        <w:rPr>
          <w:rFonts w:cstheme="minorHAnsi"/>
          <w:iCs/>
          <w:sz w:val="22"/>
          <w:szCs w:val="22"/>
        </w:rPr>
      </w:pPr>
    </w:p>
    <w:tbl>
      <w:tblPr>
        <w:tblW w:w="8080" w:type="dxa"/>
        <w:jc w:val="center"/>
        <w:tblLook w:val="04A0" w:firstRow="1" w:lastRow="0" w:firstColumn="1" w:lastColumn="0" w:noHBand="0" w:noVBand="1"/>
      </w:tblPr>
      <w:tblGrid>
        <w:gridCol w:w="2400"/>
        <w:gridCol w:w="840"/>
        <w:gridCol w:w="1080"/>
        <w:gridCol w:w="920"/>
        <w:gridCol w:w="1184"/>
        <w:gridCol w:w="800"/>
        <w:gridCol w:w="1017"/>
      </w:tblGrid>
      <w:tr w:rsidR="00805EB4" w:rsidRPr="004C66D9" w14:paraId="7656FA2E"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0662AFB" w14:textId="77777777" w:rsidR="00805EB4" w:rsidRPr="004C66D9" w:rsidRDefault="00805EB4"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7A8BBD71" w14:textId="77777777" w:rsidR="00805EB4" w:rsidRPr="004C66D9" w:rsidRDefault="00805EB4"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5DEF8538" w14:textId="77777777" w:rsidR="00805EB4" w:rsidRPr="004C66D9" w:rsidRDefault="00805EB4"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48D6A835" w14:textId="77777777" w:rsidR="00805EB4" w:rsidRPr="004C66D9" w:rsidRDefault="00805EB4" w:rsidP="00E72162">
            <w:pPr>
              <w:jc w:val="center"/>
              <w:rPr>
                <w:rFonts w:cstheme="minorHAnsi"/>
                <w:sz w:val="22"/>
                <w:szCs w:val="22"/>
              </w:rPr>
            </w:pPr>
          </w:p>
        </w:tc>
        <w:tc>
          <w:tcPr>
            <w:tcW w:w="1040" w:type="dxa"/>
            <w:tcBorders>
              <w:top w:val="nil"/>
              <w:left w:val="nil"/>
              <w:bottom w:val="nil"/>
              <w:right w:val="nil"/>
            </w:tcBorders>
            <w:shd w:val="clear" w:color="auto" w:fill="auto"/>
            <w:noWrap/>
            <w:vAlign w:val="bottom"/>
            <w:hideMark/>
          </w:tcPr>
          <w:p w14:paraId="6DFFE48C" w14:textId="77777777" w:rsidR="00805EB4" w:rsidRPr="004C66D9" w:rsidRDefault="00805EB4" w:rsidP="00E72162">
            <w:pPr>
              <w:jc w:val="center"/>
              <w:rPr>
                <w:rFonts w:cstheme="minorHAnsi"/>
                <w:sz w:val="22"/>
                <w:szCs w:val="22"/>
              </w:rPr>
            </w:pPr>
          </w:p>
        </w:tc>
        <w:tc>
          <w:tcPr>
            <w:tcW w:w="800" w:type="dxa"/>
            <w:tcBorders>
              <w:top w:val="nil"/>
              <w:left w:val="nil"/>
              <w:bottom w:val="nil"/>
              <w:right w:val="nil"/>
            </w:tcBorders>
            <w:shd w:val="clear" w:color="auto" w:fill="auto"/>
            <w:noWrap/>
            <w:vAlign w:val="bottom"/>
            <w:hideMark/>
          </w:tcPr>
          <w:p w14:paraId="0CEFD343" w14:textId="77777777" w:rsidR="00805EB4" w:rsidRPr="004C66D9" w:rsidRDefault="00805EB4" w:rsidP="00E72162">
            <w:pPr>
              <w:jc w:val="center"/>
              <w:rPr>
                <w:rFonts w:cstheme="minorHAnsi"/>
                <w:sz w:val="22"/>
                <w:szCs w:val="22"/>
              </w:rPr>
            </w:pPr>
          </w:p>
        </w:tc>
        <w:tc>
          <w:tcPr>
            <w:tcW w:w="1000" w:type="dxa"/>
            <w:tcBorders>
              <w:top w:val="nil"/>
              <w:left w:val="nil"/>
              <w:bottom w:val="nil"/>
              <w:right w:val="nil"/>
            </w:tcBorders>
            <w:shd w:val="clear" w:color="auto" w:fill="auto"/>
            <w:noWrap/>
            <w:vAlign w:val="bottom"/>
            <w:hideMark/>
          </w:tcPr>
          <w:p w14:paraId="67886351"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Other</w:t>
            </w:r>
          </w:p>
        </w:tc>
      </w:tr>
      <w:tr w:rsidR="00805EB4" w:rsidRPr="004C66D9" w14:paraId="0B91AD8F"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1C8BC2A" w14:textId="77777777" w:rsidR="00805EB4" w:rsidRPr="004C66D9" w:rsidRDefault="00805EB4" w:rsidP="00E72162">
            <w:pPr>
              <w:jc w:val="center"/>
              <w:rPr>
                <w:rFonts w:cstheme="minorHAnsi"/>
                <w:b/>
                <w:bCs/>
                <w:color w:val="000000"/>
                <w:sz w:val="22"/>
                <w:szCs w:val="22"/>
              </w:rPr>
            </w:pPr>
          </w:p>
        </w:tc>
        <w:tc>
          <w:tcPr>
            <w:tcW w:w="840" w:type="dxa"/>
            <w:tcBorders>
              <w:top w:val="nil"/>
              <w:left w:val="nil"/>
              <w:bottom w:val="nil"/>
              <w:right w:val="nil"/>
            </w:tcBorders>
            <w:shd w:val="clear" w:color="auto" w:fill="auto"/>
            <w:noWrap/>
            <w:vAlign w:val="bottom"/>
            <w:hideMark/>
          </w:tcPr>
          <w:p w14:paraId="0CE737B5"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1D50C0D3"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3E020D40"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Black/</w:t>
            </w:r>
          </w:p>
        </w:tc>
        <w:tc>
          <w:tcPr>
            <w:tcW w:w="1040" w:type="dxa"/>
            <w:tcBorders>
              <w:top w:val="nil"/>
              <w:left w:val="nil"/>
              <w:bottom w:val="nil"/>
              <w:right w:val="nil"/>
            </w:tcBorders>
            <w:shd w:val="clear" w:color="auto" w:fill="auto"/>
            <w:noWrap/>
            <w:vAlign w:val="bottom"/>
            <w:hideMark/>
          </w:tcPr>
          <w:p w14:paraId="6FC31A17"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Hispanic/</w:t>
            </w:r>
          </w:p>
        </w:tc>
        <w:tc>
          <w:tcPr>
            <w:tcW w:w="800" w:type="dxa"/>
            <w:tcBorders>
              <w:top w:val="nil"/>
              <w:left w:val="nil"/>
              <w:bottom w:val="nil"/>
              <w:right w:val="nil"/>
            </w:tcBorders>
            <w:shd w:val="clear" w:color="auto" w:fill="auto"/>
            <w:noWrap/>
            <w:vAlign w:val="bottom"/>
            <w:hideMark/>
          </w:tcPr>
          <w:p w14:paraId="2ACCD19A" w14:textId="77777777" w:rsidR="00805EB4" w:rsidRPr="004C66D9" w:rsidRDefault="00805EB4" w:rsidP="00E72162">
            <w:pPr>
              <w:jc w:val="center"/>
              <w:rPr>
                <w:rFonts w:cstheme="minorHAnsi"/>
                <w:b/>
                <w:bCs/>
                <w:color w:val="000000"/>
                <w:sz w:val="22"/>
                <w:szCs w:val="22"/>
              </w:rPr>
            </w:pPr>
          </w:p>
        </w:tc>
        <w:tc>
          <w:tcPr>
            <w:tcW w:w="1000" w:type="dxa"/>
            <w:tcBorders>
              <w:top w:val="nil"/>
              <w:left w:val="nil"/>
              <w:bottom w:val="nil"/>
              <w:right w:val="nil"/>
            </w:tcBorders>
            <w:shd w:val="clear" w:color="auto" w:fill="auto"/>
            <w:noWrap/>
            <w:vAlign w:val="bottom"/>
            <w:hideMark/>
          </w:tcPr>
          <w:p w14:paraId="0E91D47E"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Race/</w:t>
            </w:r>
          </w:p>
        </w:tc>
      </w:tr>
      <w:tr w:rsidR="00805EB4" w:rsidRPr="004C66D9" w14:paraId="4DC7D2C7"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6EBBFADF"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Primary Care</w:t>
            </w:r>
          </w:p>
        </w:tc>
        <w:tc>
          <w:tcPr>
            <w:tcW w:w="840" w:type="dxa"/>
            <w:tcBorders>
              <w:top w:val="nil"/>
              <w:left w:val="nil"/>
              <w:bottom w:val="single" w:sz="4" w:space="0" w:color="auto"/>
              <w:right w:val="nil"/>
            </w:tcBorders>
            <w:shd w:val="clear" w:color="auto" w:fill="auto"/>
            <w:noWrap/>
            <w:vAlign w:val="bottom"/>
            <w:hideMark/>
          </w:tcPr>
          <w:p w14:paraId="3C94387E"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1D4820CD"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731F28F1"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Afr Am</w:t>
            </w:r>
          </w:p>
        </w:tc>
        <w:tc>
          <w:tcPr>
            <w:tcW w:w="1040" w:type="dxa"/>
            <w:tcBorders>
              <w:top w:val="nil"/>
              <w:left w:val="nil"/>
              <w:bottom w:val="single" w:sz="4" w:space="0" w:color="auto"/>
              <w:right w:val="nil"/>
            </w:tcBorders>
            <w:shd w:val="clear" w:color="auto" w:fill="auto"/>
            <w:noWrap/>
            <w:vAlign w:val="bottom"/>
            <w:hideMark/>
          </w:tcPr>
          <w:p w14:paraId="0D72A8E7"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Latino/a/x</w:t>
            </w:r>
          </w:p>
        </w:tc>
        <w:tc>
          <w:tcPr>
            <w:tcW w:w="800" w:type="dxa"/>
            <w:tcBorders>
              <w:top w:val="nil"/>
              <w:left w:val="nil"/>
              <w:bottom w:val="single" w:sz="4" w:space="0" w:color="auto"/>
              <w:right w:val="nil"/>
            </w:tcBorders>
            <w:shd w:val="clear" w:color="auto" w:fill="auto"/>
            <w:noWrap/>
            <w:vAlign w:val="bottom"/>
            <w:hideMark/>
          </w:tcPr>
          <w:p w14:paraId="02C6696F"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White</w:t>
            </w:r>
          </w:p>
        </w:tc>
        <w:tc>
          <w:tcPr>
            <w:tcW w:w="1000" w:type="dxa"/>
            <w:tcBorders>
              <w:top w:val="nil"/>
              <w:left w:val="nil"/>
              <w:bottom w:val="single" w:sz="4" w:space="0" w:color="auto"/>
              <w:right w:val="nil"/>
            </w:tcBorders>
            <w:shd w:val="clear" w:color="auto" w:fill="auto"/>
            <w:noWrap/>
            <w:vAlign w:val="bottom"/>
            <w:hideMark/>
          </w:tcPr>
          <w:p w14:paraId="10C76DB1"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Ethnicity</w:t>
            </w:r>
          </w:p>
        </w:tc>
      </w:tr>
      <w:tr w:rsidR="00805EB4" w:rsidRPr="004C66D9" w14:paraId="56899AF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5EE04F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17416E6B" w14:textId="77777777" w:rsidR="00805EB4" w:rsidRPr="004C66D9" w:rsidRDefault="00805EB4"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435CDEC" w14:textId="77777777" w:rsidR="00805EB4" w:rsidRPr="004C66D9"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F29A269" w14:textId="77777777" w:rsidR="00805EB4" w:rsidRPr="004C66D9" w:rsidRDefault="00805EB4" w:rsidP="00E72162">
            <w:pPr>
              <w:rPr>
                <w:rFonts w:cstheme="minorHAnsi"/>
                <w:sz w:val="22"/>
                <w:szCs w:val="22"/>
              </w:rPr>
            </w:pPr>
          </w:p>
        </w:tc>
        <w:tc>
          <w:tcPr>
            <w:tcW w:w="1040" w:type="dxa"/>
            <w:tcBorders>
              <w:top w:val="nil"/>
              <w:left w:val="nil"/>
              <w:bottom w:val="nil"/>
              <w:right w:val="nil"/>
            </w:tcBorders>
            <w:shd w:val="clear" w:color="auto" w:fill="auto"/>
            <w:noWrap/>
            <w:vAlign w:val="bottom"/>
            <w:hideMark/>
          </w:tcPr>
          <w:p w14:paraId="5B488184" w14:textId="77777777" w:rsidR="00805EB4" w:rsidRPr="004C66D9" w:rsidRDefault="00805EB4" w:rsidP="00E72162">
            <w:pPr>
              <w:rPr>
                <w:rFonts w:cstheme="minorHAnsi"/>
                <w:sz w:val="22"/>
                <w:szCs w:val="22"/>
              </w:rPr>
            </w:pPr>
          </w:p>
        </w:tc>
        <w:tc>
          <w:tcPr>
            <w:tcW w:w="800" w:type="dxa"/>
            <w:tcBorders>
              <w:top w:val="nil"/>
              <w:left w:val="nil"/>
              <w:bottom w:val="nil"/>
              <w:right w:val="nil"/>
            </w:tcBorders>
            <w:shd w:val="clear" w:color="auto" w:fill="auto"/>
            <w:noWrap/>
            <w:vAlign w:val="bottom"/>
            <w:hideMark/>
          </w:tcPr>
          <w:p w14:paraId="079D89F6" w14:textId="77777777" w:rsidR="00805EB4" w:rsidRPr="004C66D9" w:rsidRDefault="00805EB4" w:rsidP="00E72162">
            <w:pPr>
              <w:rPr>
                <w:rFonts w:cstheme="minorHAnsi"/>
                <w:sz w:val="22"/>
                <w:szCs w:val="22"/>
              </w:rPr>
            </w:pPr>
          </w:p>
        </w:tc>
        <w:tc>
          <w:tcPr>
            <w:tcW w:w="1000" w:type="dxa"/>
            <w:tcBorders>
              <w:top w:val="nil"/>
              <w:left w:val="nil"/>
              <w:bottom w:val="nil"/>
              <w:right w:val="nil"/>
            </w:tcBorders>
            <w:shd w:val="clear" w:color="auto" w:fill="auto"/>
            <w:noWrap/>
            <w:vAlign w:val="bottom"/>
            <w:hideMark/>
          </w:tcPr>
          <w:p w14:paraId="41C25026" w14:textId="77777777" w:rsidR="00805EB4" w:rsidRPr="004C66D9" w:rsidRDefault="00805EB4" w:rsidP="00E72162">
            <w:pPr>
              <w:rPr>
                <w:rFonts w:cstheme="minorHAnsi"/>
                <w:sz w:val="22"/>
                <w:szCs w:val="22"/>
              </w:rPr>
            </w:pPr>
          </w:p>
        </w:tc>
      </w:tr>
      <w:tr w:rsidR="00805EB4" w:rsidRPr="004C66D9" w14:paraId="389A6B7F"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80AFBC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869D96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w:t>
            </w:r>
          </w:p>
        </w:tc>
        <w:tc>
          <w:tcPr>
            <w:tcW w:w="1080" w:type="dxa"/>
            <w:tcBorders>
              <w:top w:val="nil"/>
              <w:left w:val="nil"/>
              <w:bottom w:val="nil"/>
              <w:right w:val="nil"/>
            </w:tcBorders>
            <w:shd w:val="clear" w:color="auto" w:fill="auto"/>
            <w:noWrap/>
            <w:vAlign w:val="bottom"/>
            <w:hideMark/>
          </w:tcPr>
          <w:p w14:paraId="6FC65BF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1.3%</w:t>
            </w:r>
          </w:p>
        </w:tc>
        <w:tc>
          <w:tcPr>
            <w:tcW w:w="920" w:type="dxa"/>
            <w:tcBorders>
              <w:top w:val="nil"/>
              <w:left w:val="nil"/>
              <w:bottom w:val="nil"/>
              <w:right w:val="nil"/>
            </w:tcBorders>
            <w:shd w:val="clear" w:color="auto" w:fill="auto"/>
            <w:noWrap/>
            <w:vAlign w:val="bottom"/>
            <w:hideMark/>
          </w:tcPr>
          <w:p w14:paraId="27C4311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-1.3%</w:t>
            </w:r>
          </w:p>
        </w:tc>
        <w:tc>
          <w:tcPr>
            <w:tcW w:w="1040" w:type="dxa"/>
            <w:tcBorders>
              <w:top w:val="nil"/>
              <w:left w:val="nil"/>
              <w:bottom w:val="nil"/>
              <w:right w:val="nil"/>
            </w:tcBorders>
            <w:shd w:val="clear" w:color="auto" w:fill="auto"/>
            <w:noWrap/>
            <w:vAlign w:val="bottom"/>
            <w:hideMark/>
          </w:tcPr>
          <w:p w14:paraId="2C9BDEC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1.2%</w:t>
            </w:r>
          </w:p>
        </w:tc>
        <w:tc>
          <w:tcPr>
            <w:tcW w:w="800" w:type="dxa"/>
            <w:tcBorders>
              <w:top w:val="nil"/>
              <w:left w:val="nil"/>
              <w:bottom w:val="nil"/>
              <w:right w:val="nil"/>
            </w:tcBorders>
            <w:shd w:val="clear" w:color="auto" w:fill="auto"/>
            <w:noWrap/>
            <w:vAlign w:val="bottom"/>
            <w:hideMark/>
          </w:tcPr>
          <w:p w14:paraId="72BD49B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0.7%</w:t>
            </w:r>
          </w:p>
        </w:tc>
        <w:tc>
          <w:tcPr>
            <w:tcW w:w="1000" w:type="dxa"/>
            <w:tcBorders>
              <w:top w:val="nil"/>
              <w:left w:val="nil"/>
              <w:bottom w:val="nil"/>
              <w:right w:val="nil"/>
            </w:tcBorders>
            <w:shd w:val="clear" w:color="auto" w:fill="auto"/>
            <w:noWrap/>
            <w:vAlign w:val="bottom"/>
            <w:hideMark/>
          </w:tcPr>
          <w:p w14:paraId="62C19C6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-8.6%</w:t>
            </w:r>
          </w:p>
        </w:tc>
      </w:tr>
      <w:tr w:rsidR="00805EB4" w:rsidRPr="004C66D9" w14:paraId="69A1DEA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71AAA9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750E8F28" w14:textId="77777777" w:rsidR="00805EB4" w:rsidRPr="0036715F" w:rsidRDefault="00805EB4" w:rsidP="00E72162">
            <w:pPr>
              <w:jc w:val="right"/>
              <w:rPr>
                <w:rFonts w:cstheme="minorHAnsi"/>
                <w:b/>
                <w:bCs/>
                <w:i/>
                <w:color w:val="000000"/>
                <w:sz w:val="22"/>
                <w:szCs w:val="22"/>
              </w:rPr>
            </w:pPr>
            <w:r w:rsidRPr="0036715F">
              <w:rPr>
                <w:rFonts w:cstheme="minorHAnsi"/>
                <w:b/>
                <w:bCs/>
                <w:i/>
                <w:color w:val="000000"/>
                <w:sz w:val="22"/>
                <w:szCs w:val="22"/>
              </w:rPr>
              <w:t>3.2%</w:t>
            </w:r>
          </w:p>
        </w:tc>
        <w:tc>
          <w:tcPr>
            <w:tcW w:w="1080" w:type="dxa"/>
            <w:tcBorders>
              <w:top w:val="nil"/>
              <w:left w:val="nil"/>
              <w:bottom w:val="nil"/>
              <w:right w:val="nil"/>
            </w:tcBorders>
            <w:shd w:val="clear" w:color="auto" w:fill="auto"/>
            <w:noWrap/>
            <w:vAlign w:val="bottom"/>
            <w:hideMark/>
          </w:tcPr>
          <w:p w14:paraId="4A96F5D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1.4%</w:t>
            </w:r>
          </w:p>
        </w:tc>
        <w:tc>
          <w:tcPr>
            <w:tcW w:w="920" w:type="dxa"/>
            <w:tcBorders>
              <w:top w:val="nil"/>
              <w:left w:val="nil"/>
              <w:bottom w:val="nil"/>
              <w:right w:val="nil"/>
            </w:tcBorders>
            <w:shd w:val="clear" w:color="auto" w:fill="auto"/>
            <w:noWrap/>
            <w:vAlign w:val="bottom"/>
            <w:hideMark/>
          </w:tcPr>
          <w:p w14:paraId="1C62A40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-2.9%</w:t>
            </w:r>
          </w:p>
        </w:tc>
        <w:tc>
          <w:tcPr>
            <w:tcW w:w="1040" w:type="dxa"/>
            <w:tcBorders>
              <w:top w:val="nil"/>
              <w:left w:val="nil"/>
              <w:bottom w:val="nil"/>
              <w:right w:val="nil"/>
            </w:tcBorders>
            <w:shd w:val="clear" w:color="auto" w:fill="auto"/>
            <w:noWrap/>
            <w:vAlign w:val="bottom"/>
            <w:hideMark/>
          </w:tcPr>
          <w:p w14:paraId="0F3AA53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3.3%</w:t>
            </w:r>
          </w:p>
        </w:tc>
        <w:tc>
          <w:tcPr>
            <w:tcW w:w="800" w:type="dxa"/>
            <w:tcBorders>
              <w:top w:val="nil"/>
              <w:left w:val="nil"/>
              <w:bottom w:val="nil"/>
              <w:right w:val="nil"/>
            </w:tcBorders>
            <w:shd w:val="clear" w:color="auto" w:fill="auto"/>
            <w:noWrap/>
            <w:vAlign w:val="bottom"/>
            <w:hideMark/>
          </w:tcPr>
          <w:p w14:paraId="57E0E334" w14:textId="77777777" w:rsidR="00805EB4" w:rsidRPr="0036715F" w:rsidRDefault="00805EB4" w:rsidP="00E72162">
            <w:pPr>
              <w:jc w:val="right"/>
              <w:rPr>
                <w:rFonts w:cstheme="minorHAnsi"/>
                <w:b/>
                <w:bCs/>
                <w:i/>
                <w:color w:val="000000"/>
                <w:sz w:val="22"/>
                <w:szCs w:val="22"/>
              </w:rPr>
            </w:pPr>
            <w:r w:rsidRPr="0036715F">
              <w:rPr>
                <w:rFonts w:cstheme="minorHAnsi"/>
                <w:b/>
                <w:bCs/>
                <w:i/>
                <w:color w:val="000000"/>
                <w:sz w:val="22"/>
                <w:szCs w:val="22"/>
              </w:rPr>
              <w:t>4.0%</w:t>
            </w:r>
          </w:p>
        </w:tc>
        <w:tc>
          <w:tcPr>
            <w:tcW w:w="1000" w:type="dxa"/>
            <w:tcBorders>
              <w:top w:val="nil"/>
              <w:left w:val="nil"/>
              <w:bottom w:val="nil"/>
              <w:right w:val="nil"/>
            </w:tcBorders>
            <w:shd w:val="clear" w:color="auto" w:fill="auto"/>
            <w:noWrap/>
            <w:vAlign w:val="bottom"/>
            <w:hideMark/>
          </w:tcPr>
          <w:p w14:paraId="697932E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w:t>
            </w:r>
          </w:p>
        </w:tc>
      </w:tr>
      <w:tr w:rsidR="00805EB4" w:rsidRPr="004C66D9" w14:paraId="7230FC2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1E731EB"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1D72ACE9" w14:textId="77777777" w:rsidR="00805EB4" w:rsidRPr="004C66D9" w:rsidRDefault="00805EB4"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53602463" w14:textId="77777777" w:rsidR="00805EB4" w:rsidRPr="004C66D9" w:rsidRDefault="00805EB4"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A60CE38" w14:textId="77777777" w:rsidR="00805EB4" w:rsidRPr="004C66D9" w:rsidRDefault="00805EB4" w:rsidP="00E72162">
            <w:pPr>
              <w:rPr>
                <w:rFonts w:cstheme="minorHAnsi"/>
                <w:sz w:val="22"/>
                <w:szCs w:val="22"/>
              </w:rPr>
            </w:pPr>
          </w:p>
        </w:tc>
        <w:tc>
          <w:tcPr>
            <w:tcW w:w="1040" w:type="dxa"/>
            <w:tcBorders>
              <w:top w:val="nil"/>
              <w:left w:val="nil"/>
              <w:bottom w:val="nil"/>
              <w:right w:val="nil"/>
            </w:tcBorders>
            <w:shd w:val="clear" w:color="auto" w:fill="auto"/>
            <w:noWrap/>
            <w:vAlign w:val="bottom"/>
            <w:hideMark/>
          </w:tcPr>
          <w:p w14:paraId="5ED41588" w14:textId="77777777" w:rsidR="00805EB4" w:rsidRPr="004C66D9" w:rsidRDefault="00805EB4" w:rsidP="00E72162">
            <w:pPr>
              <w:rPr>
                <w:rFonts w:cstheme="minorHAnsi"/>
                <w:sz w:val="22"/>
                <w:szCs w:val="22"/>
              </w:rPr>
            </w:pPr>
          </w:p>
        </w:tc>
        <w:tc>
          <w:tcPr>
            <w:tcW w:w="800" w:type="dxa"/>
            <w:tcBorders>
              <w:top w:val="nil"/>
              <w:left w:val="nil"/>
              <w:bottom w:val="nil"/>
              <w:right w:val="nil"/>
            </w:tcBorders>
            <w:shd w:val="clear" w:color="auto" w:fill="auto"/>
            <w:noWrap/>
            <w:vAlign w:val="bottom"/>
            <w:hideMark/>
          </w:tcPr>
          <w:p w14:paraId="094ADE6C" w14:textId="77777777" w:rsidR="00805EB4" w:rsidRPr="004C66D9" w:rsidRDefault="00805EB4" w:rsidP="00E72162">
            <w:pPr>
              <w:rPr>
                <w:rFonts w:cstheme="minorHAnsi"/>
                <w:sz w:val="22"/>
                <w:szCs w:val="22"/>
              </w:rPr>
            </w:pPr>
          </w:p>
        </w:tc>
        <w:tc>
          <w:tcPr>
            <w:tcW w:w="1000" w:type="dxa"/>
            <w:tcBorders>
              <w:top w:val="nil"/>
              <w:left w:val="nil"/>
              <w:bottom w:val="nil"/>
              <w:right w:val="nil"/>
            </w:tcBorders>
            <w:shd w:val="clear" w:color="auto" w:fill="auto"/>
            <w:noWrap/>
            <w:vAlign w:val="bottom"/>
            <w:hideMark/>
          </w:tcPr>
          <w:p w14:paraId="18438AD0" w14:textId="77777777" w:rsidR="00805EB4" w:rsidRPr="004C66D9" w:rsidRDefault="00805EB4" w:rsidP="00E72162">
            <w:pPr>
              <w:rPr>
                <w:rFonts w:cstheme="minorHAnsi"/>
                <w:sz w:val="22"/>
                <w:szCs w:val="22"/>
              </w:rPr>
            </w:pPr>
          </w:p>
        </w:tc>
      </w:tr>
      <w:tr w:rsidR="00805EB4" w:rsidRPr="004C66D9" w14:paraId="75B822F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C46D6B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24A7DCE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1.2%</w:t>
            </w:r>
          </w:p>
        </w:tc>
        <w:tc>
          <w:tcPr>
            <w:tcW w:w="1080" w:type="dxa"/>
            <w:tcBorders>
              <w:top w:val="nil"/>
              <w:left w:val="nil"/>
              <w:bottom w:val="nil"/>
              <w:right w:val="nil"/>
            </w:tcBorders>
            <w:shd w:val="clear" w:color="auto" w:fill="auto"/>
            <w:noWrap/>
            <w:vAlign w:val="bottom"/>
            <w:hideMark/>
          </w:tcPr>
          <w:p w14:paraId="56D2937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3.5%</w:t>
            </w:r>
          </w:p>
        </w:tc>
        <w:tc>
          <w:tcPr>
            <w:tcW w:w="920" w:type="dxa"/>
            <w:tcBorders>
              <w:top w:val="nil"/>
              <w:left w:val="nil"/>
              <w:bottom w:val="nil"/>
              <w:right w:val="nil"/>
            </w:tcBorders>
            <w:shd w:val="clear" w:color="auto" w:fill="auto"/>
            <w:noWrap/>
            <w:vAlign w:val="bottom"/>
            <w:hideMark/>
          </w:tcPr>
          <w:p w14:paraId="6770E8C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-1.7%</w:t>
            </w:r>
          </w:p>
        </w:tc>
        <w:tc>
          <w:tcPr>
            <w:tcW w:w="1040" w:type="dxa"/>
            <w:tcBorders>
              <w:top w:val="nil"/>
              <w:left w:val="nil"/>
              <w:bottom w:val="nil"/>
              <w:right w:val="nil"/>
            </w:tcBorders>
            <w:shd w:val="clear" w:color="auto" w:fill="auto"/>
            <w:noWrap/>
            <w:vAlign w:val="bottom"/>
            <w:hideMark/>
          </w:tcPr>
          <w:p w14:paraId="719E968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3.3%</w:t>
            </w:r>
          </w:p>
        </w:tc>
        <w:tc>
          <w:tcPr>
            <w:tcW w:w="800" w:type="dxa"/>
            <w:tcBorders>
              <w:top w:val="nil"/>
              <w:left w:val="nil"/>
              <w:bottom w:val="nil"/>
              <w:right w:val="nil"/>
            </w:tcBorders>
            <w:shd w:val="clear" w:color="auto" w:fill="auto"/>
            <w:noWrap/>
            <w:vAlign w:val="bottom"/>
            <w:hideMark/>
          </w:tcPr>
          <w:p w14:paraId="6C024F8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w:t>
            </w:r>
          </w:p>
        </w:tc>
        <w:tc>
          <w:tcPr>
            <w:tcW w:w="1000" w:type="dxa"/>
            <w:tcBorders>
              <w:top w:val="nil"/>
              <w:left w:val="nil"/>
              <w:bottom w:val="nil"/>
              <w:right w:val="nil"/>
            </w:tcBorders>
            <w:shd w:val="clear" w:color="auto" w:fill="auto"/>
            <w:noWrap/>
            <w:vAlign w:val="bottom"/>
            <w:hideMark/>
          </w:tcPr>
          <w:p w14:paraId="2FB2B43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1.5%</w:t>
            </w:r>
          </w:p>
        </w:tc>
      </w:tr>
      <w:tr w:rsidR="00805EB4" w:rsidRPr="004C66D9" w14:paraId="3B2B3745"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3421D25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108F3C6F" w14:textId="77777777" w:rsidR="00805EB4" w:rsidRPr="0036715F" w:rsidRDefault="00805EB4" w:rsidP="00E72162">
            <w:pPr>
              <w:jc w:val="right"/>
              <w:rPr>
                <w:rFonts w:cstheme="minorHAnsi"/>
                <w:b/>
                <w:bCs/>
                <w:i/>
                <w:color w:val="000000"/>
                <w:sz w:val="22"/>
                <w:szCs w:val="22"/>
              </w:rPr>
            </w:pPr>
            <w:r w:rsidRPr="0036715F">
              <w:rPr>
                <w:rFonts w:cstheme="minorHAnsi"/>
                <w:b/>
                <w:bCs/>
                <w:i/>
                <w:color w:val="000000"/>
                <w:sz w:val="22"/>
                <w:szCs w:val="22"/>
              </w:rPr>
              <w:t>2.6%</w:t>
            </w:r>
          </w:p>
        </w:tc>
        <w:tc>
          <w:tcPr>
            <w:tcW w:w="1080" w:type="dxa"/>
            <w:tcBorders>
              <w:top w:val="nil"/>
              <w:left w:val="nil"/>
              <w:bottom w:val="single" w:sz="4" w:space="0" w:color="auto"/>
              <w:right w:val="nil"/>
            </w:tcBorders>
            <w:shd w:val="clear" w:color="auto" w:fill="auto"/>
            <w:noWrap/>
            <w:vAlign w:val="bottom"/>
            <w:hideMark/>
          </w:tcPr>
          <w:p w14:paraId="620E263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-4.3%</w:t>
            </w:r>
          </w:p>
        </w:tc>
        <w:tc>
          <w:tcPr>
            <w:tcW w:w="920" w:type="dxa"/>
            <w:tcBorders>
              <w:top w:val="nil"/>
              <w:left w:val="nil"/>
              <w:bottom w:val="single" w:sz="4" w:space="0" w:color="auto"/>
              <w:right w:val="nil"/>
            </w:tcBorders>
            <w:shd w:val="clear" w:color="auto" w:fill="auto"/>
            <w:noWrap/>
            <w:vAlign w:val="bottom"/>
            <w:hideMark/>
          </w:tcPr>
          <w:p w14:paraId="53DD1F8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-11.8%</w:t>
            </w:r>
          </w:p>
        </w:tc>
        <w:tc>
          <w:tcPr>
            <w:tcW w:w="1040" w:type="dxa"/>
            <w:tcBorders>
              <w:top w:val="nil"/>
              <w:left w:val="nil"/>
              <w:bottom w:val="single" w:sz="4" w:space="0" w:color="auto"/>
              <w:right w:val="nil"/>
            </w:tcBorders>
            <w:shd w:val="clear" w:color="auto" w:fill="auto"/>
            <w:noWrap/>
            <w:vAlign w:val="bottom"/>
            <w:hideMark/>
          </w:tcPr>
          <w:p w14:paraId="650ED761" w14:textId="77777777" w:rsidR="00805EB4" w:rsidRPr="0036715F" w:rsidRDefault="00805EB4" w:rsidP="00E72162">
            <w:pPr>
              <w:jc w:val="right"/>
              <w:rPr>
                <w:rFonts w:cstheme="minorHAnsi"/>
                <w:b/>
                <w:bCs/>
                <w:i/>
                <w:color w:val="000000"/>
                <w:sz w:val="22"/>
                <w:szCs w:val="22"/>
              </w:rPr>
            </w:pPr>
            <w:r w:rsidRPr="0036715F">
              <w:rPr>
                <w:rFonts w:cstheme="minorHAnsi"/>
                <w:b/>
                <w:bCs/>
                <w:i/>
                <w:color w:val="000000"/>
                <w:sz w:val="22"/>
                <w:szCs w:val="22"/>
              </w:rPr>
              <w:t>8.6%</w:t>
            </w:r>
          </w:p>
        </w:tc>
        <w:tc>
          <w:tcPr>
            <w:tcW w:w="800" w:type="dxa"/>
            <w:tcBorders>
              <w:top w:val="nil"/>
              <w:left w:val="nil"/>
              <w:bottom w:val="single" w:sz="4" w:space="0" w:color="auto"/>
              <w:right w:val="nil"/>
            </w:tcBorders>
            <w:shd w:val="clear" w:color="auto" w:fill="auto"/>
            <w:noWrap/>
            <w:vAlign w:val="bottom"/>
            <w:hideMark/>
          </w:tcPr>
          <w:p w14:paraId="05698892" w14:textId="77777777" w:rsidR="00805EB4" w:rsidRPr="0036715F" w:rsidRDefault="00805EB4" w:rsidP="00E72162">
            <w:pPr>
              <w:jc w:val="right"/>
              <w:rPr>
                <w:rFonts w:cstheme="minorHAnsi"/>
                <w:b/>
                <w:bCs/>
                <w:i/>
                <w:color w:val="000000"/>
                <w:sz w:val="22"/>
                <w:szCs w:val="22"/>
              </w:rPr>
            </w:pPr>
            <w:r w:rsidRPr="0036715F">
              <w:rPr>
                <w:rFonts w:cstheme="minorHAnsi"/>
                <w:b/>
                <w:bCs/>
                <w:i/>
                <w:color w:val="000000"/>
                <w:sz w:val="22"/>
                <w:szCs w:val="22"/>
              </w:rPr>
              <w:t>3.2%</w:t>
            </w:r>
          </w:p>
        </w:tc>
        <w:tc>
          <w:tcPr>
            <w:tcW w:w="1000" w:type="dxa"/>
            <w:tcBorders>
              <w:top w:val="nil"/>
              <w:left w:val="nil"/>
              <w:bottom w:val="single" w:sz="4" w:space="0" w:color="auto"/>
              <w:right w:val="nil"/>
            </w:tcBorders>
            <w:shd w:val="clear" w:color="auto" w:fill="auto"/>
            <w:noWrap/>
            <w:vAlign w:val="bottom"/>
            <w:hideMark/>
          </w:tcPr>
          <w:p w14:paraId="3CA904D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7.1%</w:t>
            </w:r>
          </w:p>
        </w:tc>
      </w:tr>
    </w:tbl>
    <w:p w14:paraId="5B4DD4F7" w14:textId="77777777" w:rsidR="00E847F0" w:rsidRPr="004C66D9" w:rsidRDefault="00E847F0" w:rsidP="00E847F0">
      <w:pPr>
        <w:rPr>
          <w:rFonts w:cstheme="minorHAnsi"/>
          <w:iCs/>
          <w:sz w:val="22"/>
          <w:szCs w:val="22"/>
        </w:rPr>
      </w:pPr>
    </w:p>
    <w:p w14:paraId="53EFDFFF" w14:textId="77777777" w:rsidR="00E847F0" w:rsidRDefault="00E847F0" w:rsidP="00E847F0">
      <w:pPr>
        <w:jc w:val="center"/>
        <w:rPr>
          <w:rFonts w:cstheme="minorHAnsi"/>
          <w:iCs/>
          <w:sz w:val="22"/>
          <w:szCs w:val="22"/>
        </w:rPr>
      </w:pPr>
    </w:p>
    <w:p w14:paraId="3471126E" w14:textId="77777777" w:rsidR="00E847F0" w:rsidRDefault="00E847F0" w:rsidP="00E847F0">
      <w:pPr>
        <w:jc w:val="center"/>
        <w:rPr>
          <w:rFonts w:cstheme="minorHAnsi"/>
          <w:iCs/>
          <w:sz w:val="22"/>
          <w:szCs w:val="22"/>
        </w:rPr>
      </w:pPr>
    </w:p>
    <w:p w14:paraId="70DCC2CD" w14:textId="1A4DBC71" w:rsidR="00E847F0" w:rsidRDefault="00E847F0" w:rsidP="00E847F0">
      <w:pPr>
        <w:jc w:val="center"/>
        <w:rPr>
          <w:rFonts w:cstheme="minorHAnsi"/>
          <w:iCs/>
          <w:sz w:val="22"/>
          <w:szCs w:val="22"/>
        </w:rPr>
      </w:pPr>
    </w:p>
    <w:p w14:paraId="3342FF89" w14:textId="7AC57A43" w:rsidR="00C5217E" w:rsidRDefault="00C5217E" w:rsidP="00E847F0">
      <w:pPr>
        <w:jc w:val="center"/>
        <w:rPr>
          <w:rFonts w:cstheme="minorHAnsi"/>
          <w:iCs/>
          <w:sz w:val="22"/>
          <w:szCs w:val="22"/>
        </w:rPr>
      </w:pPr>
    </w:p>
    <w:p w14:paraId="04F054AE" w14:textId="77777777" w:rsidR="00C5217E" w:rsidRDefault="00C5217E" w:rsidP="00E847F0">
      <w:pPr>
        <w:jc w:val="center"/>
        <w:rPr>
          <w:rFonts w:cstheme="minorHAnsi"/>
          <w:iCs/>
          <w:sz w:val="22"/>
          <w:szCs w:val="22"/>
        </w:rPr>
      </w:pPr>
    </w:p>
    <w:p w14:paraId="602A1F31" w14:textId="77777777" w:rsidR="00E847F0" w:rsidRDefault="00E847F0" w:rsidP="00E847F0">
      <w:pPr>
        <w:jc w:val="center"/>
        <w:rPr>
          <w:rFonts w:cstheme="minorHAnsi"/>
          <w:iCs/>
          <w:sz w:val="22"/>
          <w:szCs w:val="22"/>
        </w:rPr>
      </w:pPr>
    </w:p>
    <w:p w14:paraId="4AFB8A38" w14:textId="77777777" w:rsidR="00E847F0" w:rsidRDefault="00E847F0" w:rsidP="00E847F0">
      <w:pPr>
        <w:jc w:val="center"/>
        <w:rPr>
          <w:rFonts w:cstheme="minorHAnsi"/>
          <w:iCs/>
          <w:sz w:val="22"/>
          <w:szCs w:val="22"/>
        </w:rPr>
      </w:pPr>
    </w:p>
    <w:p w14:paraId="2EF26401" w14:textId="46835C0C" w:rsidR="00E847F0" w:rsidRPr="00000D4B" w:rsidRDefault="00E847F0" w:rsidP="00E847F0">
      <w:pPr>
        <w:jc w:val="center"/>
        <w:rPr>
          <w:rFonts w:cstheme="minorHAnsi"/>
          <w:b/>
          <w:bCs/>
          <w:color w:val="6A7F0F"/>
          <w:sz w:val="22"/>
          <w:szCs w:val="22"/>
        </w:rPr>
      </w:pPr>
      <w:bookmarkStart w:id="131" w:name="Appendix6_Table_A64b"/>
      <w:r w:rsidRPr="00000D4B">
        <w:rPr>
          <w:rFonts w:cstheme="minorHAnsi"/>
          <w:b/>
          <w:bCs/>
          <w:iCs/>
          <w:color w:val="6A7F0F"/>
          <w:sz w:val="22"/>
          <w:szCs w:val="22"/>
        </w:rPr>
        <w:t>Table A</w:t>
      </w:r>
      <w:r w:rsidR="0067134D" w:rsidRPr="00000D4B">
        <w:rPr>
          <w:rFonts w:cstheme="minorHAnsi"/>
          <w:b/>
          <w:bCs/>
          <w:iCs/>
          <w:color w:val="6A7F0F"/>
          <w:sz w:val="22"/>
          <w:szCs w:val="22"/>
        </w:rPr>
        <w:t>7</w:t>
      </w:r>
      <w:r w:rsidRPr="00000D4B">
        <w:rPr>
          <w:rFonts w:cstheme="minorHAnsi"/>
          <w:b/>
          <w:bCs/>
          <w:iCs/>
          <w:color w:val="6A7F0F"/>
          <w:sz w:val="22"/>
          <w:szCs w:val="22"/>
        </w:rPr>
        <w:t xml:space="preserve">.4b: Changes in Primary Care Quarterly Use and Visits Per Person </w:t>
      </w:r>
      <w:r w:rsidRPr="00000D4B">
        <w:rPr>
          <w:rFonts w:cstheme="minorHAnsi"/>
          <w:b/>
          <w:bCs/>
          <w:color w:val="6A7F0F"/>
          <w:sz w:val="22"/>
          <w:szCs w:val="22"/>
        </w:rPr>
        <w:t xml:space="preserve">Overall </w:t>
      </w:r>
    </w:p>
    <w:p w14:paraId="23F35627" w14:textId="77777777" w:rsidR="00E847F0" w:rsidRPr="00000D4B" w:rsidRDefault="00E847F0" w:rsidP="00E847F0">
      <w:pPr>
        <w:jc w:val="center"/>
        <w:rPr>
          <w:rFonts w:cstheme="minorHAnsi"/>
          <w:b/>
          <w:bCs/>
          <w:color w:val="6A7F0F"/>
          <w:sz w:val="22"/>
          <w:szCs w:val="22"/>
        </w:rPr>
      </w:pPr>
      <w:r w:rsidRPr="00000D4B">
        <w:rPr>
          <w:rFonts w:cstheme="minorHAnsi"/>
          <w:b/>
          <w:bCs/>
          <w:color w:val="6A7F0F"/>
          <w:sz w:val="22"/>
          <w:szCs w:val="22"/>
        </w:rPr>
        <w:t>and by Place of Residence for CCBHC OHP Members</w:t>
      </w:r>
    </w:p>
    <w:bookmarkEnd w:id="131"/>
    <w:p w14:paraId="493CDD33" w14:textId="77777777" w:rsidR="00E847F0" w:rsidRPr="004C66D9" w:rsidRDefault="00E847F0" w:rsidP="00E847F0">
      <w:pPr>
        <w:jc w:val="center"/>
        <w:rPr>
          <w:rFonts w:cstheme="minorHAnsi"/>
          <w:iCs/>
          <w:sz w:val="22"/>
          <w:szCs w:val="22"/>
        </w:rPr>
      </w:pPr>
    </w:p>
    <w:p w14:paraId="3EFECEDC" w14:textId="77777777" w:rsidR="00E847F0" w:rsidRPr="004C66D9" w:rsidRDefault="00E847F0" w:rsidP="00E847F0">
      <w:pPr>
        <w:rPr>
          <w:rFonts w:cstheme="minorHAnsi"/>
          <w:iCs/>
          <w:sz w:val="22"/>
          <w:szCs w:val="22"/>
        </w:rPr>
      </w:pPr>
    </w:p>
    <w:p w14:paraId="5052A5E3" w14:textId="77777777" w:rsidR="00E847F0" w:rsidRPr="004C66D9" w:rsidRDefault="00E847F0" w:rsidP="00E847F0">
      <w:pPr>
        <w:ind w:left="1152" w:hanging="1152"/>
        <w:rPr>
          <w:rFonts w:cstheme="minorHAnsi"/>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805EB4" w:rsidRPr="00E60BC4" w14:paraId="5BD06763" w14:textId="77777777" w:rsidTr="00E72162">
        <w:trPr>
          <w:trHeight w:val="290"/>
          <w:jc w:val="center"/>
        </w:trPr>
        <w:tc>
          <w:tcPr>
            <w:tcW w:w="2707" w:type="dxa"/>
            <w:tcBorders>
              <w:top w:val="nil"/>
              <w:left w:val="nil"/>
              <w:bottom w:val="nil"/>
              <w:right w:val="nil"/>
            </w:tcBorders>
          </w:tcPr>
          <w:p w14:paraId="2CA6C4D5"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951" w:type="dxa"/>
            <w:tcBorders>
              <w:top w:val="nil"/>
              <w:left w:val="nil"/>
              <w:bottom w:val="nil"/>
              <w:right w:val="nil"/>
            </w:tcBorders>
          </w:tcPr>
          <w:p w14:paraId="14D9E0B8"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058EB54F"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4ECE4F98"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Rural or</w:t>
            </w:r>
          </w:p>
        </w:tc>
      </w:tr>
      <w:tr w:rsidR="00805EB4" w:rsidRPr="00E60BC4" w14:paraId="433638C1" w14:textId="77777777" w:rsidTr="00E72162">
        <w:trPr>
          <w:trHeight w:val="290"/>
          <w:jc w:val="center"/>
        </w:trPr>
        <w:tc>
          <w:tcPr>
            <w:tcW w:w="2707" w:type="dxa"/>
            <w:tcBorders>
              <w:top w:val="nil"/>
              <w:left w:val="nil"/>
              <w:bottom w:val="single" w:sz="6" w:space="0" w:color="auto"/>
              <w:right w:val="nil"/>
            </w:tcBorders>
          </w:tcPr>
          <w:p w14:paraId="651B33C1"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Primary Care</w:t>
            </w:r>
          </w:p>
        </w:tc>
        <w:tc>
          <w:tcPr>
            <w:tcW w:w="951" w:type="dxa"/>
            <w:tcBorders>
              <w:top w:val="nil"/>
              <w:left w:val="nil"/>
              <w:bottom w:val="single" w:sz="6" w:space="0" w:color="auto"/>
              <w:right w:val="nil"/>
            </w:tcBorders>
          </w:tcPr>
          <w:p w14:paraId="5F9D5771"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32306C35"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06B40526" w14:textId="77777777" w:rsidR="00805EB4" w:rsidRPr="00E60BC4" w:rsidRDefault="00805EB4"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Remote</w:t>
            </w:r>
          </w:p>
        </w:tc>
      </w:tr>
      <w:tr w:rsidR="00805EB4" w:rsidRPr="00E60BC4" w14:paraId="6887B592" w14:textId="77777777" w:rsidTr="00E72162">
        <w:trPr>
          <w:trHeight w:val="290"/>
          <w:jc w:val="center"/>
        </w:trPr>
        <w:tc>
          <w:tcPr>
            <w:tcW w:w="2707" w:type="dxa"/>
            <w:tcBorders>
              <w:top w:val="nil"/>
              <w:left w:val="nil"/>
              <w:bottom w:val="nil"/>
              <w:right w:val="nil"/>
            </w:tcBorders>
          </w:tcPr>
          <w:p w14:paraId="122C1590"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4043F9CC"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AD2E1B4"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7295AA8"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23C45F93" w14:textId="77777777" w:rsidTr="00E72162">
        <w:trPr>
          <w:trHeight w:val="290"/>
          <w:jc w:val="center"/>
        </w:trPr>
        <w:tc>
          <w:tcPr>
            <w:tcW w:w="2707" w:type="dxa"/>
            <w:tcBorders>
              <w:top w:val="nil"/>
              <w:left w:val="nil"/>
              <w:bottom w:val="nil"/>
              <w:right w:val="nil"/>
            </w:tcBorders>
          </w:tcPr>
          <w:p w14:paraId="394D9A6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712823C6"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0.4%</w:t>
            </w:r>
          </w:p>
        </w:tc>
        <w:tc>
          <w:tcPr>
            <w:tcW w:w="1032" w:type="dxa"/>
            <w:tcBorders>
              <w:top w:val="nil"/>
              <w:left w:val="nil"/>
              <w:bottom w:val="nil"/>
              <w:right w:val="nil"/>
            </w:tcBorders>
          </w:tcPr>
          <w:p w14:paraId="2BF14709"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w:t>
            </w:r>
          </w:p>
        </w:tc>
        <w:tc>
          <w:tcPr>
            <w:tcW w:w="1032" w:type="dxa"/>
            <w:tcBorders>
              <w:top w:val="nil"/>
              <w:left w:val="nil"/>
              <w:bottom w:val="nil"/>
              <w:right w:val="nil"/>
            </w:tcBorders>
          </w:tcPr>
          <w:p w14:paraId="623EF185"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1.8%</w:t>
            </w:r>
          </w:p>
        </w:tc>
      </w:tr>
      <w:tr w:rsidR="00805EB4" w:rsidRPr="00E60BC4" w14:paraId="015E7F09" w14:textId="77777777" w:rsidTr="00E72162">
        <w:trPr>
          <w:trHeight w:val="290"/>
          <w:jc w:val="center"/>
        </w:trPr>
        <w:tc>
          <w:tcPr>
            <w:tcW w:w="2707" w:type="dxa"/>
            <w:tcBorders>
              <w:top w:val="nil"/>
              <w:left w:val="nil"/>
              <w:bottom w:val="nil"/>
              <w:right w:val="nil"/>
            </w:tcBorders>
          </w:tcPr>
          <w:p w14:paraId="3F933F3A"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0EED7016"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3.2%</w:t>
            </w:r>
          </w:p>
        </w:tc>
        <w:tc>
          <w:tcPr>
            <w:tcW w:w="1032" w:type="dxa"/>
            <w:tcBorders>
              <w:top w:val="nil"/>
              <w:left w:val="nil"/>
              <w:bottom w:val="nil"/>
              <w:right w:val="nil"/>
            </w:tcBorders>
          </w:tcPr>
          <w:p w14:paraId="45F1B191"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-0.2%</w:t>
            </w:r>
          </w:p>
        </w:tc>
        <w:tc>
          <w:tcPr>
            <w:tcW w:w="1032" w:type="dxa"/>
            <w:tcBorders>
              <w:top w:val="nil"/>
              <w:left w:val="nil"/>
              <w:bottom w:val="nil"/>
              <w:right w:val="nil"/>
            </w:tcBorders>
          </w:tcPr>
          <w:p w14:paraId="6435DCA5"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5.9%</w:t>
            </w:r>
          </w:p>
        </w:tc>
      </w:tr>
      <w:tr w:rsidR="00805EB4" w:rsidRPr="00E60BC4" w14:paraId="74D90259" w14:textId="77777777" w:rsidTr="00E72162">
        <w:trPr>
          <w:trHeight w:val="290"/>
          <w:jc w:val="center"/>
        </w:trPr>
        <w:tc>
          <w:tcPr>
            <w:tcW w:w="2707" w:type="dxa"/>
            <w:tcBorders>
              <w:top w:val="nil"/>
              <w:left w:val="nil"/>
              <w:bottom w:val="nil"/>
              <w:right w:val="nil"/>
            </w:tcBorders>
          </w:tcPr>
          <w:p w14:paraId="213C2EA0" w14:textId="77777777" w:rsidR="00805EB4" w:rsidRPr="00E60BC4" w:rsidRDefault="00805EB4"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Visits per Person</w:t>
            </w:r>
          </w:p>
        </w:tc>
        <w:tc>
          <w:tcPr>
            <w:tcW w:w="951" w:type="dxa"/>
            <w:tcBorders>
              <w:top w:val="nil"/>
              <w:left w:val="nil"/>
              <w:bottom w:val="nil"/>
              <w:right w:val="nil"/>
            </w:tcBorders>
          </w:tcPr>
          <w:p w14:paraId="1CD56601"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1B6E3FB"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054EB71" w14:textId="77777777" w:rsidR="00805EB4" w:rsidRPr="00E60BC4" w:rsidRDefault="00805EB4" w:rsidP="00E72162">
            <w:pPr>
              <w:autoSpaceDE w:val="0"/>
              <w:autoSpaceDN w:val="0"/>
              <w:adjustRightInd w:val="0"/>
              <w:jc w:val="right"/>
              <w:rPr>
                <w:rFonts w:ascii="Calibri" w:hAnsi="Calibri" w:cs="Calibri"/>
                <w:color w:val="000000"/>
                <w:sz w:val="22"/>
                <w:szCs w:val="22"/>
              </w:rPr>
            </w:pPr>
          </w:p>
        </w:tc>
      </w:tr>
      <w:tr w:rsidR="00805EB4" w:rsidRPr="00E60BC4" w14:paraId="57D4B328" w14:textId="77777777" w:rsidTr="00E72162">
        <w:trPr>
          <w:trHeight w:val="290"/>
          <w:jc w:val="center"/>
        </w:trPr>
        <w:tc>
          <w:tcPr>
            <w:tcW w:w="2707" w:type="dxa"/>
            <w:tcBorders>
              <w:top w:val="nil"/>
              <w:left w:val="nil"/>
              <w:bottom w:val="nil"/>
              <w:right w:val="nil"/>
            </w:tcBorders>
          </w:tcPr>
          <w:p w14:paraId="443C084B"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E16F7BE"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w:t>
            </w:r>
          </w:p>
        </w:tc>
        <w:tc>
          <w:tcPr>
            <w:tcW w:w="1032" w:type="dxa"/>
            <w:tcBorders>
              <w:top w:val="nil"/>
              <w:left w:val="nil"/>
              <w:bottom w:val="nil"/>
              <w:right w:val="nil"/>
            </w:tcBorders>
          </w:tcPr>
          <w:p w14:paraId="622B0D56"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-2.0%</w:t>
            </w:r>
          </w:p>
        </w:tc>
        <w:tc>
          <w:tcPr>
            <w:tcW w:w="1032" w:type="dxa"/>
            <w:tcBorders>
              <w:top w:val="nil"/>
              <w:left w:val="nil"/>
              <w:bottom w:val="nil"/>
              <w:right w:val="nil"/>
            </w:tcBorders>
          </w:tcPr>
          <w:p w14:paraId="28AB89DD"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3.8%</w:t>
            </w:r>
          </w:p>
        </w:tc>
      </w:tr>
      <w:tr w:rsidR="00805EB4" w:rsidRPr="00E60BC4" w14:paraId="76D1C938" w14:textId="77777777" w:rsidTr="00E72162">
        <w:trPr>
          <w:trHeight w:val="290"/>
          <w:jc w:val="center"/>
        </w:trPr>
        <w:tc>
          <w:tcPr>
            <w:tcW w:w="2707" w:type="dxa"/>
            <w:tcBorders>
              <w:top w:val="nil"/>
              <w:left w:val="nil"/>
              <w:bottom w:val="single" w:sz="6" w:space="0" w:color="auto"/>
              <w:right w:val="nil"/>
            </w:tcBorders>
          </w:tcPr>
          <w:p w14:paraId="15E9F780" w14:textId="77777777" w:rsidR="00805EB4" w:rsidRPr="00E60BC4" w:rsidRDefault="00805EB4"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4BC8A78A"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2.6%</w:t>
            </w:r>
          </w:p>
        </w:tc>
        <w:tc>
          <w:tcPr>
            <w:tcW w:w="1032" w:type="dxa"/>
            <w:tcBorders>
              <w:top w:val="nil"/>
              <w:left w:val="nil"/>
              <w:bottom w:val="single" w:sz="6" w:space="0" w:color="auto"/>
              <w:right w:val="nil"/>
            </w:tcBorders>
          </w:tcPr>
          <w:p w14:paraId="6BD04241"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-3.1%</w:t>
            </w:r>
          </w:p>
        </w:tc>
        <w:tc>
          <w:tcPr>
            <w:tcW w:w="1032" w:type="dxa"/>
            <w:tcBorders>
              <w:top w:val="nil"/>
              <w:left w:val="nil"/>
              <w:bottom w:val="single" w:sz="6" w:space="0" w:color="auto"/>
              <w:right w:val="nil"/>
            </w:tcBorders>
          </w:tcPr>
          <w:p w14:paraId="2F8AB1BF" w14:textId="77777777" w:rsidR="00805EB4" w:rsidRPr="00E60BC4" w:rsidRDefault="00805EB4"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6.7%</w:t>
            </w:r>
          </w:p>
        </w:tc>
      </w:tr>
    </w:tbl>
    <w:p w14:paraId="49C2D2B2" w14:textId="77777777" w:rsidR="00E847F0" w:rsidRPr="004C66D9" w:rsidRDefault="00E847F0" w:rsidP="00E847F0">
      <w:pPr>
        <w:ind w:left="1152" w:hanging="1152"/>
        <w:rPr>
          <w:rFonts w:cstheme="minorHAnsi"/>
          <w:sz w:val="22"/>
          <w:szCs w:val="22"/>
        </w:rPr>
      </w:pPr>
    </w:p>
    <w:p w14:paraId="5219CE1B" w14:textId="77777777" w:rsidR="00E847F0" w:rsidRPr="004C66D9" w:rsidRDefault="00E847F0" w:rsidP="00E847F0">
      <w:pPr>
        <w:ind w:left="1152" w:hanging="1152"/>
        <w:rPr>
          <w:rFonts w:cstheme="minorHAnsi"/>
          <w:sz w:val="22"/>
          <w:szCs w:val="22"/>
        </w:rPr>
      </w:pPr>
    </w:p>
    <w:p w14:paraId="4304BAAC" w14:textId="77777777" w:rsidR="00E847F0" w:rsidRPr="004C66D9" w:rsidRDefault="00E847F0" w:rsidP="00E847F0">
      <w:pPr>
        <w:ind w:left="1152" w:hanging="1152"/>
        <w:rPr>
          <w:rFonts w:cstheme="minorHAnsi"/>
          <w:sz w:val="22"/>
          <w:szCs w:val="22"/>
        </w:rPr>
      </w:pPr>
    </w:p>
    <w:p w14:paraId="277A42A9" w14:textId="77777777" w:rsidR="00E847F0" w:rsidRPr="004C66D9" w:rsidRDefault="00E847F0" w:rsidP="00E847F0">
      <w:pPr>
        <w:ind w:left="1152" w:hanging="1152"/>
        <w:rPr>
          <w:rFonts w:cstheme="minorHAnsi"/>
          <w:sz w:val="22"/>
          <w:szCs w:val="22"/>
        </w:rPr>
      </w:pPr>
    </w:p>
    <w:p w14:paraId="185C0FA2" w14:textId="77777777" w:rsidR="00E847F0" w:rsidRDefault="00E847F0" w:rsidP="00E847F0">
      <w:pPr>
        <w:rPr>
          <w:rFonts w:cstheme="minorHAnsi"/>
          <w:sz w:val="22"/>
          <w:szCs w:val="22"/>
        </w:rPr>
      </w:pPr>
      <w:r>
        <w:rPr>
          <w:rFonts w:cstheme="minorHAnsi"/>
          <w:sz w:val="22"/>
          <w:szCs w:val="22"/>
        </w:rPr>
        <w:br w:type="page"/>
      </w:r>
    </w:p>
    <w:p w14:paraId="27EA7B07" w14:textId="77777777" w:rsidR="00C5217E" w:rsidRPr="00000D4B" w:rsidRDefault="00E847F0" w:rsidP="00E847F0">
      <w:pPr>
        <w:ind w:left="1152" w:hanging="1152"/>
        <w:jc w:val="center"/>
        <w:rPr>
          <w:rFonts w:cstheme="minorHAnsi"/>
          <w:b/>
          <w:bCs/>
          <w:color w:val="6A7F0F"/>
          <w:sz w:val="22"/>
          <w:szCs w:val="22"/>
        </w:rPr>
      </w:pPr>
      <w:bookmarkStart w:id="132" w:name="Appendix6_Table_A65a"/>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.5a: Changes in MHSIP Survey Domain Scores - Adult Outpatient and </w:t>
      </w:r>
    </w:p>
    <w:p w14:paraId="40465B6D" w14:textId="373C2B16" w:rsidR="00E847F0" w:rsidRPr="00000D4B" w:rsidRDefault="00E847F0" w:rsidP="00C5217E">
      <w:pPr>
        <w:ind w:left="1152" w:hanging="1152"/>
        <w:jc w:val="center"/>
        <w:rPr>
          <w:rFonts w:cstheme="minorHAnsi"/>
          <w:b/>
          <w:bCs/>
          <w:color w:val="6A7F0F"/>
          <w:sz w:val="22"/>
          <w:szCs w:val="22"/>
        </w:rPr>
      </w:pPr>
      <w:r w:rsidRPr="00000D4B">
        <w:rPr>
          <w:rFonts w:cstheme="minorHAnsi"/>
          <w:b/>
          <w:bCs/>
          <w:color w:val="6A7F0F"/>
          <w:sz w:val="22"/>
          <w:szCs w:val="22"/>
        </w:rPr>
        <w:t>Residential</w:t>
      </w:r>
      <w:r w:rsidR="00C5217E" w:rsidRPr="00000D4B">
        <w:rPr>
          <w:rFonts w:cstheme="minorHAnsi"/>
          <w:b/>
          <w:bCs/>
          <w:color w:val="6A7F0F"/>
          <w:sz w:val="22"/>
          <w:szCs w:val="22"/>
        </w:rPr>
        <w:t xml:space="preserve"> </w:t>
      </w:r>
      <w:r w:rsidR="00A35AAA" w:rsidRPr="00000D4B">
        <w:rPr>
          <w:rFonts w:cstheme="minorHAnsi"/>
          <w:b/>
          <w:bCs/>
          <w:color w:val="6A7F0F"/>
          <w:sz w:val="22"/>
          <w:szCs w:val="22"/>
        </w:rPr>
        <w:t xml:space="preserve">Services </w:t>
      </w:r>
      <w:r w:rsidRPr="00000D4B">
        <w:rPr>
          <w:rFonts w:cstheme="minorHAnsi"/>
          <w:b/>
          <w:bCs/>
          <w:color w:val="6A7F0F"/>
          <w:sz w:val="22"/>
          <w:szCs w:val="22"/>
        </w:rPr>
        <w:t>Overall and by Race/Ethnicity for CCBHC OHP Members</w:t>
      </w:r>
    </w:p>
    <w:bookmarkEnd w:id="132"/>
    <w:p w14:paraId="662E2FE6" w14:textId="77777777" w:rsidR="00E847F0" w:rsidRPr="00A76A99" w:rsidRDefault="00E847F0" w:rsidP="00E847F0">
      <w:pPr>
        <w:ind w:left="1152" w:hanging="1152"/>
        <w:jc w:val="center"/>
        <w:rPr>
          <w:rFonts w:cstheme="minorHAnsi"/>
          <w:sz w:val="22"/>
          <w:szCs w:val="22"/>
          <w:u w:val="single"/>
        </w:rPr>
      </w:pPr>
    </w:p>
    <w:tbl>
      <w:tblPr>
        <w:tblW w:w="9020" w:type="dxa"/>
        <w:jc w:val="center"/>
        <w:tblLook w:val="04A0" w:firstRow="1" w:lastRow="0" w:firstColumn="1" w:lastColumn="0" w:noHBand="0" w:noVBand="1"/>
      </w:tblPr>
      <w:tblGrid>
        <w:gridCol w:w="2324"/>
        <w:gridCol w:w="1165"/>
        <w:gridCol w:w="1340"/>
        <w:gridCol w:w="1090"/>
        <w:gridCol w:w="1184"/>
        <w:gridCol w:w="940"/>
        <w:gridCol w:w="977"/>
      </w:tblGrid>
      <w:tr w:rsidR="00805EB4" w:rsidRPr="004C66D9" w14:paraId="0CE27A70" w14:textId="77777777" w:rsidTr="00E72162">
        <w:trPr>
          <w:trHeight w:val="960"/>
          <w:jc w:val="center"/>
        </w:trPr>
        <w:tc>
          <w:tcPr>
            <w:tcW w:w="2460" w:type="dxa"/>
            <w:tcBorders>
              <w:top w:val="nil"/>
              <w:left w:val="nil"/>
              <w:bottom w:val="single" w:sz="4" w:space="0" w:color="auto"/>
              <w:right w:val="nil"/>
            </w:tcBorders>
            <w:shd w:val="clear" w:color="auto" w:fill="auto"/>
            <w:vAlign w:val="bottom"/>
            <w:hideMark/>
          </w:tcPr>
          <w:p w14:paraId="47BC06B6"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MHSIP Domain</w:t>
            </w:r>
          </w:p>
        </w:tc>
        <w:tc>
          <w:tcPr>
            <w:tcW w:w="1060" w:type="dxa"/>
            <w:tcBorders>
              <w:top w:val="nil"/>
              <w:left w:val="nil"/>
              <w:bottom w:val="single" w:sz="4" w:space="0" w:color="auto"/>
              <w:right w:val="nil"/>
            </w:tcBorders>
            <w:shd w:val="clear" w:color="auto" w:fill="auto"/>
            <w:vAlign w:val="bottom"/>
            <w:hideMark/>
          </w:tcPr>
          <w:p w14:paraId="135A6184"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Races/ Ethnicities</w:t>
            </w:r>
          </w:p>
        </w:tc>
        <w:tc>
          <w:tcPr>
            <w:tcW w:w="1340" w:type="dxa"/>
            <w:tcBorders>
              <w:top w:val="nil"/>
              <w:left w:val="nil"/>
              <w:bottom w:val="nil"/>
              <w:right w:val="nil"/>
            </w:tcBorders>
            <w:shd w:val="clear" w:color="auto" w:fill="auto"/>
            <w:vAlign w:val="bottom"/>
            <w:hideMark/>
          </w:tcPr>
          <w:p w14:paraId="0D5BBFED" w14:textId="77777777" w:rsidR="00805EB4" w:rsidRDefault="00805EB4" w:rsidP="00E72162">
            <w:pPr>
              <w:jc w:val="center"/>
              <w:rPr>
                <w:rFonts w:cstheme="minorHAnsi"/>
                <w:b/>
                <w:bCs/>
                <w:color w:val="000000"/>
                <w:sz w:val="22"/>
                <w:szCs w:val="22"/>
              </w:rPr>
            </w:pPr>
            <w:r w:rsidRPr="004C66D9">
              <w:rPr>
                <w:rFonts w:cstheme="minorHAnsi"/>
                <w:b/>
                <w:bCs/>
                <w:color w:val="000000"/>
                <w:sz w:val="22"/>
                <w:szCs w:val="22"/>
              </w:rPr>
              <w:t>Am</w:t>
            </w:r>
            <w:r>
              <w:rPr>
                <w:rFonts w:cstheme="minorHAnsi"/>
                <w:b/>
                <w:bCs/>
                <w:color w:val="000000"/>
                <w:sz w:val="22"/>
                <w:szCs w:val="22"/>
              </w:rPr>
              <w:t xml:space="preserve"> Ind</w:t>
            </w:r>
            <w:r w:rsidRPr="004C66D9">
              <w:rPr>
                <w:rFonts w:cstheme="minorHAnsi"/>
                <w:b/>
                <w:bCs/>
                <w:color w:val="000000"/>
                <w:sz w:val="22"/>
                <w:szCs w:val="22"/>
              </w:rPr>
              <w:t xml:space="preserve">/ </w:t>
            </w:r>
          </w:p>
          <w:p w14:paraId="13DE98B4"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w:t>
            </w:r>
            <w:r>
              <w:rPr>
                <w:rFonts w:cstheme="minorHAnsi"/>
                <w:b/>
                <w:bCs/>
                <w:color w:val="000000"/>
                <w:sz w:val="22"/>
                <w:szCs w:val="22"/>
              </w:rPr>
              <w:t>l</w:t>
            </w:r>
            <w:r w:rsidRPr="004C66D9">
              <w:rPr>
                <w:rFonts w:cstheme="minorHAnsi"/>
                <w:b/>
                <w:bCs/>
                <w:color w:val="000000"/>
                <w:sz w:val="22"/>
                <w:szCs w:val="22"/>
              </w:rPr>
              <w:t xml:space="preserve"> Native</w:t>
            </w:r>
          </w:p>
        </w:tc>
        <w:tc>
          <w:tcPr>
            <w:tcW w:w="1020" w:type="dxa"/>
            <w:tcBorders>
              <w:top w:val="nil"/>
              <w:left w:val="nil"/>
              <w:bottom w:val="single" w:sz="4" w:space="0" w:color="auto"/>
              <w:right w:val="nil"/>
            </w:tcBorders>
            <w:shd w:val="clear" w:color="auto" w:fill="auto"/>
            <w:vAlign w:val="bottom"/>
            <w:hideMark/>
          </w:tcPr>
          <w:p w14:paraId="5D94EE4E"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Black/ African American</w:t>
            </w:r>
          </w:p>
        </w:tc>
        <w:tc>
          <w:tcPr>
            <w:tcW w:w="1180" w:type="dxa"/>
            <w:tcBorders>
              <w:top w:val="nil"/>
              <w:left w:val="nil"/>
              <w:bottom w:val="single" w:sz="4" w:space="0" w:color="auto"/>
              <w:right w:val="nil"/>
            </w:tcBorders>
            <w:shd w:val="clear" w:color="auto" w:fill="auto"/>
            <w:vAlign w:val="bottom"/>
            <w:hideMark/>
          </w:tcPr>
          <w:p w14:paraId="35871A07"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Hispanic/ Latino/a/x</w:t>
            </w:r>
          </w:p>
        </w:tc>
        <w:tc>
          <w:tcPr>
            <w:tcW w:w="940" w:type="dxa"/>
            <w:tcBorders>
              <w:top w:val="nil"/>
              <w:left w:val="nil"/>
              <w:bottom w:val="single" w:sz="4" w:space="0" w:color="auto"/>
              <w:right w:val="nil"/>
            </w:tcBorders>
            <w:shd w:val="clear" w:color="auto" w:fill="auto"/>
            <w:vAlign w:val="bottom"/>
            <w:hideMark/>
          </w:tcPr>
          <w:p w14:paraId="1AFE4368"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White</w:t>
            </w:r>
          </w:p>
        </w:tc>
        <w:tc>
          <w:tcPr>
            <w:tcW w:w="1020" w:type="dxa"/>
            <w:tcBorders>
              <w:top w:val="nil"/>
              <w:left w:val="nil"/>
              <w:bottom w:val="single" w:sz="4" w:space="0" w:color="auto"/>
              <w:right w:val="nil"/>
            </w:tcBorders>
            <w:shd w:val="clear" w:color="auto" w:fill="auto"/>
            <w:vAlign w:val="bottom"/>
            <w:hideMark/>
          </w:tcPr>
          <w:p w14:paraId="276C9D7D"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Other</w:t>
            </w:r>
          </w:p>
        </w:tc>
      </w:tr>
      <w:tr w:rsidR="00805EB4" w:rsidRPr="004C66D9" w14:paraId="04E13777" w14:textId="77777777" w:rsidTr="00E72162">
        <w:trPr>
          <w:trHeight w:val="300"/>
          <w:jc w:val="center"/>
        </w:trPr>
        <w:tc>
          <w:tcPr>
            <w:tcW w:w="2460" w:type="dxa"/>
            <w:tcBorders>
              <w:top w:val="nil"/>
              <w:left w:val="nil"/>
              <w:bottom w:val="nil"/>
              <w:right w:val="nil"/>
            </w:tcBorders>
            <w:shd w:val="clear" w:color="auto" w:fill="auto"/>
            <w:vAlign w:val="center"/>
            <w:hideMark/>
          </w:tcPr>
          <w:p w14:paraId="677FCCBD"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Access to Services</w:t>
            </w:r>
          </w:p>
        </w:tc>
        <w:tc>
          <w:tcPr>
            <w:tcW w:w="1060" w:type="dxa"/>
            <w:tcBorders>
              <w:top w:val="nil"/>
              <w:left w:val="nil"/>
              <w:bottom w:val="nil"/>
              <w:right w:val="nil"/>
            </w:tcBorders>
            <w:shd w:val="clear" w:color="auto" w:fill="auto"/>
            <w:noWrap/>
            <w:vAlign w:val="bottom"/>
            <w:hideMark/>
          </w:tcPr>
          <w:p w14:paraId="2CDE5563" w14:textId="77777777" w:rsidR="00805EB4" w:rsidRPr="004C66D9" w:rsidRDefault="00805EB4" w:rsidP="00E72162">
            <w:pPr>
              <w:rPr>
                <w:rFonts w:cstheme="minorHAnsi"/>
                <w:b/>
                <w:bCs/>
                <w:color w:val="000000"/>
                <w:sz w:val="22"/>
                <w:szCs w:val="22"/>
              </w:rPr>
            </w:pPr>
          </w:p>
        </w:tc>
        <w:tc>
          <w:tcPr>
            <w:tcW w:w="1340" w:type="dxa"/>
            <w:tcBorders>
              <w:top w:val="single" w:sz="4" w:space="0" w:color="auto"/>
              <w:left w:val="nil"/>
              <w:bottom w:val="nil"/>
              <w:right w:val="nil"/>
            </w:tcBorders>
            <w:shd w:val="clear" w:color="auto" w:fill="auto"/>
            <w:noWrap/>
            <w:vAlign w:val="bottom"/>
            <w:hideMark/>
          </w:tcPr>
          <w:p w14:paraId="687E91ED"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020" w:type="dxa"/>
            <w:tcBorders>
              <w:top w:val="nil"/>
              <w:left w:val="nil"/>
              <w:bottom w:val="nil"/>
              <w:right w:val="nil"/>
            </w:tcBorders>
            <w:shd w:val="clear" w:color="auto" w:fill="auto"/>
            <w:noWrap/>
            <w:vAlign w:val="bottom"/>
            <w:hideMark/>
          </w:tcPr>
          <w:p w14:paraId="5AB11E91" w14:textId="77777777" w:rsidR="00805EB4" w:rsidRPr="004C66D9" w:rsidRDefault="00805EB4" w:rsidP="00E72162">
            <w:pPr>
              <w:rPr>
                <w:rFonts w:cstheme="minorHAnsi"/>
                <w:color w:val="000000"/>
                <w:sz w:val="22"/>
                <w:szCs w:val="22"/>
              </w:rPr>
            </w:pPr>
          </w:p>
        </w:tc>
        <w:tc>
          <w:tcPr>
            <w:tcW w:w="1180" w:type="dxa"/>
            <w:tcBorders>
              <w:top w:val="nil"/>
              <w:left w:val="nil"/>
              <w:bottom w:val="nil"/>
              <w:right w:val="nil"/>
            </w:tcBorders>
            <w:shd w:val="clear" w:color="auto" w:fill="auto"/>
            <w:noWrap/>
            <w:vAlign w:val="bottom"/>
            <w:hideMark/>
          </w:tcPr>
          <w:p w14:paraId="57EE88FA"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509B2AA"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1018076A" w14:textId="77777777" w:rsidR="00805EB4" w:rsidRPr="004C66D9" w:rsidRDefault="00805EB4" w:rsidP="00E72162">
            <w:pPr>
              <w:rPr>
                <w:rFonts w:cstheme="minorHAnsi"/>
                <w:sz w:val="22"/>
                <w:szCs w:val="22"/>
              </w:rPr>
            </w:pPr>
          </w:p>
        </w:tc>
      </w:tr>
      <w:tr w:rsidR="00805EB4" w:rsidRPr="004C66D9" w14:paraId="7BF14E20" w14:textId="77777777" w:rsidTr="00E72162">
        <w:trPr>
          <w:trHeight w:val="300"/>
          <w:jc w:val="center"/>
        </w:trPr>
        <w:tc>
          <w:tcPr>
            <w:tcW w:w="2460" w:type="dxa"/>
            <w:tcBorders>
              <w:top w:val="nil"/>
              <w:left w:val="nil"/>
              <w:bottom w:val="nil"/>
              <w:right w:val="nil"/>
            </w:tcBorders>
            <w:shd w:val="clear" w:color="auto" w:fill="auto"/>
            <w:vAlign w:val="center"/>
            <w:hideMark/>
          </w:tcPr>
          <w:p w14:paraId="4F198E6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27995E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2D79BD5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020" w:type="dxa"/>
            <w:tcBorders>
              <w:top w:val="nil"/>
              <w:left w:val="nil"/>
              <w:bottom w:val="nil"/>
              <w:right w:val="nil"/>
            </w:tcBorders>
            <w:shd w:val="clear" w:color="auto" w:fill="auto"/>
            <w:vAlign w:val="center"/>
            <w:hideMark/>
          </w:tcPr>
          <w:p w14:paraId="32620322"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1.10</w:t>
            </w:r>
          </w:p>
        </w:tc>
        <w:tc>
          <w:tcPr>
            <w:tcW w:w="1180" w:type="dxa"/>
            <w:tcBorders>
              <w:top w:val="nil"/>
              <w:left w:val="nil"/>
              <w:bottom w:val="nil"/>
              <w:right w:val="nil"/>
            </w:tcBorders>
            <w:shd w:val="clear" w:color="auto" w:fill="auto"/>
            <w:vAlign w:val="center"/>
            <w:hideMark/>
          </w:tcPr>
          <w:p w14:paraId="751EF63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940" w:type="dxa"/>
            <w:tcBorders>
              <w:top w:val="nil"/>
              <w:left w:val="nil"/>
              <w:bottom w:val="nil"/>
              <w:right w:val="nil"/>
            </w:tcBorders>
            <w:shd w:val="clear" w:color="auto" w:fill="auto"/>
            <w:vAlign w:val="center"/>
            <w:hideMark/>
          </w:tcPr>
          <w:p w14:paraId="3FD92F3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09F44B1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r>
      <w:tr w:rsidR="00805EB4" w:rsidRPr="004C66D9" w14:paraId="57F564FF" w14:textId="77777777" w:rsidTr="00E72162">
        <w:trPr>
          <w:trHeight w:val="300"/>
          <w:jc w:val="center"/>
        </w:trPr>
        <w:tc>
          <w:tcPr>
            <w:tcW w:w="2460" w:type="dxa"/>
            <w:tcBorders>
              <w:top w:val="nil"/>
              <w:left w:val="nil"/>
              <w:bottom w:val="nil"/>
              <w:right w:val="nil"/>
            </w:tcBorders>
            <w:shd w:val="clear" w:color="auto" w:fill="auto"/>
            <w:vAlign w:val="center"/>
            <w:hideMark/>
          </w:tcPr>
          <w:p w14:paraId="734F183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C61A45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0.19</w:t>
            </w:r>
          </w:p>
        </w:tc>
        <w:tc>
          <w:tcPr>
            <w:tcW w:w="1340" w:type="dxa"/>
            <w:tcBorders>
              <w:top w:val="nil"/>
              <w:left w:val="nil"/>
              <w:bottom w:val="nil"/>
              <w:right w:val="nil"/>
            </w:tcBorders>
            <w:shd w:val="clear" w:color="auto" w:fill="auto"/>
            <w:vAlign w:val="center"/>
            <w:hideMark/>
          </w:tcPr>
          <w:p w14:paraId="08E98E4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020" w:type="dxa"/>
            <w:tcBorders>
              <w:top w:val="nil"/>
              <w:left w:val="nil"/>
              <w:bottom w:val="nil"/>
              <w:right w:val="nil"/>
            </w:tcBorders>
            <w:shd w:val="clear" w:color="auto" w:fill="auto"/>
            <w:vAlign w:val="center"/>
            <w:hideMark/>
          </w:tcPr>
          <w:p w14:paraId="0303B48D"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1.92</w:t>
            </w:r>
          </w:p>
        </w:tc>
        <w:tc>
          <w:tcPr>
            <w:tcW w:w="1180" w:type="dxa"/>
            <w:tcBorders>
              <w:top w:val="nil"/>
              <w:left w:val="nil"/>
              <w:bottom w:val="nil"/>
              <w:right w:val="nil"/>
            </w:tcBorders>
            <w:shd w:val="clear" w:color="auto" w:fill="auto"/>
            <w:vAlign w:val="center"/>
            <w:hideMark/>
          </w:tcPr>
          <w:p w14:paraId="403243A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940" w:type="dxa"/>
            <w:tcBorders>
              <w:top w:val="nil"/>
              <w:left w:val="nil"/>
              <w:bottom w:val="nil"/>
              <w:right w:val="nil"/>
            </w:tcBorders>
            <w:shd w:val="clear" w:color="auto" w:fill="auto"/>
            <w:vAlign w:val="center"/>
            <w:hideMark/>
          </w:tcPr>
          <w:p w14:paraId="6359A9D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020" w:type="dxa"/>
            <w:tcBorders>
              <w:top w:val="nil"/>
              <w:left w:val="nil"/>
              <w:bottom w:val="nil"/>
              <w:right w:val="nil"/>
            </w:tcBorders>
            <w:shd w:val="clear" w:color="auto" w:fill="auto"/>
            <w:vAlign w:val="center"/>
            <w:hideMark/>
          </w:tcPr>
          <w:p w14:paraId="01D4B37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r>
      <w:tr w:rsidR="00805EB4" w:rsidRPr="004C66D9" w14:paraId="478A426D" w14:textId="77777777" w:rsidTr="00E72162">
        <w:trPr>
          <w:trHeight w:val="300"/>
          <w:jc w:val="center"/>
        </w:trPr>
        <w:tc>
          <w:tcPr>
            <w:tcW w:w="2460" w:type="dxa"/>
            <w:tcBorders>
              <w:top w:val="nil"/>
              <w:left w:val="nil"/>
              <w:bottom w:val="nil"/>
              <w:right w:val="nil"/>
            </w:tcBorders>
            <w:shd w:val="clear" w:color="auto" w:fill="auto"/>
            <w:vAlign w:val="center"/>
            <w:hideMark/>
          </w:tcPr>
          <w:p w14:paraId="7C306E24"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Social Connectedness</w:t>
            </w:r>
          </w:p>
        </w:tc>
        <w:tc>
          <w:tcPr>
            <w:tcW w:w="1060" w:type="dxa"/>
            <w:tcBorders>
              <w:top w:val="nil"/>
              <w:left w:val="nil"/>
              <w:bottom w:val="nil"/>
              <w:right w:val="nil"/>
            </w:tcBorders>
            <w:shd w:val="clear" w:color="auto" w:fill="auto"/>
            <w:noWrap/>
            <w:vAlign w:val="bottom"/>
            <w:hideMark/>
          </w:tcPr>
          <w:p w14:paraId="68FE544F"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7FF5570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217A852"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60A0F514"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19E6EF5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4B77A1E2" w14:textId="77777777" w:rsidR="00805EB4" w:rsidRPr="004C66D9" w:rsidRDefault="00805EB4" w:rsidP="00E72162">
            <w:pPr>
              <w:rPr>
                <w:rFonts w:cstheme="minorHAnsi"/>
                <w:sz w:val="22"/>
                <w:szCs w:val="22"/>
              </w:rPr>
            </w:pPr>
          </w:p>
        </w:tc>
      </w:tr>
      <w:tr w:rsidR="00805EB4" w:rsidRPr="004C66D9" w14:paraId="324EB5B2" w14:textId="77777777" w:rsidTr="00E72162">
        <w:trPr>
          <w:trHeight w:val="300"/>
          <w:jc w:val="center"/>
        </w:trPr>
        <w:tc>
          <w:tcPr>
            <w:tcW w:w="2460" w:type="dxa"/>
            <w:tcBorders>
              <w:top w:val="nil"/>
              <w:left w:val="nil"/>
              <w:bottom w:val="nil"/>
              <w:right w:val="nil"/>
            </w:tcBorders>
            <w:shd w:val="clear" w:color="auto" w:fill="auto"/>
            <w:vAlign w:val="center"/>
            <w:hideMark/>
          </w:tcPr>
          <w:p w14:paraId="1E233BF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48BF7F6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1340" w:type="dxa"/>
            <w:tcBorders>
              <w:top w:val="nil"/>
              <w:left w:val="nil"/>
              <w:bottom w:val="nil"/>
              <w:right w:val="nil"/>
            </w:tcBorders>
            <w:shd w:val="clear" w:color="auto" w:fill="auto"/>
            <w:vAlign w:val="center"/>
            <w:hideMark/>
          </w:tcPr>
          <w:p w14:paraId="7587F0C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-0.35</w:t>
            </w:r>
          </w:p>
        </w:tc>
        <w:tc>
          <w:tcPr>
            <w:tcW w:w="1020" w:type="dxa"/>
            <w:tcBorders>
              <w:top w:val="nil"/>
              <w:left w:val="nil"/>
              <w:bottom w:val="nil"/>
              <w:right w:val="nil"/>
            </w:tcBorders>
            <w:shd w:val="clear" w:color="auto" w:fill="auto"/>
            <w:vAlign w:val="center"/>
            <w:hideMark/>
          </w:tcPr>
          <w:p w14:paraId="7B2DECD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-0.55</w:t>
            </w:r>
          </w:p>
        </w:tc>
        <w:tc>
          <w:tcPr>
            <w:tcW w:w="1180" w:type="dxa"/>
            <w:tcBorders>
              <w:top w:val="nil"/>
              <w:left w:val="nil"/>
              <w:bottom w:val="nil"/>
              <w:right w:val="nil"/>
            </w:tcBorders>
            <w:shd w:val="clear" w:color="auto" w:fill="auto"/>
            <w:vAlign w:val="center"/>
            <w:hideMark/>
          </w:tcPr>
          <w:p w14:paraId="2BE4FF5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0.31</w:t>
            </w:r>
          </w:p>
        </w:tc>
        <w:tc>
          <w:tcPr>
            <w:tcW w:w="940" w:type="dxa"/>
            <w:tcBorders>
              <w:top w:val="nil"/>
              <w:left w:val="nil"/>
              <w:bottom w:val="nil"/>
              <w:right w:val="nil"/>
            </w:tcBorders>
            <w:shd w:val="clear" w:color="auto" w:fill="auto"/>
            <w:vAlign w:val="center"/>
            <w:hideMark/>
          </w:tcPr>
          <w:p w14:paraId="0B24FF8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020" w:type="dxa"/>
            <w:tcBorders>
              <w:top w:val="nil"/>
              <w:left w:val="nil"/>
              <w:bottom w:val="nil"/>
              <w:right w:val="nil"/>
            </w:tcBorders>
            <w:shd w:val="clear" w:color="auto" w:fill="auto"/>
            <w:vAlign w:val="center"/>
            <w:hideMark/>
          </w:tcPr>
          <w:p w14:paraId="256BC41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-0.12</w:t>
            </w:r>
          </w:p>
        </w:tc>
      </w:tr>
      <w:tr w:rsidR="00805EB4" w:rsidRPr="004C66D9" w14:paraId="6D502E41" w14:textId="77777777" w:rsidTr="00E72162">
        <w:trPr>
          <w:trHeight w:val="300"/>
          <w:jc w:val="center"/>
        </w:trPr>
        <w:tc>
          <w:tcPr>
            <w:tcW w:w="2460" w:type="dxa"/>
            <w:tcBorders>
              <w:top w:val="nil"/>
              <w:left w:val="nil"/>
              <w:bottom w:val="nil"/>
              <w:right w:val="nil"/>
            </w:tcBorders>
            <w:shd w:val="clear" w:color="auto" w:fill="auto"/>
            <w:vAlign w:val="center"/>
            <w:hideMark/>
          </w:tcPr>
          <w:p w14:paraId="109D338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79CD741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340" w:type="dxa"/>
            <w:tcBorders>
              <w:top w:val="nil"/>
              <w:left w:val="nil"/>
              <w:bottom w:val="nil"/>
              <w:right w:val="nil"/>
            </w:tcBorders>
            <w:shd w:val="clear" w:color="auto" w:fill="auto"/>
            <w:vAlign w:val="center"/>
            <w:hideMark/>
          </w:tcPr>
          <w:p w14:paraId="59EA7D5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-0.84</w:t>
            </w:r>
          </w:p>
        </w:tc>
        <w:tc>
          <w:tcPr>
            <w:tcW w:w="1020" w:type="dxa"/>
            <w:tcBorders>
              <w:top w:val="nil"/>
              <w:left w:val="nil"/>
              <w:bottom w:val="nil"/>
              <w:right w:val="nil"/>
            </w:tcBorders>
            <w:shd w:val="clear" w:color="auto" w:fill="auto"/>
            <w:vAlign w:val="center"/>
            <w:hideMark/>
          </w:tcPr>
          <w:p w14:paraId="13D7C32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180" w:type="dxa"/>
            <w:tcBorders>
              <w:top w:val="nil"/>
              <w:left w:val="nil"/>
              <w:bottom w:val="nil"/>
              <w:right w:val="nil"/>
            </w:tcBorders>
            <w:shd w:val="clear" w:color="auto" w:fill="auto"/>
            <w:vAlign w:val="center"/>
            <w:hideMark/>
          </w:tcPr>
          <w:p w14:paraId="5765B63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-0.20</w:t>
            </w:r>
          </w:p>
        </w:tc>
        <w:tc>
          <w:tcPr>
            <w:tcW w:w="940" w:type="dxa"/>
            <w:tcBorders>
              <w:top w:val="nil"/>
              <w:left w:val="nil"/>
              <w:bottom w:val="nil"/>
              <w:right w:val="nil"/>
            </w:tcBorders>
            <w:shd w:val="clear" w:color="auto" w:fill="auto"/>
            <w:vAlign w:val="center"/>
            <w:hideMark/>
          </w:tcPr>
          <w:p w14:paraId="740CEF3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nil"/>
              <w:right w:val="nil"/>
            </w:tcBorders>
            <w:shd w:val="clear" w:color="auto" w:fill="auto"/>
            <w:vAlign w:val="center"/>
            <w:hideMark/>
          </w:tcPr>
          <w:p w14:paraId="2F410B0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-0.83</w:t>
            </w:r>
          </w:p>
        </w:tc>
      </w:tr>
      <w:tr w:rsidR="00805EB4" w:rsidRPr="004C66D9" w14:paraId="6BCF5D78" w14:textId="77777777" w:rsidTr="00E72162">
        <w:trPr>
          <w:trHeight w:val="300"/>
          <w:jc w:val="center"/>
        </w:trPr>
        <w:tc>
          <w:tcPr>
            <w:tcW w:w="2460" w:type="dxa"/>
            <w:tcBorders>
              <w:top w:val="nil"/>
              <w:left w:val="nil"/>
              <w:bottom w:val="nil"/>
              <w:right w:val="nil"/>
            </w:tcBorders>
            <w:shd w:val="clear" w:color="auto" w:fill="auto"/>
            <w:vAlign w:val="center"/>
            <w:hideMark/>
          </w:tcPr>
          <w:p w14:paraId="380B6E5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General Satisfaction</w:t>
            </w:r>
          </w:p>
        </w:tc>
        <w:tc>
          <w:tcPr>
            <w:tcW w:w="1060" w:type="dxa"/>
            <w:tcBorders>
              <w:top w:val="nil"/>
              <w:left w:val="nil"/>
              <w:bottom w:val="nil"/>
              <w:right w:val="nil"/>
            </w:tcBorders>
            <w:shd w:val="clear" w:color="auto" w:fill="auto"/>
            <w:noWrap/>
            <w:vAlign w:val="bottom"/>
            <w:hideMark/>
          </w:tcPr>
          <w:p w14:paraId="29951431"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73456B1"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DEEBBAA"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AA229CC"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5A2A440F"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2281E232" w14:textId="77777777" w:rsidR="00805EB4" w:rsidRPr="004C66D9" w:rsidRDefault="00805EB4" w:rsidP="00E72162">
            <w:pPr>
              <w:rPr>
                <w:rFonts w:cstheme="minorHAnsi"/>
                <w:sz w:val="22"/>
                <w:szCs w:val="22"/>
              </w:rPr>
            </w:pPr>
          </w:p>
        </w:tc>
      </w:tr>
      <w:tr w:rsidR="00805EB4" w:rsidRPr="004C66D9" w14:paraId="74E9AAA6" w14:textId="77777777" w:rsidTr="00E72162">
        <w:trPr>
          <w:trHeight w:val="300"/>
          <w:jc w:val="center"/>
        </w:trPr>
        <w:tc>
          <w:tcPr>
            <w:tcW w:w="2460" w:type="dxa"/>
            <w:tcBorders>
              <w:top w:val="nil"/>
              <w:left w:val="nil"/>
              <w:bottom w:val="nil"/>
              <w:right w:val="nil"/>
            </w:tcBorders>
            <w:shd w:val="clear" w:color="auto" w:fill="auto"/>
            <w:vAlign w:val="center"/>
            <w:hideMark/>
          </w:tcPr>
          <w:p w14:paraId="0D41C57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F41769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7D70660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0.26</w:t>
            </w:r>
          </w:p>
        </w:tc>
        <w:tc>
          <w:tcPr>
            <w:tcW w:w="1020" w:type="dxa"/>
            <w:tcBorders>
              <w:top w:val="nil"/>
              <w:left w:val="nil"/>
              <w:bottom w:val="nil"/>
              <w:right w:val="nil"/>
            </w:tcBorders>
            <w:shd w:val="clear" w:color="auto" w:fill="auto"/>
            <w:vAlign w:val="center"/>
            <w:hideMark/>
          </w:tcPr>
          <w:p w14:paraId="5C08456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0.99</w:t>
            </w:r>
          </w:p>
        </w:tc>
        <w:tc>
          <w:tcPr>
            <w:tcW w:w="1180" w:type="dxa"/>
            <w:tcBorders>
              <w:top w:val="nil"/>
              <w:left w:val="nil"/>
              <w:bottom w:val="nil"/>
              <w:right w:val="nil"/>
            </w:tcBorders>
            <w:shd w:val="clear" w:color="auto" w:fill="auto"/>
            <w:vAlign w:val="center"/>
            <w:hideMark/>
          </w:tcPr>
          <w:p w14:paraId="445B9FA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0.30</w:t>
            </w:r>
          </w:p>
        </w:tc>
        <w:tc>
          <w:tcPr>
            <w:tcW w:w="940" w:type="dxa"/>
            <w:tcBorders>
              <w:top w:val="nil"/>
              <w:left w:val="nil"/>
              <w:bottom w:val="nil"/>
              <w:right w:val="nil"/>
            </w:tcBorders>
            <w:shd w:val="clear" w:color="auto" w:fill="auto"/>
            <w:vAlign w:val="center"/>
            <w:hideMark/>
          </w:tcPr>
          <w:p w14:paraId="0A082FE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77222B7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r>
      <w:tr w:rsidR="00805EB4" w:rsidRPr="004C66D9" w14:paraId="7B4962AD" w14:textId="77777777" w:rsidTr="00E72162">
        <w:trPr>
          <w:trHeight w:val="300"/>
          <w:jc w:val="center"/>
        </w:trPr>
        <w:tc>
          <w:tcPr>
            <w:tcW w:w="2460" w:type="dxa"/>
            <w:tcBorders>
              <w:top w:val="nil"/>
              <w:left w:val="nil"/>
              <w:bottom w:val="nil"/>
              <w:right w:val="nil"/>
            </w:tcBorders>
            <w:shd w:val="clear" w:color="auto" w:fill="auto"/>
            <w:vAlign w:val="center"/>
            <w:hideMark/>
          </w:tcPr>
          <w:p w14:paraId="4344946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8FEBF4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1FFD3B5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020" w:type="dxa"/>
            <w:tcBorders>
              <w:top w:val="nil"/>
              <w:left w:val="nil"/>
              <w:bottom w:val="nil"/>
              <w:right w:val="nil"/>
            </w:tcBorders>
            <w:shd w:val="clear" w:color="auto" w:fill="auto"/>
            <w:vAlign w:val="center"/>
            <w:hideMark/>
          </w:tcPr>
          <w:p w14:paraId="50DB7BE9"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1.55</w:t>
            </w:r>
          </w:p>
        </w:tc>
        <w:tc>
          <w:tcPr>
            <w:tcW w:w="1180" w:type="dxa"/>
            <w:tcBorders>
              <w:top w:val="nil"/>
              <w:left w:val="nil"/>
              <w:bottom w:val="nil"/>
              <w:right w:val="nil"/>
            </w:tcBorders>
            <w:shd w:val="clear" w:color="auto" w:fill="auto"/>
            <w:vAlign w:val="center"/>
            <w:hideMark/>
          </w:tcPr>
          <w:p w14:paraId="0F2D6FA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940" w:type="dxa"/>
            <w:tcBorders>
              <w:top w:val="nil"/>
              <w:left w:val="nil"/>
              <w:bottom w:val="nil"/>
              <w:right w:val="nil"/>
            </w:tcBorders>
            <w:shd w:val="clear" w:color="auto" w:fill="auto"/>
            <w:vAlign w:val="center"/>
            <w:hideMark/>
          </w:tcPr>
          <w:p w14:paraId="5D21945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6C43ACC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r>
      <w:tr w:rsidR="00805EB4" w:rsidRPr="004C66D9" w14:paraId="339F722C" w14:textId="77777777" w:rsidTr="00E72162">
        <w:trPr>
          <w:trHeight w:val="300"/>
          <w:jc w:val="center"/>
        </w:trPr>
        <w:tc>
          <w:tcPr>
            <w:tcW w:w="2460" w:type="dxa"/>
            <w:tcBorders>
              <w:top w:val="nil"/>
              <w:left w:val="nil"/>
              <w:bottom w:val="nil"/>
              <w:right w:val="nil"/>
            </w:tcBorders>
            <w:shd w:val="clear" w:color="auto" w:fill="auto"/>
            <w:vAlign w:val="center"/>
            <w:hideMark/>
          </w:tcPr>
          <w:p w14:paraId="495B9330"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Daily Functioning</w:t>
            </w:r>
          </w:p>
        </w:tc>
        <w:tc>
          <w:tcPr>
            <w:tcW w:w="1060" w:type="dxa"/>
            <w:tcBorders>
              <w:top w:val="nil"/>
              <w:left w:val="nil"/>
              <w:bottom w:val="nil"/>
              <w:right w:val="nil"/>
            </w:tcBorders>
            <w:shd w:val="clear" w:color="auto" w:fill="auto"/>
            <w:noWrap/>
            <w:vAlign w:val="bottom"/>
            <w:hideMark/>
          </w:tcPr>
          <w:p w14:paraId="592A7A84"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4DAB113D"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36C13198"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2C98654B"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D72B64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64C6A471" w14:textId="77777777" w:rsidR="00805EB4" w:rsidRPr="004C66D9" w:rsidRDefault="00805EB4" w:rsidP="00E72162">
            <w:pPr>
              <w:rPr>
                <w:rFonts w:cstheme="minorHAnsi"/>
                <w:sz w:val="22"/>
                <w:szCs w:val="22"/>
              </w:rPr>
            </w:pPr>
          </w:p>
        </w:tc>
      </w:tr>
      <w:tr w:rsidR="00805EB4" w:rsidRPr="004C66D9" w14:paraId="49F77E66" w14:textId="77777777" w:rsidTr="00E72162">
        <w:trPr>
          <w:trHeight w:val="300"/>
          <w:jc w:val="center"/>
        </w:trPr>
        <w:tc>
          <w:tcPr>
            <w:tcW w:w="2460" w:type="dxa"/>
            <w:tcBorders>
              <w:top w:val="nil"/>
              <w:left w:val="nil"/>
              <w:bottom w:val="nil"/>
              <w:right w:val="nil"/>
            </w:tcBorders>
            <w:shd w:val="clear" w:color="auto" w:fill="auto"/>
            <w:vAlign w:val="center"/>
            <w:hideMark/>
          </w:tcPr>
          <w:p w14:paraId="06EBC3C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1DC248D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340" w:type="dxa"/>
            <w:tcBorders>
              <w:top w:val="nil"/>
              <w:left w:val="nil"/>
              <w:bottom w:val="nil"/>
              <w:right w:val="nil"/>
            </w:tcBorders>
            <w:shd w:val="clear" w:color="auto" w:fill="auto"/>
            <w:vAlign w:val="center"/>
            <w:hideMark/>
          </w:tcPr>
          <w:p w14:paraId="417125A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0.29</w:t>
            </w:r>
          </w:p>
        </w:tc>
        <w:tc>
          <w:tcPr>
            <w:tcW w:w="1020" w:type="dxa"/>
            <w:tcBorders>
              <w:top w:val="nil"/>
              <w:left w:val="nil"/>
              <w:bottom w:val="nil"/>
              <w:right w:val="nil"/>
            </w:tcBorders>
            <w:shd w:val="clear" w:color="auto" w:fill="auto"/>
            <w:vAlign w:val="center"/>
            <w:hideMark/>
          </w:tcPr>
          <w:p w14:paraId="2CBDCDA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-1.05</w:t>
            </w:r>
          </w:p>
        </w:tc>
        <w:tc>
          <w:tcPr>
            <w:tcW w:w="1180" w:type="dxa"/>
            <w:tcBorders>
              <w:top w:val="nil"/>
              <w:left w:val="nil"/>
              <w:bottom w:val="nil"/>
              <w:right w:val="nil"/>
            </w:tcBorders>
            <w:shd w:val="clear" w:color="auto" w:fill="auto"/>
            <w:vAlign w:val="center"/>
            <w:hideMark/>
          </w:tcPr>
          <w:p w14:paraId="08869D8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-0.36</w:t>
            </w:r>
          </w:p>
        </w:tc>
        <w:tc>
          <w:tcPr>
            <w:tcW w:w="940" w:type="dxa"/>
            <w:tcBorders>
              <w:top w:val="nil"/>
              <w:left w:val="nil"/>
              <w:bottom w:val="nil"/>
              <w:right w:val="nil"/>
            </w:tcBorders>
            <w:shd w:val="clear" w:color="auto" w:fill="auto"/>
            <w:vAlign w:val="center"/>
            <w:hideMark/>
          </w:tcPr>
          <w:p w14:paraId="2F55866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020" w:type="dxa"/>
            <w:tcBorders>
              <w:top w:val="nil"/>
              <w:left w:val="nil"/>
              <w:bottom w:val="nil"/>
              <w:right w:val="nil"/>
            </w:tcBorders>
            <w:shd w:val="clear" w:color="auto" w:fill="auto"/>
            <w:vAlign w:val="center"/>
            <w:hideMark/>
          </w:tcPr>
          <w:p w14:paraId="7F10FE4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0.52</w:t>
            </w:r>
          </w:p>
        </w:tc>
      </w:tr>
      <w:tr w:rsidR="00805EB4" w:rsidRPr="004C66D9" w14:paraId="03A29469" w14:textId="77777777" w:rsidTr="00E72162">
        <w:trPr>
          <w:trHeight w:val="300"/>
          <w:jc w:val="center"/>
        </w:trPr>
        <w:tc>
          <w:tcPr>
            <w:tcW w:w="2460" w:type="dxa"/>
            <w:tcBorders>
              <w:top w:val="nil"/>
              <w:left w:val="nil"/>
              <w:bottom w:val="nil"/>
              <w:right w:val="nil"/>
            </w:tcBorders>
            <w:shd w:val="clear" w:color="auto" w:fill="auto"/>
            <w:vAlign w:val="center"/>
            <w:hideMark/>
          </w:tcPr>
          <w:p w14:paraId="36B8E71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6E866DF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36358C4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c>
          <w:tcPr>
            <w:tcW w:w="1020" w:type="dxa"/>
            <w:tcBorders>
              <w:top w:val="nil"/>
              <w:left w:val="nil"/>
              <w:bottom w:val="nil"/>
              <w:right w:val="nil"/>
            </w:tcBorders>
            <w:shd w:val="clear" w:color="auto" w:fill="auto"/>
            <w:vAlign w:val="center"/>
            <w:hideMark/>
          </w:tcPr>
          <w:p w14:paraId="3F542B4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-0.47</w:t>
            </w:r>
          </w:p>
        </w:tc>
        <w:tc>
          <w:tcPr>
            <w:tcW w:w="1180" w:type="dxa"/>
            <w:tcBorders>
              <w:top w:val="nil"/>
              <w:left w:val="nil"/>
              <w:bottom w:val="nil"/>
              <w:right w:val="nil"/>
            </w:tcBorders>
            <w:shd w:val="clear" w:color="auto" w:fill="auto"/>
            <w:vAlign w:val="center"/>
            <w:hideMark/>
          </w:tcPr>
          <w:p w14:paraId="1B0D43A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940" w:type="dxa"/>
            <w:tcBorders>
              <w:top w:val="nil"/>
              <w:left w:val="nil"/>
              <w:bottom w:val="nil"/>
              <w:right w:val="nil"/>
            </w:tcBorders>
            <w:shd w:val="clear" w:color="auto" w:fill="auto"/>
            <w:vAlign w:val="center"/>
            <w:hideMark/>
          </w:tcPr>
          <w:p w14:paraId="66E9E12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020" w:type="dxa"/>
            <w:tcBorders>
              <w:top w:val="nil"/>
              <w:left w:val="nil"/>
              <w:bottom w:val="nil"/>
              <w:right w:val="nil"/>
            </w:tcBorders>
            <w:shd w:val="clear" w:color="auto" w:fill="auto"/>
            <w:vAlign w:val="center"/>
            <w:hideMark/>
          </w:tcPr>
          <w:p w14:paraId="356F231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-0.51</w:t>
            </w:r>
          </w:p>
        </w:tc>
      </w:tr>
      <w:tr w:rsidR="00805EB4" w:rsidRPr="004C66D9" w14:paraId="13D49A01" w14:textId="77777777" w:rsidTr="00E72162">
        <w:trPr>
          <w:trHeight w:val="300"/>
          <w:jc w:val="center"/>
        </w:trPr>
        <w:tc>
          <w:tcPr>
            <w:tcW w:w="2460" w:type="dxa"/>
            <w:tcBorders>
              <w:top w:val="nil"/>
              <w:left w:val="nil"/>
              <w:bottom w:val="nil"/>
              <w:right w:val="nil"/>
            </w:tcBorders>
            <w:shd w:val="clear" w:color="auto" w:fill="auto"/>
            <w:vAlign w:val="center"/>
            <w:hideMark/>
          </w:tcPr>
          <w:p w14:paraId="0F242C35"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Quality</w:t>
            </w:r>
          </w:p>
        </w:tc>
        <w:tc>
          <w:tcPr>
            <w:tcW w:w="1060" w:type="dxa"/>
            <w:tcBorders>
              <w:top w:val="nil"/>
              <w:left w:val="nil"/>
              <w:bottom w:val="nil"/>
              <w:right w:val="nil"/>
            </w:tcBorders>
            <w:shd w:val="clear" w:color="auto" w:fill="auto"/>
            <w:noWrap/>
            <w:vAlign w:val="bottom"/>
            <w:hideMark/>
          </w:tcPr>
          <w:p w14:paraId="79C0993C"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6CC38489"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3C071C9"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28D9E2CB"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49DE571E"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71C0FDC6" w14:textId="77777777" w:rsidR="00805EB4" w:rsidRPr="004C66D9" w:rsidRDefault="00805EB4" w:rsidP="00E72162">
            <w:pPr>
              <w:rPr>
                <w:rFonts w:cstheme="minorHAnsi"/>
                <w:sz w:val="22"/>
                <w:szCs w:val="22"/>
              </w:rPr>
            </w:pPr>
          </w:p>
        </w:tc>
      </w:tr>
      <w:tr w:rsidR="00805EB4" w:rsidRPr="004C66D9" w14:paraId="5940018E" w14:textId="77777777" w:rsidTr="00E72162">
        <w:trPr>
          <w:trHeight w:val="300"/>
          <w:jc w:val="center"/>
        </w:trPr>
        <w:tc>
          <w:tcPr>
            <w:tcW w:w="2460" w:type="dxa"/>
            <w:tcBorders>
              <w:top w:val="nil"/>
              <w:left w:val="nil"/>
              <w:bottom w:val="nil"/>
              <w:right w:val="nil"/>
            </w:tcBorders>
            <w:shd w:val="clear" w:color="auto" w:fill="auto"/>
            <w:vAlign w:val="center"/>
            <w:hideMark/>
          </w:tcPr>
          <w:p w14:paraId="5E24E29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4816A17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vAlign w:val="center"/>
            <w:hideMark/>
          </w:tcPr>
          <w:p w14:paraId="273D127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0.45</w:t>
            </w:r>
          </w:p>
        </w:tc>
        <w:tc>
          <w:tcPr>
            <w:tcW w:w="1020" w:type="dxa"/>
            <w:tcBorders>
              <w:top w:val="nil"/>
              <w:left w:val="nil"/>
              <w:bottom w:val="nil"/>
              <w:right w:val="nil"/>
            </w:tcBorders>
            <w:shd w:val="clear" w:color="auto" w:fill="auto"/>
            <w:vAlign w:val="center"/>
            <w:hideMark/>
          </w:tcPr>
          <w:p w14:paraId="6CF96C7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0.87</w:t>
            </w:r>
          </w:p>
        </w:tc>
        <w:tc>
          <w:tcPr>
            <w:tcW w:w="1180" w:type="dxa"/>
            <w:tcBorders>
              <w:top w:val="nil"/>
              <w:left w:val="nil"/>
              <w:bottom w:val="nil"/>
              <w:right w:val="nil"/>
            </w:tcBorders>
            <w:shd w:val="clear" w:color="auto" w:fill="auto"/>
            <w:vAlign w:val="center"/>
            <w:hideMark/>
          </w:tcPr>
          <w:p w14:paraId="37C1FA6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940" w:type="dxa"/>
            <w:tcBorders>
              <w:top w:val="nil"/>
              <w:left w:val="nil"/>
              <w:bottom w:val="nil"/>
              <w:right w:val="nil"/>
            </w:tcBorders>
            <w:shd w:val="clear" w:color="auto" w:fill="auto"/>
            <w:vAlign w:val="center"/>
            <w:hideMark/>
          </w:tcPr>
          <w:p w14:paraId="27B002A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020" w:type="dxa"/>
            <w:tcBorders>
              <w:top w:val="nil"/>
              <w:left w:val="nil"/>
              <w:bottom w:val="nil"/>
              <w:right w:val="nil"/>
            </w:tcBorders>
            <w:shd w:val="clear" w:color="auto" w:fill="auto"/>
            <w:vAlign w:val="center"/>
            <w:hideMark/>
          </w:tcPr>
          <w:p w14:paraId="2663AF1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r>
      <w:tr w:rsidR="00805EB4" w:rsidRPr="004C66D9" w14:paraId="74706518" w14:textId="77777777" w:rsidTr="00E72162">
        <w:trPr>
          <w:trHeight w:val="300"/>
          <w:jc w:val="center"/>
        </w:trPr>
        <w:tc>
          <w:tcPr>
            <w:tcW w:w="2460" w:type="dxa"/>
            <w:tcBorders>
              <w:top w:val="nil"/>
              <w:left w:val="nil"/>
              <w:bottom w:val="nil"/>
              <w:right w:val="nil"/>
            </w:tcBorders>
            <w:shd w:val="clear" w:color="auto" w:fill="auto"/>
            <w:vAlign w:val="center"/>
            <w:hideMark/>
          </w:tcPr>
          <w:p w14:paraId="0788916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1D3E2C8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753FEFC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0.31</w:t>
            </w:r>
          </w:p>
        </w:tc>
        <w:tc>
          <w:tcPr>
            <w:tcW w:w="1020" w:type="dxa"/>
            <w:tcBorders>
              <w:top w:val="nil"/>
              <w:left w:val="nil"/>
              <w:bottom w:val="nil"/>
              <w:right w:val="nil"/>
            </w:tcBorders>
            <w:shd w:val="clear" w:color="auto" w:fill="auto"/>
            <w:vAlign w:val="center"/>
            <w:hideMark/>
          </w:tcPr>
          <w:p w14:paraId="30DF1F0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0.61</w:t>
            </w:r>
          </w:p>
        </w:tc>
        <w:tc>
          <w:tcPr>
            <w:tcW w:w="1180" w:type="dxa"/>
            <w:tcBorders>
              <w:top w:val="nil"/>
              <w:left w:val="nil"/>
              <w:bottom w:val="nil"/>
              <w:right w:val="nil"/>
            </w:tcBorders>
            <w:shd w:val="clear" w:color="auto" w:fill="auto"/>
            <w:vAlign w:val="center"/>
            <w:hideMark/>
          </w:tcPr>
          <w:p w14:paraId="7AB6391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940" w:type="dxa"/>
            <w:tcBorders>
              <w:top w:val="nil"/>
              <w:left w:val="nil"/>
              <w:bottom w:val="nil"/>
              <w:right w:val="nil"/>
            </w:tcBorders>
            <w:shd w:val="clear" w:color="auto" w:fill="auto"/>
            <w:vAlign w:val="center"/>
            <w:hideMark/>
          </w:tcPr>
          <w:p w14:paraId="3BBA0B1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6B4941D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0.36</w:t>
            </w:r>
          </w:p>
        </w:tc>
      </w:tr>
      <w:tr w:rsidR="00805EB4" w:rsidRPr="004C66D9" w14:paraId="6F644324" w14:textId="77777777" w:rsidTr="00E72162">
        <w:trPr>
          <w:trHeight w:val="300"/>
          <w:jc w:val="center"/>
        </w:trPr>
        <w:tc>
          <w:tcPr>
            <w:tcW w:w="2460" w:type="dxa"/>
            <w:tcBorders>
              <w:top w:val="nil"/>
              <w:left w:val="nil"/>
              <w:bottom w:val="nil"/>
              <w:right w:val="nil"/>
            </w:tcBorders>
            <w:shd w:val="clear" w:color="auto" w:fill="auto"/>
            <w:vAlign w:val="center"/>
            <w:hideMark/>
          </w:tcPr>
          <w:p w14:paraId="16E3315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Treatment Outcomes</w:t>
            </w:r>
          </w:p>
        </w:tc>
        <w:tc>
          <w:tcPr>
            <w:tcW w:w="1060" w:type="dxa"/>
            <w:tcBorders>
              <w:top w:val="nil"/>
              <w:left w:val="nil"/>
              <w:bottom w:val="nil"/>
              <w:right w:val="nil"/>
            </w:tcBorders>
            <w:shd w:val="clear" w:color="auto" w:fill="auto"/>
            <w:noWrap/>
            <w:vAlign w:val="bottom"/>
            <w:hideMark/>
          </w:tcPr>
          <w:p w14:paraId="24E8DEE7"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4BC06E8"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C61B499"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B59FB8B"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613D28B"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2181108A" w14:textId="77777777" w:rsidR="00805EB4" w:rsidRPr="004C66D9" w:rsidRDefault="00805EB4" w:rsidP="00E72162">
            <w:pPr>
              <w:rPr>
                <w:rFonts w:cstheme="minorHAnsi"/>
                <w:sz w:val="22"/>
                <w:szCs w:val="22"/>
              </w:rPr>
            </w:pPr>
          </w:p>
        </w:tc>
      </w:tr>
      <w:tr w:rsidR="00805EB4" w:rsidRPr="004C66D9" w14:paraId="55AE70D9" w14:textId="77777777" w:rsidTr="00E72162">
        <w:trPr>
          <w:trHeight w:val="300"/>
          <w:jc w:val="center"/>
        </w:trPr>
        <w:tc>
          <w:tcPr>
            <w:tcW w:w="2460" w:type="dxa"/>
            <w:tcBorders>
              <w:top w:val="nil"/>
              <w:left w:val="nil"/>
              <w:bottom w:val="nil"/>
              <w:right w:val="nil"/>
            </w:tcBorders>
            <w:shd w:val="clear" w:color="auto" w:fill="auto"/>
            <w:vAlign w:val="center"/>
            <w:hideMark/>
          </w:tcPr>
          <w:p w14:paraId="7470A11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1FE076C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-0.12</w:t>
            </w:r>
          </w:p>
        </w:tc>
        <w:tc>
          <w:tcPr>
            <w:tcW w:w="1340" w:type="dxa"/>
            <w:tcBorders>
              <w:top w:val="nil"/>
              <w:left w:val="nil"/>
              <w:bottom w:val="nil"/>
              <w:right w:val="nil"/>
            </w:tcBorders>
            <w:shd w:val="clear" w:color="auto" w:fill="auto"/>
            <w:vAlign w:val="center"/>
            <w:hideMark/>
          </w:tcPr>
          <w:p w14:paraId="0139632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0.14</w:t>
            </w:r>
          </w:p>
        </w:tc>
        <w:tc>
          <w:tcPr>
            <w:tcW w:w="1020" w:type="dxa"/>
            <w:tcBorders>
              <w:top w:val="nil"/>
              <w:left w:val="nil"/>
              <w:bottom w:val="nil"/>
              <w:right w:val="nil"/>
            </w:tcBorders>
            <w:shd w:val="clear" w:color="auto" w:fill="auto"/>
            <w:vAlign w:val="center"/>
            <w:hideMark/>
          </w:tcPr>
          <w:p w14:paraId="119E4F4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-0.38</w:t>
            </w:r>
          </w:p>
        </w:tc>
        <w:tc>
          <w:tcPr>
            <w:tcW w:w="1180" w:type="dxa"/>
            <w:tcBorders>
              <w:top w:val="nil"/>
              <w:left w:val="nil"/>
              <w:bottom w:val="nil"/>
              <w:right w:val="nil"/>
            </w:tcBorders>
            <w:shd w:val="clear" w:color="auto" w:fill="auto"/>
            <w:vAlign w:val="center"/>
            <w:hideMark/>
          </w:tcPr>
          <w:p w14:paraId="0154046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-0.44</w:t>
            </w:r>
          </w:p>
        </w:tc>
        <w:tc>
          <w:tcPr>
            <w:tcW w:w="940" w:type="dxa"/>
            <w:tcBorders>
              <w:top w:val="nil"/>
              <w:left w:val="nil"/>
              <w:bottom w:val="nil"/>
              <w:right w:val="nil"/>
            </w:tcBorders>
            <w:shd w:val="clear" w:color="auto" w:fill="auto"/>
            <w:vAlign w:val="center"/>
            <w:hideMark/>
          </w:tcPr>
          <w:p w14:paraId="0F3AA05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020" w:type="dxa"/>
            <w:tcBorders>
              <w:top w:val="nil"/>
              <w:left w:val="nil"/>
              <w:bottom w:val="nil"/>
              <w:right w:val="nil"/>
            </w:tcBorders>
            <w:shd w:val="clear" w:color="auto" w:fill="auto"/>
            <w:vAlign w:val="center"/>
            <w:hideMark/>
          </w:tcPr>
          <w:p w14:paraId="572586B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0.42</w:t>
            </w:r>
          </w:p>
        </w:tc>
      </w:tr>
      <w:tr w:rsidR="00805EB4" w:rsidRPr="004C66D9" w14:paraId="20347FFD" w14:textId="77777777" w:rsidTr="00E72162">
        <w:trPr>
          <w:trHeight w:val="300"/>
          <w:jc w:val="center"/>
        </w:trPr>
        <w:tc>
          <w:tcPr>
            <w:tcW w:w="2460" w:type="dxa"/>
            <w:tcBorders>
              <w:top w:val="nil"/>
              <w:left w:val="nil"/>
              <w:bottom w:val="nil"/>
              <w:right w:val="nil"/>
            </w:tcBorders>
            <w:shd w:val="clear" w:color="auto" w:fill="auto"/>
            <w:vAlign w:val="center"/>
            <w:hideMark/>
          </w:tcPr>
          <w:p w14:paraId="202C288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91B618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0A79C23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020" w:type="dxa"/>
            <w:tcBorders>
              <w:top w:val="nil"/>
              <w:left w:val="nil"/>
              <w:bottom w:val="nil"/>
              <w:right w:val="nil"/>
            </w:tcBorders>
            <w:shd w:val="clear" w:color="auto" w:fill="auto"/>
            <w:vAlign w:val="center"/>
            <w:hideMark/>
          </w:tcPr>
          <w:p w14:paraId="7C1BFAE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1180" w:type="dxa"/>
            <w:tcBorders>
              <w:top w:val="nil"/>
              <w:left w:val="nil"/>
              <w:bottom w:val="nil"/>
              <w:right w:val="nil"/>
            </w:tcBorders>
            <w:shd w:val="clear" w:color="auto" w:fill="auto"/>
            <w:vAlign w:val="center"/>
            <w:hideMark/>
          </w:tcPr>
          <w:p w14:paraId="5875BB6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-0.32</w:t>
            </w:r>
          </w:p>
        </w:tc>
        <w:tc>
          <w:tcPr>
            <w:tcW w:w="940" w:type="dxa"/>
            <w:tcBorders>
              <w:top w:val="nil"/>
              <w:left w:val="nil"/>
              <w:bottom w:val="nil"/>
              <w:right w:val="nil"/>
            </w:tcBorders>
            <w:shd w:val="clear" w:color="auto" w:fill="auto"/>
            <w:vAlign w:val="center"/>
            <w:hideMark/>
          </w:tcPr>
          <w:p w14:paraId="37A404F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020" w:type="dxa"/>
            <w:tcBorders>
              <w:top w:val="nil"/>
              <w:left w:val="nil"/>
              <w:bottom w:val="nil"/>
              <w:right w:val="nil"/>
            </w:tcBorders>
            <w:shd w:val="clear" w:color="auto" w:fill="auto"/>
            <w:vAlign w:val="center"/>
            <w:hideMark/>
          </w:tcPr>
          <w:p w14:paraId="2A5F2C5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-0.44</w:t>
            </w:r>
          </w:p>
        </w:tc>
      </w:tr>
      <w:tr w:rsidR="00805EB4" w:rsidRPr="004C66D9" w14:paraId="0A25E0B1" w14:textId="77777777" w:rsidTr="00E72162">
        <w:trPr>
          <w:trHeight w:val="300"/>
          <w:jc w:val="center"/>
        </w:trPr>
        <w:tc>
          <w:tcPr>
            <w:tcW w:w="2460" w:type="dxa"/>
            <w:tcBorders>
              <w:top w:val="nil"/>
              <w:left w:val="nil"/>
              <w:bottom w:val="nil"/>
              <w:right w:val="nil"/>
            </w:tcBorders>
            <w:shd w:val="clear" w:color="auto" w:fill="auto"/>
            <w:vAlign w:val="center"/>
            <w:hideMark/>
          </w:tcPr>
          <w:p w14:paraId="191ECEDA"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Participation</w:t>
            </w:r>
          </w:p>
        </w:tc>
        <w:tc>
          <w:tcPr>
            <w:tcW w:w="1060" w:type="dxa"/>
            <w:tcBorders>
              <w:top w:val="nil"/>
              <w:left w:val="nil"/>
              <w:bottom w:val="nil"/>
              <w:right w:val="nil"/>
            </w:tcBorders>
            <w:shd w:val="clear" w:color="auto" w:fill="auto"/>
            <w:noWrap/>
            <w:vAlign w:val="bottom"/>
            <w:hideMark/>
          </w:tcPr>
          <w:p w14:paraId="4DF22EAD"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EF5868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C35CCAC"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06F992BE"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F7F359A"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3E381FB9" w14:textId="77777777" w:rsidR="00805EB4" w:rsidRPr="004C66D9" w:rsidRDefault="00805EB4" w:rsidP="00E72162">
            <w:pPr>
              <w:rPr>
                <w:rFonts w:cstheme="minorHAnsi"/>
                <w:sz w:val="22"/>
                <w:szCs w:val="22"/>
              </w:rPr>
            </w:pPr>
          </w:p>
        </w:tc>
      </w:tr>
      <w:tr w:rsidR="00805EB4" w:rsidRPr="004C66D9" w14:paraId="1E23F96A" w14:textId="77777777" w:rsidTr="00E72162">
        <w:trPr>
          <w:trHeight w:val="300"/>
          <w:jc w:val="center"/>
        </w:trPr>
        <w:tc>
          <w:tcPr>
            <w:tcW w:w="2460" w:type="dxa"/>
            <w:tcBorders>
              <w:top w:val="nil"/>
              <w:left w:val="nil"/>
              <w:bottom w:val="nil"/>
              <w:right w:val="nil"/>
            </w:tcBorders>
            <w:shd w:val="clear" w:color="auto" w:fill="auto"/>
            <w:vAlign w:val="center"/>
            <w:hideMark/>
          </w:tcPr>
          <w:p w14:paraId="6A2989A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569334C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685C46A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0.57</w:t>
            </w:r>
          </w:p>
        </w:tc>
        <w:tc>
          <w:tcPr>
            <w:tcW w:w="1020" w:type="dxa"/>
            <w:tcBorders>
              <w:top w:val="nil"/>
              <w:left w:val="nil"/>
              <w:bottom w:val="nil"/>
              <w:right w:val="nil"/>
            </w:tcBorders>
            <w:shd w:val="clear" w:color="auto" w:fill="auto"/>
            <w:vAlign w:val="center"/>
            <w:hideMark/>
          </w:tcPr>
          <w:p w14:paraId="370E58E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0.50</w:t>
            </w:r>
          </w:p>
        </w:tc>
        <w:tc>
          <w:tcPr>
            <w:tcW w:w="1180" w:type="dxa"/>
            <w:tcBorders>
              <w:top w:val="nil"/>
              <w:left w:val="nil"/>
              <w:bottom w:val="nil"/>
              <w:right w:val="nil"/>
            </w:tcBorders>
            <w:shd w:val="clear" w:color="auto" w:fill="auto"/>
            <w:vAlign w:val="center"/>
            <w:hideMark/>
          </w:tcPr>
          <w:p w14:paraId="3C750AD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940" w:type="dxa"/>
            <w:tcBorders>
              <w:top w:val="nil"/>
              <w:left w:val="nil"/>
              <w:bottom w:val="nil"/>
              <w:right w:val="nil"/>
            </w:tcBorders>
            <w:shd w:val="clear" w:color="auto" w:fill="auto"/>
            <w:vAlign w:val="center"/>
            <w:hideMark/>
          </w:tcPr>
          <w:p w14:paraId="712D455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vAlign w:val="center"/>
            <w:hideMark/>
          </w:tcPr>
          <w:p w14:paraId="70CA5B7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r>
      <w:tr w:rsidR="00805EB4" w:rsidRPr="004C66D9" w14:paraId="779D1A8C" w14:textId="77777777" w:rsidTr="00E72162">
        <w:trPr>
          <w:trHeight w:val="300"/>
          <w:jc w:val="center"/>
        </w:trPr>
        <w:tc>
          <w:tcPr>
            <w:tcW w:w="2460" w:type="dxa"/>
            <w:tcBorders>
              <w:top w:val="nil"/>
              <w:left w:val="nil"/>
              <w:bottom w:val="single" w:sz="4" w:space="0" w:color="auto"/>
              <w:right w:val="nil"/>
            </w:tcBorders>
            <w:shd w:val="clear" w:color="auto" w:fill="auto"/>
            <w:vAlign w:val="center"/>
            <w:hideMark/>
          </w:tcPr>
          <w:p w14:paraId="652423D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single" w:sz="4" w:space="0" w:color="auto"/>
              <w:right w:val="nil"/>
            </w:tcBorders>
            <w:shd w:val="clear" w:color="auto" w:fill="auto"/>
            <w:vAlign w:val="center"/>
            <w:hideMark/>
          </w:tcPr>
          <w:p w14:paraId="36808C4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0.12</w:t>
            </w:r>
          </w:p>
        </w:tc>
        <w:tc>
          <w:tcPr>
            <w:tcW w:w="1340" w:type="dxa"/>
            <w:tcBorders>
              <w:top w:val="nil"/>
              <w:left w:val="nil"/>
              <w:bottom w:val="single" w:sz="4" w:space="0" w:color="auto"/>
              <w:right w:val="nil"/>
            </w:tcBorders>
            <w:shd w:val="clear" w:color="auto" w:fill="auto"/>
            <w:vAlign w:val="center"/>
            <w:hideMark/>
          </w:tcPr>
          <w:p w14:paraId="7C928C6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0.41</w:t>
            </w:r>
          </w:p>
        </w:tc>
        <w:tc>
          <w:tcPr>
            <w:tcW w:w="1020" w:type="dxa"/>
            <w:tcBorders>
              <w:top w:val="nil"/>
              <w:left w:val="nil"/>
              <w:bottom w:val="single" w:sz="4" w:space="0" w:color="auto"/>
              <w:right w:val="nil"/>
            </w:tcBorders>
            <w:shd w:val="clear" w:color="auto" w:fill="auto"/>
            <w:vAlign w:val="center"/>
            <w:hideMark/>
          </w:tcPr>
          <w:p w14:paraId="1D2255D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0.20</w:t>
            </w:r>
          </w:p>
        </w:tc>
        <w:tc>
          <w:tcPr>
            <w:tcW w:w="1180" w:type="dxa"/>
            <w:tcBorders>
              <w:top w:val="nil"/>
              <w:left w:val="nil"/>
              <w:bottom w:val="single" w:sz="4" w:space="0" w:color="auto"/>
              <w:right w:val="nil"/>
            </w:tcBorders>
            <w:shd w:val="clear" w:color="auto" w:fill="auto"/>
            <w:vAlign w:val="center"/>
            <w:hideMark/>
          </w:tcPr>
          <w:p w14:paraId="4943F8F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0.52</w:t>
            </w:r>
          </w:p>
        </w:tc>
        <w:tc>
          <w:tcPr>
            <w:tcW w:w="940" w:type="dxa"/>
            <w:tcBorders>
              <w:top w:val="nil"/>
              <w:left w:val="nil"/>
              <w:bottom w:val="single" w:sz="4" w:space="0" w:color="auto"/>
              <w:right w:val="nil"/>
            </w:tcBorders>
            <w:shd w:val="clear" w:color="auto" w:fill="auto"/>
            <w:vAlign w:val="center"/>
            <w:hideMark/>
          </w:tcPr>
          <w:p w14:paraId="4FB1F53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single" w:sz="4" w:space="0" w:color="auto"/>
              <w:right w:val="nil"/>
            </w:tcBorders>
            <w:shd w:val="clear" w:color="auto" w:fill="auto"/>
            <w:vAlign w:val="center"/>
            <w:hideMark/>
          </w:tcPr>
          <w:p w14:paraId="791A0E2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r>
    </w:tbl>
    <w:p w14:paraId="1B8A16E0" w14:textId="77777777" w:rsidR="00E847F0" w:rsidRPr="004C66D9" w:rsidRDefault="00E847F0" w:rsidP="00E847F0">
      <w:pPr>
        <w:rPr>
          <w:rFonts w:cstheme="minorHAnsi"/>
          <w:sz w:val="22"/>
          <w:szCs w:val="22"/>
        </w:rPr>
      </w:pPr>
    </w:p>
    <w:p w14:paraId="1B9C6339" w14:textId="77777777" w:rsidR="00E847F0" w:rsidRPr="004C66D9" w:rsidRDefault="00E847F0" w:rsidP="00E847F0">
      <w:pPr>
        <w:ind w:left="1152" w:hanging="1152"/>
        <w:rPr>
          <w:rFonts w:cstheme="minorHAnsi"/>
          <w:sz w:val="22"/>
          <w:szCs w:val="22"/>
        </w:rPr>
      </w:pPr>
    </w:p>
    <w:p w14:paraId="59973EFF" w14:textId="77777777" w:rsidR="00E847F0" w:rsidRPr="004C66D9" w:rsidRDefault="00E847F0" w:rsidP="00E847F0">
      <w:pPr>
        <w:ind w:left="1152" w:hanging="1152"/>
        <w:rPr>
          <w:rFonts w:cstheme="minorHAnsi"/>
          <w:sz w:val="22"/>
          <w:szCs w:val="22"/>
        </w:rPr>
      </w:pPr>
    </w:p>
    <w:p w14:paraId="1A58ACCF" w14:textId="77777777" w:rsidR="00E847F0" w:rsidRPr="004C66D9" w:rsidRDefault="00E847F0" w:rsidP="00E847F0">
      <w:pPr>
        <w:ind w:left="1152" w:hanging="1152"/>
        <w:rPr>
          <w:rFonts w:cstheme="minorHAnsi"/>
          <w:sz w:val="22"/>
          <w:szCs w:val="22"/>
        </w:rPr>
      </w:pPr>
    </w:p>
    <w:p w14:paraId="56EA3174" w14:textId="77777777" w:rsidR="00E847F0" w:rsidRPr="004C66D9" w:rsidRDefault="00E847F0" w:rsidP="00E847F0">
      <w:pPr>
        <w:ind w:left="1152" w:hanging="1152"/>
        <w:rPr>
          <w:rFonts w:cstheme="minorHAnsi"/>
          <w:sz w:val="22"/>
          <w:szCs w:val="22"/>
        </w:rPr>
      </w:pPr>
    </w:p>
    <w:p w14:paraId="71780814" w14:textId="77777777" w:rsidR="00E847F0" w:rsidRPr="004C66D9" w:rsidRDefault="00E847F0" w:rsidP="00E847F0">
      <w:pPr>
        <w:ind w:left="1152" w:hanging="1152"/>
        <w:rPr>
          <w:rFonts w:cstheme="minorHAnsi"/>
          <w:sz w:val="22"/>
          <w:szCs w:val="22"/>
        </w:rPr>
      </w:pPr>
    </w:p>
    <w:p w14:paraId="24DAD869" w14:textId="77777777" w:rsidR="00E847F0" w:rsidRPr="004C66D9" w:rsidRDefault="00E847F0" w:rsidP="00E847F0">
      <w:pPr>
        <w:rPr>
          <w:rFonts w:cstheme="minorHAnsi"/>
          <w:sz w:val="22"/>
          <w:szCs w:val="22"/>
        </w:rPr>
      </w:pPr>
      <w:r w:rsidRPr="004C66D9">
        <w:rPr>
          <w:rFonts w:cstheme="minorHAnsi"/>
          <w:sz w:val="22"/>
          <w:szCs w:val="22"/>
        </w:rPr>
        <w:br w:type="page"/>
      </w:r>
    </w:p>
    <w:p w14:paraId="7040A055" w14:textId="77777777" w:rsidR="00C5217E" w:rsidRPr="00000D4B" w:rsidRDefault="00E847F0" w:rsidP="00E847F0">
      <w:pPr>
        <w:ind w:left="1152" w:hanging="1152"/>
        <w:jc w:val="center"/>
        <w:rPr>
          <w:rFonts w:cstheme="minorHAnsi"/>
          <w:b/>
          <w:bCs/>
          <w:color w:val="6A7F0F"/>
          <w:sz w:val="22"/>
          <w:szCs w:val="22"/>
        </w:rPr>
      </w:pPr>
      <w:bookmarkStart w:id="133" w:name="Appendix6_Table_A65b"/>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.5b: Changes in MHSIP Survey Satisfaction Scores - Adult Outpatient and </w:t>
      </w:r>
    </w:p>
    <w:p w14:paraId="57DC7DCF" w14:textId="7A53D835" w:rsidR="00E847F0" w:rsidRPr="00000D4B" w:rsidRDefault="00E847F0" w:rsidP="00C5217E">
      <w:pPr>
        <w:ind w:left="1152" w:hanging="1152"/>
        <w:jc w:val="center"/>
        <w:rPr>
          <w:rFonts w:cstheme="minorHAnsi"/>
          <w:b/>
          <w:bCs/>
          <w:color w:val="6A7F0F"/>
          <w:sz w:val="22"/>
          <w:szCs w:val="22"/>
        </w:rPr>
      </w:pPr>
      <w:r w:rsidRPr="00000D4B">
        <w:rPr>
          <w:rFonts w:cstheme="minorHAnsi"/>
          <w:b/>
          <w:bCs/>
          <w:color w:val="6A7F0F"/>
          <w:sz w:val="22"/>
          <w:szCs w:val="22"/>
        </w:rPr>
        <w:t xml:space="preserve">Residential </w:t>
      </w:r>
      <w:r w:rsidR="00A35AAA" w:rsidRPr="00000D4B">
        <w:rPr>
          <w:rFonts w:cstheme="minorHAnsi"/>
          <w:b/>
          <w:bCs/>
          <w:color w:val="6A7F0F"/>
          <w:sz w:val="22"/>
          <w:szCs w:val="22"/>
        </w:rPr>
        <w:t xml:space="preserve">Services </w:t>
      </w:r>
      <w:r w:rsidRPr="00000D4B">
        <w:rPr>
          <w:rFonts w:cstheme="minorHAnsi"/>
          <w:b/>
          <w:bCs/>
          <w:color w:val="6A7F0F"/>
          <w:sz w:val="22"/>
          <w:szCs w:val="22"/>
        </w:rPr>
        <w:t>Overall and by Race/Ethnicity for CCBHC OHP Members</w:t>
      </w:r>
      <w:bookmarkEnd w:id="133"/>
    </w:p>
    <w:p w14:paraId="40D35C1F" w14:textId="77777777" w:rsidR="00E847F0" w:rsidRPr="00A76A99" w:rsidRDefault="00E847F0" w:rsidP="00E847F0">
      <w:pPr>
        <w:ind w:left="1152" w:hanging="1152"/>
        <w:jc w:val="center"/>
        <w:rPr>
          <w:rFonts w:cstheme="minorHAnsi"/>
          <w:sz w:val="22"/>
          <w:szCs w:val="22"/>
          <w:u w:val="single"/>
        </w:rPr>
      </w:pPr>
    </w:p>
    <w:p w14:paraId="0781D6A6" w14:textId="77777777" w:rsidR="00E847F0" w:rsidRPr="004C66D9" w:rsidRDefault="00E847F0" w:rsidP="00E847F0">
      <w:pPr>
        <w:ind w:left="1152" w:hanging="1152"/>
        <w:jc w:val="center"/>
        <w:rPr>
          <w:rFonts w:cstheme="minorHAnsi"/>
          <w:sz w:val="22"/>
          <w:szCs w:val="22"/>
        </w:rPr>
      </w:pPr>
    </w:p>
    <w:tbl>
      <w:tblPr>
        <w:tblW w:w="9020" w:type="dxa"/>
        <w:jc w:val="center"/>
        <w:tblLook w:val="04A0" w:firstRow="1" w:lastRow="0" w:firstColumn="1" w:lastColumn="0" w:noHBand="0" w:noVBand="1"/>
      </w:tblPr>
      <w:tblGrid>
        <w:gridCol w:w="2324"/>
        <w:gridCol w:w="1165"/>
        <w:gridCol w:w="1340"/>
        <w:gridCol w:w="1090"/>
        <w:gridCol w:w="1184"/>
        <w:gridCol w:w="940"/>
        <w:gridCol w:w="977"/>
      </w:tblGrid>
      <w:tr w:rsidR="00805EB4" w:rsidRPr="004C66D9" w14:paraId="05C2C715" w14:textId="77777777" w:rsidTr="00E72162">
        <w:trPr>
          <w:trHeight w:val="870"/>
          <w:jc w:val="center"/>
        </w:trPr>
        <w:tc>
          <w:tcPr>
            <w:tcW w:w="2460" w:type="dxa"/>
            <w:tcBorders>
              <w:top w:val="nil"/>
              <w:left w:val="nil"/>
              <w:bottom w:val="single" w:sz="4" w:space="0" w:color="auto"/>
              <w:right w:val="nil"/>
            </w:tcBorders>
            <w:shd w:val="clear" w:color="auto" w:fill="auto"/>
            <w:vAlign w:val="bottom"/>
            <w:hideMark/>
          </w:tcPr>
          <w:p w14:paraId="65235E1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MHSIP Domain</w:t>
            </w:r>
          </w:p>
        </w:tc>
        <w:tc>
          <w:tcPr>
            <w:tcW w:w="1060" w:type="dxa"/>
            <w:tcBorders>
              <w:top w:val="nil"/>
              <w:left w:val="nil"/>
              <w:bottom w:val="single" w:sz="4" w:space="0" w:color="auto"/>
              <w:right w:val="nil"/>
            </w:tcBorders>
            <w:shd w:val="clear" w:color="auto" w:fill="auto"/>
            <w:vAlign w:val="bottom"/>
            <w:hideMark/>
          </w:tcPr>
          <w:p w14:paraId="18DDC85D"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Races/ Ethnicities</w:t>
            </w:r>
          </w:p>
        </w:tc>
        <w:tc>
          <w:tcPr>
            <w:tcW w:w="1340" w:type="dxa"/>
            <w:tcBorders>
              <w:top w:val="nil"/>
              <w:left w:val="nil"/>
              <w:bottom w:val="single" w:sz="4" w:space="0" w:color="auto"/>
              <w:right w:val="nil"/>
            </w:tcBorders>
            <w:shd w:val="clear" w:color="auto" w:fill="auto"/>
            <w:vAlign w:val="bottom"/>
            <w:hideMark/>
          </w:tcPr>
          <w:p w14:paraId="0F5C651D" w14:textId="77777777" w:rsidR="00805EB4" w:rsidRDefault="00805EB4" w:rsidP="00E72162">
            <w:pPr>
              <w:jc w:val="center"/>
              <w:rPr>
                <w:rFonts w:cstheme="minorHAnsi"/>
                <w:b/>
                <w:bCs/>
                <w:color w:val="000000"/>
                <w:sz w:val="22"/>
                <w:szCs w:val="22"/>
              </w:rPr>
            </w:pPr>
            <w:r w:rsidRPr="004C66D9">
              <w:rPr>
                <w:rFonts w:cstheme="minorHAnsi"/>
                <w:b/>
                <w:bCs/>
                <w:color w:val="000000"/>
                <w:sz w:val="22"/>
                <w:szCs w:val="22"/>
              </w:rPr>
              <w:t>Am</w:t>
            </w:r>
            <w:r>
              <w:rPr>
                <w:rFonts w:cstheme="minorHAnsi"/>
                <w:b/>
                <w:bCs/>
                <w:color w:val="000000"/>
                <w:sz w:val="22"/>
                <w:szCs w:val="22"/>
              </w:rPr>
              <w:t xml:space="preserve"> Ind</w:t>
            </w:r>
            <w:r w:rsidRPr="004C66D9">
              <w:rPr>
                <w:rFonts w:cstheme="minorHAnsi"/>
                <w:b/>
                <w:bCs/>
                <w:color w:val="000000"/>
                <w:sz w:val="22"/>
                <w:szCs w:val="22"/>
              </w:rPr>
              <w:t xml:space="preserve">/ </w:t>
            </w:r>
          </w:p>
          <w:p w14:paraId="669FCE64"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w:t>
            </w:r>
            <w:r>
              <w:rPr>
                <w:rFonts w:cstheme="minorHAnsi"/>
                <w:b/>
                <w:bCs/>
                <w:color w:val="000000"/>
                <w:sz w:val="22"/>
                <w:szCs w:val="22"/>
              </w:rPr>
              <w:t>l</w:t>
            </w:r>
            <w:r w:rsidRPr="004C66D9">
              <w:rPr>
                <w:rFonts w:cstheme="minorHAnsi"/>
                <w:b/>
                <w:bCs/>
                <w:color w:val="000000"/>
                <w:sz w:val="22"/>
                <w:szCs w:val="22"/>
              </w:rPr>
              <w:t xml:space="preserve"> Native</w:t>
            </w:r>
          </w:p>
        </w:tc>
        <w:tc>
          <w:tcPr>
            <w:tcW w:w="1020" w:type="dxa"/>
            <w:tcBorders>
              <w:top w:val="nil"/>
              <w:left w:val="nil"/>
              <w:bottom w:val="single" w:sz="4" w:space="0" w:color="auto"/>
              <w:right w:val="nil"/>
            </w:tcBorders>
            <w:shd w:val="clear" w:color="auto" w:fill="auto"/>
            <w:vAlign w:val="bottom"/>
            <w:hideMark/>
          </w:tcPr>
          <w:p w14:paraId="1BBDCFC3"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Black/ African American</w:t>
            </w:r>
          </w:p>
        </w:tc>
        <w:tc>
          <w:tcPr>
            <w:tcW w:w="1180" w:type="dxa"/>
            <w:tcBorders>
              <w:top w:val="nil"/>
              <w:left w:val="nil"/>
              <w:bottom w:val="single" w:sz="4" w:space="0" w:color="auto"/>
              <w:right w:val="nil"/>
            </w:tcBorders>
            <w:shd w:val="clear" w:color="auto" w:fill="auto"/>
            <w:vAlign w:val="bottom"/>
            <w:hideMark/>
          </w:tcPr>
          <w:p w14:paraId="5BD821DD"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Hispanic/ Latino/a/x</w:t>
            </w:r>
          </w:p>
        </w:tc>
        <w:tc>
          <w:tcPr>
            <w:tcW w:w="940" w:type="dxa"/>
            <w:tcBorders>
              <w:top w:val="nil"/>
              <w:left w:val="nil"/>
              <w:bottom w:val="single" w:sz="4" w:space="0" w:color="auto"/>
              <w:right w:val="nil"/>
            </w:tcBorders>
            <w:shd w:val="clear" w:color="auto" w:fill="auto"/>
            <w:vAlign w:val="bottom"/>
            <w:hideMark/>
          </w:tcPr>
          <w:p w14:paraId="0D97F3B4"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White</w:t>
            </w:r>
          </w:p>
        </w:tc>
        <w:tc>
          <w:tcPr>
            <w:tcW w:w="1020" w:type="dxa"/>
            <w:tcBorders>
              <w:top w:val="nil"/>
              <w:left w:val="nil"/>
              <w:bottom w:val="single" w:sz="4" w:space="0" w:color="auto"/>
              <w:right w:val="nil"/>
            </w:tcBorders>
            <w:shd w:val="clear" w:color="auto" w:fill="auto"/>
            <w:vAlign w:val="bottom"/>
            <w:hideMark/>
          </w:tcPr>
          <w:p w14:paraId="196D00C2"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Other</w:t>
            </w:r>
          </w:p>
        </w:tc>
      </w:tr>
      <w:tr w:rsidR="00805EB4" w:rsidRPr="004C66D9" w14:paraId="2FD499EC" w14:textId="77777777" w:rsidTr="00E72162">
        <w:trPr>
          <w:trHeight w:val="300"/>
          <w:jc w:val="center"/>
        </w:trPr>
        <w:tc>
          <w:tcPr>
            <w:tcW w:w="2460" w:type="dxa"/>
            <w:tcBorders>
              <w:top w:val="nil"/>
              <w:left w:val="nil"/>
              <w:bottom w:val="nil"/>
              <w:right w:val="nil"/>
            </w:tcBorders>
            <w:shd w:val="clear" w:color="auto" w:fill="auto"/>
            <w:vAlign w:val="center"/>
            <w:hideMark/>
          </w:tcPr>
          <w:p w14:paraId="1C5C1160"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Access to Services</w:t>
            </w:r>
          </w:p>
        </w:tc>
        <w:tc>
          <w:tcPr>
            <w:tcW w:w="1060" w:type="dxa"/>
            <w:tcBorders>
              <w:top w:val="nil"/>
              <w:left w:val="nil"/>
              <w:bottom w:val="nil"/>
              <w:right w:val="nil"/>
            </w:tcBorders>
            <w:shd w:val="clear" w:color="auto" w:fill="auto"/>
            <w:noWrap/>
            <w:vAlign w:val="bottom"/>
            <w:hideMark/>
          </w:tcPr>
          <w:p w14:paraId="131351D1"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67366C68"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020" w:type="dxa"/>
            <w:tcBorders>
              <w:top w:val="nil"/>
              <w:left w:val="nil"/>
              <w:bottom w:val="nil"/>
              <w:right w:val="nil"/>
            </w:tcBorders>
            <w:shd w:val="clear" w:color="auto" w:fill="auto"/>
            <w:noWrap/>
            <w:vAlign w:val="bottom"/>
            <w:hideMark/>
          </w:tcPr>
          <w:p w14:paraId="2DE9B570" w14:textId="77777777" w:rsidR="00805EB4" w:rsidRPr="004C66D9" w:rsidRDefault="00805EB4" w:rsidP="00E72162">
            <w:pPr>
              <w:rPr>
                <w:rFonts w:cstheme="minorHAnsi"/>
                <w:color w:val="000000"/>
                <w:sz w:val="22"/>
                <w:szCs w:val="22"/>
              </w:rPr>
            </w:pPr>
          </w:p>
        </w:tc>
        <w:tc>
          <w:tcPr>
            <w:tcW w:w="1180" w:type="dxa"/>
            <w:tcBorders>
              <w:top w:val="nil"/>
              <w:left w:val="nil"/>
              <w:bottom w:val="nil"/>
              <w:right w:val="nil"/>
            </w:tcBorders>
            <w:shd w:val="clear" w:color="auto" w:fill="auto"/>
            <w:noWrap/>
            <w:vAlign w:val="bottom"/>
            <w:hideMark/>
          </w:tcPr>
          <w:p w14:paraId="79E2537D"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AA9DF63"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61EBD844" w14:textId="77777777" w:rsidR="00805EB4" w:rsidRPr="004C66D9" w:rsidRDefault="00805EB4" w:rsidP="00E72162">
            <w:pPr>
              <w:rPr>
                <w:rFonts w:cstheme="minorHAnsi"/>
                <w:sz w:val="22"/>
                <w:szCs w:val="22"/>
              </w:rPr>
            </w:pPr>
          </w:p>
        </w:tc>
      </w:tr>
      <w:tr w:rsidR="00805EB4" w:rsidRPr="004C66D9" w14:paraId="3CB346B6" w14:textId="77777777" w:rsidTr="00E72162">
        <w:trPr>
          <w:trHeight w:val="300"/>
          <w:jc w:val="center"/>
        </w:trPr>
        <w:tc>
          <w:tcPr>
            <w:tcW w:w="2460" w:type="dxa"/>
            <w:tcBorders>
              <w:top w:val="nil"/>
              <w:left w:val="nil"/>
              <w:bottom w:val="nil"/>
              <w:right w:val="nil"/>
            </w:tcBorders>
            <w:shd w:val="clear" w:color="auto" w:fill="auto"/>
            <w:vAlign w:val="center"/>
            <w:hideMark/>
          </w:tcPr>
          <w:p w14:paraId="0A21B7D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4A95B8E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340" w:type="dxa"/>
            <w:tcBorders>
              <w:top w:val="nil"/>
              <w:left w:val="nil"/>
              <w:bottom w:val="nil"/>
              <w:right w:val="nil"/>
            </w:tcBorders>
            <w:shd w:val="clear" w:color="auto" w:fill="auto"/>
            <w:noWrap/>
            <w:vAlign w:val="bottom"/>
            <w:hideMark/>
          </w:tcPr>
          <w:p w14:paraId="6CE31F9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c>
          <w:tcPr>
            <w:tcW w:w="1020" w:type="dxa"/>
            <w:tcBorders>
              <w:top w:val="nil"/>
              <w:left w:val="nil"/>
              <w:bottom w:val="nil"/>
              <w:right w:val="nil"/>
            </w:tcBorders>
            <w:shd w:val="clear" w:color="auto" w:fill="auto"/>
            <w:vAlign w:val="center"/>
            <w:hideMark/>
          </w:tcPr>
          <w:p w14:paraId="603F4A4E" w14:textId="77777777" w:rsidR="00805EB4" w:rsidRPr="0036715F" w:rsidRDefault="00805EB4" w:rsidP="00E72162">
            <w:pPr>
              <w:jc w:val="right"/>
              <w:rPr>
                <w:rFonts w:cstheme="minorHAnsi"/>
                <w:b/>
                <w:bCs/>
                <w:i/>
                <w:sz w:val="22"/>
                <w:szCs w:val="22"/>
              </w:rPr>
            </w:pPr>
            <w:r w:rsidRPr="0036715F">
              <w:rPr>
                <w:rFonts w:cstheme="minorHAnsi"/>
                <w:b/>
                <w:bCs/>
                <w:i/>
                <w:sz w:val="22"/>
                <w:szCs w:val="22"/>
              </w:rPr>
              <w:t>0.79</w:t>
            </w:r>
          </w:p>
        </w:tc>
        <w:tc>
          <w:tcPr>
            <w:tcW w:w="1180" w:type="dxa"/>
            <w:tcBorders>
              <w:top w:val="nil"/>
              <w:left w:val="nil"/>
              <w:bottom w:val="nil"/>
              <w:right w:val="nil"/>
            </w:tcBorders>
            <w:shd w:val="clear" w:color="auto" w:fill="auto"/>
            <w:vAlign w:val="center"/>
            <w:hideMark/>
          </w:tcPr>
          <w:p w14:paraId="77126E9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940" w:type="dxa"/>
            <w:tcBorders>
              <w:top w:val="nil"/>
              <w:left w:val="nil"/>
              <w:bottom w:val="nil"/>
              <w:right w:val="nil"/>
            </w:tcBorders>
            <w:shd w:val="clear" w:color="auto" w:fill="auto"/>
            <w:vAlign w:val="center"/>
            <w:hideMark/>
          </w:tcPr>
          <w:p w14:paraId="1928C7E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4C88F1D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-0.27</w:t>
            </w:r>
          </w:p>
        </w:tc>
      </w:tr>
      <w:tr w:rsidR="00805EB4" w:rsidRPr="004C66D9" w14:paraId="751CBFF5" w14:textId="77777777" w:rsidTr="00E72162">
        <w:trPr>
          <w:trHeight w:val="300"/>
          <w:jc w:val="center"/>
        </w:trPr>
        <w:tc>
          <w:tcPr>
            <w:tcW w:w="2460" w:type="dxa"/>
            <w:tcBorders>
              <w:top w:val="nil"/>
              <w:left w:val="nil"/>
              <w:bottom w:val="nil"/>
              <w:right w:val="nil"/>
            </w:tcBorders>
            <w:shd w:val="clear" w:color="auto" w:fill="auto"/>
            <w:vAlign w:val="center"/>
            <w:hideMark/>
          </w:tcPr>
          <w:p w14:paraId="44AC7A0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27D2241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340" w:type="dxa"/>
            <w:tcBorders>
              <w:top w:val="nil"/>
              <w:left w:val="nil"/>
              <w:bottom w:val="nil"/>
              <w:right w:val="nil"/>
            </w:tcBorders>
            <w:shd w:val="clear" w:color="auto" w:fill="auto"/>
            <w:noWrap/>
            <w:vAlign w:val="bottom"/>
            <w:hideMark/>
          </w:tcPr>
          <w:p w14:paraId="43BEDC5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nil"/>
              <w:right w:val="nil"/>
            </w:tcBorders>
            <w:shd w:val="clear" w:color="auto" w:fill="auto"/>
            <w:vAlign w:val="center"/>
            <w:hideMark/>
          </w:tcPr>
          <w:p w14:paraId="0C171374" w14:textId="77777777" w:rsidR="00805EB4" w:rsidRPr="0036715F" w:rsidRDefault="00805EB4" w:rsidP="00E72162">
            <w:pPr>
              <w:jc w:val="right"/>
              <w:rPr>
                <w:rFonts w:cstheme="minorHAnsi"/>
                <w:b/>
                <w:bCs/>
                <w:i/>
                <w:sz w:val="22"/>
                <w:szCs w:val="22"/>
              </w:rPr>
            </w:pPr>
            <w:r w:rsidRPr="0036715F">
              <w:rPr>
                <w:rFonts w:cstheme="minorHAnsi"/>
                <w:b/>
                <w:bCs/>
                <w:i/>
                <w:sz w:val="22"/>
                <w:szCs w:val="22"/>
              </w:rPr>
              <w:t>0.84</w:t>
            </w:r>
          </w:p>
        </w:tc>
        <w:tc>
          <w:tcPr>
            <w:tcW w:w="1180" w:type="dxa"/>
            <w:tcBorders>
              <w:top w:val="nil"/>
              <w:left w:val="nil"/>
              <w:bottom w:val="nil"/>
              <w:right w:val="nil"/>
            </w:tcBorders>
            <w:shd w:val="clear" w:color="auto" w:fill="auto"/>
            <w:vAlign w:val="center"/>
            <w:hideMark/>
          </w:tcPr>
          <w:p w14:paraId="6C51FE9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940" w:type="dxa"/>
            <w:tcBorders>
              <w:top w:val="nil"/>
              <w:left w:val="nil"/>
              <w:bottom w:val="nil"/>
              <w:right w:val="nil"/>
            </w:tcBorders>
            <w:shd w:val="clear" w:color="auto" w:fill="auto"/>
            <w:vAlign w:val="center"/>
            <w:hideMark/>
          </w:tcPr>
          <w:p w14:paraId="209FC7B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2CBD4C1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0.30</w:t>
            </w:r>
          </w:p>
        </w:tc>
      </w:tr>
      <w:tr w:rsidR="00805EB4" w:rsidRPr="004C66D9" w14:paraId="2792F1EF" w14:textId="77777777" w:rsidTr="00E72162">
        <w:trPr>
          <w:trHeight w:val="300"/>
          <w:jc w:val="center"/>
        </w:trPr>
        <w:tc>
          <w:tcPr>
            <w:tcW w:w="2460" w:type="dxa"/>
            <w:tcBorders>
              <w:top w:val="nil"/>
              <w:left w:val="nil"/>
              <w:bottom w:val="nil"/>
              <w:right w:val="nil"/>
            </w:tcBorders>
            <w:shd w:val="clear" w:color="auto" w:fill="auto"/>
            <w:vAlign w:val="center"/>
            <w:hideMark/>
          </w:tcPr>
          <w:p w14:paraId="6AFCFD48"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Social Connectedness</w:t>
            </w:r>
          </w:p>
        </w:tc>
        <w:tc>
          <w:tcPr>
            <w:tcW w:w="1060" w:type="dxa"/>
            <w:tcBorders>
              <w:top w:val="nil"/>
              <w:left w:val="nil"/>
              <w:bottom w:val="nil"/>
              <w:right w:val="nil"/>
            </w:tcBorders>
            <w:shd w:val="clear" w:color="auto" w:fill="auto"/>
            <w:noWrap/>
            <w:vAlign w:val="bottom"/>
            <w:hideMark/>
          </w:tcPr>
          <w:p w14:paraId="068DA6ED"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034977A4"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347F8221"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AB004A2"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DAE80C2"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5A8E7E5F" w14:textId="77777777" w:rsidR="00805EB4" w:rsidRPr="004C66D9" w:rsidRDefault="00805EB4" w:rsidP="00E72162">
            <w:pPr>
              <w:rPr>
                <w:rFonts w:cstheme="minorHAnsi"/>
                <w:sz w:val="22"/>
                <w:szCs w:val="22"/>
              </w:rPr>
            </w:pPr>
          </w:p>
        </w:tc>
      </w:tr>
      <w:tr w:rsidR="00805EB4" w:rsidRPr="004C66D9" w14:paraId="2522AEAC" w14:textId="77777777" w:rsidTr="00E72162">
        <w:trPr>
          <w:trHeight w:val="300"/>
          <w:jc w:val="center"/>
        </w:trPr>
        <w:tc>
          <w:tcPr>
            <w:tcW w:w="2460" w:type="dxa"/>
            <w:tcBorders>
              <w:top w:val="nil"/>
              <w:left w:val="nil"/>
              <w:bottom w:val="nil"/>
              <w:right w:val="nil"/>
            </w:tcBorders>
            <w:shd w:val="clear" w:color="auto" w:fill="auto"/>
            <w:vAlign w:val="center"/>
            <w:hideMark/>
          </w:tcPr>
          <w:p w14:paraId="4B58151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0D2F220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noWrap/>
            <w:vAlign w:val="bottom"/>
            <w:hideMark/>
          </w:tcPr>
          <w:p w14:paraId="643A13C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-0.18</w:t>
            </w:r>
          </w:p>
        </w:tc>
        <w:tc>
          <w:tcPr>
            <w:tcW w:w="1020" w:type="dxa"/>
            <w:tcBorders>
              <w:top w:val="nil"/>
              <w:left w:val="nil"/>
              <w:bottom w:val="nil"/>
              <w:right w:val="nil"/>
            </w:tcBorders>
            <w:shd w:val="clear" w:color="auto" w:fill="auto"/>
            <w:vAlign w:val="center"/>
            <w:hideMark/>
          </w:tcPr>
          <w:p w14:paraId="2314B47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-0.20</w:t>
            </w:r>
          </w:p>
        </w:tc>
        <w:tc>
          <w:tcPr>
            <w:tcW w:w="1180" w:type="dxa"/>
            <w:tcBorders>
              <w:top w:val="nil"/>
              <w:left w:val="nil"/>
              <w:bottom w:val="nil"/>
              <w:right w:val="nil"/>
            </w:tcBorders>
            <w:shd w:val="clear" w:color="auto" w:fill="auto"/>
            <w:vAlign w:val="center"/>
            <w:hideMark/>
          </w:tcPr>
          <w:p w14:paraId="6C5B516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0.27</w:t>
            </w:r>
          </w:p>
        </w:tc>
        <w:tc>
          <w:tcPr>
            <w:tcW w:w="940" w:type="dxa"/>
            <w:tcBorders>
              <w:top w:val="nil"/>
              <w:left w:val="nil"/>
              <w:bottom w:val="nil"/>
              <w:right w:val="nil"/>
            </w:tcBorders>
            <w:shd w:val="clear" w:color="auto" w:fill="auto"/>
            <w:vAlign w:val="center"/>
            <w:hideMark/>
          </w:tcPr>
          <w:p w14:paraId="064DD98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739E90B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r>
      <w:tr w:rsidR="00805EB4" w:rsidRPr="004C66D9" w14:paraId="548336B9" w14:textId="77777777" w:rsidTr="00E72162">
        <w:trPr>
          <w:trHeight w:val="300"/>
          <w:jc w:val="center"/>
        </w:trPr>
        <w:tc>
          <w:tcPr>
            <w:tcW w:w="2460" w:type="dxa"/>
            <w:tcBorders>
              <w:top w:val="nil"/>
              <w:left w:val="nil"/>
              <w:bottom w:val="nil"/>
              <w:right w:val="nil"/>
            </w:tcBorders>
            <w:shd w:val="clear" w:color="auto" w:fill="auto"/>
            <w:vAlign w:val="center"/>
            <w:hideMark/>
          </w:tcPr>
          <w:p w14:paraId="3E93CF6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47898BB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noWrap/>
            <w:vAlign w:val="bottom"/>
            <w:hideMark/>
          </w:tcPr>
          <w:p w14:paraId="02C20D1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-0.23</w:t>
            </w:r>
          </w:p>
        </w:tc>
        <w:tc>
          <w:tcPr>
            <w:tcW w:w="1020" w:type="dxa"/>
            <w:tcBorders>
              <w:top w:val="nil"/>
              <w:left w:val="nil"/>
              <w:bottom w:val="nil"/>
              <w:right w:val="nil"/>
            </w:tcBorders>
            <w:shd w:val="clear" w:color="auto" w:fill="auto"/>
            <w:vAlign w:val="center"/>
            <w:hideMark/>
          </w:tcPr>
          <w:p w14:paraId="697D709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180" w:type="dxa"/>
            <w:tcBorders>
              <w:top w:val="nil"/>
              <w:left w:val="nil"/>
              <w:bottom w:val="nil"/>
              <w:right w:val="nil"/>
            </w:tcBorders>
            <w:shd w:val="clear" w:color="auto" w:fill="auto"/>
            <w:vAlign w:val="center"/>
            <w:hideMark/>
          </w:tcPr>
          <w:p w14:paraId="0C54478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940" w:type="dxa"/>
            <w:tcBorders>
              <w:top w:val="nil"/>
              <w:left w:val="nil"/>
              <w:bottom w:val="nil"/>
              <w:right w:val="nil"/>
            </w:tcBorders>
            <w:shd w:val="clear" w:color="auto" w:fill="auto"/>
            <w:vAlign w:val="center"/>
            <w:hideMark/>
          </w:tcPr>
          <w:p w14:paraId="18485F7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2B82D07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-0.38</w:t>
            </w:r>
          </w:p>
        </w:tc>
      </w:tr>
      <w:tr w:rsidR="00805EB4" w:rsidRPr="004C66D9" w14:paraId="79F4E640" w14:textId="77777777" w:rsidTr="00E72162">
        <w:trPr>
          <w:trHeight w:val="300"/>
          <w:jc w:val="center"/>
        </w:trPr>
        <w:tc>
          <w:tcPr>
            <w:tcW w:w="2460" w:type="dxa"/>
            <w:tcBorders>
              <w:top w:val="nil"/>
              <w:left w:val="nil"/>
              <w:bottom w:val="nil"/>
              <w:right w:val="nil"/>
            </w:tcBorders>
            <w:shd w:val="clear" w:color="auto" w:fill="auto"/>
            <w:vAlign w:val="center"/>
            <w:hideMark/>
          </w:tcPr>
          <w:p w14:paraId="48D72F7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General Satisfaction</w:t>
            </w:r>
          </w:p>
        </w:tc>
        <w:tc>
          <w:tcPr>
            <w:tcW w:w="1060" w:type="dxa"/>
            <w:tcBorders>
              <w:top w:val="nil"/>
              <w:left w:val="nil"/>
              <w:bottom w:val="nil"/>
              <w:right w:val="nil"/>
            </w:tcBorders>
            <w:shd w:val="clear" w:color="auto" w:fill="auto"/>
            <w:noWrap/>
            <w:vAlign w:val="bottom"/>
            <w:hideMark/>
          </w:tcPr>
          <w:p w14:paraId="02450DC0"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2E2D3B98"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853FC95"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690D99BF"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49D0286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51A9CB9B" w14:textId="77777777" w:rsidR="00805EB4" w:rsidRPr="004C66D9" w:rsidRDefault="00805EB4" w:rsidP="00E72162">
            <w:pPr>
              <w:rPr>
                <w:rFonts w:cstheme="minorHAnsi"/>
                <w:sz w:val="22"/>
                <w:szCs w:val="22"/>
              </w:rPr>
            </w:pPr>
          </w:p>
        </w:tc>
      </w:tr>
      <w:tr w:rsidR="00805EB4" w:rsidRPr="004C66D9" w14:paraId="74FF45EC" w14:textId="77777777" w:rsidTr="00E72162">
        <w:trPr>
          <w:trHeight w:val="300"/>
          <w:jc w:val="center"/>
        </w:trPr>
        <w:tc>
          <w:tcPr>
            <w:tcW w:w="2460" w:type="dxa"/>
            <w:tcBorders>
              <w:top w:val="nil"/>
              <w:left w:val="nil"/>
              <w:bottom w:val="nil"/>
              <w:right w:val="nil"/>
            </w:tcBorders>
            <w:shd w:val="clear" w:color="auto" w:fill="auto"/>
            <w:vAlign w:val="center"/>
            <w:hideMark/>
          </w:tcPr>
          <w:p w14:paraId="4332298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766EDDE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noWrap/>
            <w:vAlign w:val="bottom"/>
            <w:hideMark/>
          </w:tcPr>
          <w:p w14:paraId="1643CEE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0.42</w:t>
            </w:r>
          </w:p>
        </w:tc>
        <w:tc>
          <w:tcPr>
            <w:tcW w:w="1020" w:type="dxa"/>
            <w:tcBorders>
              <w:top w:val="nil"/>
              <w:left w:val="nil"/>
              <w:bottom w:val="nil"/>
              <w:right w:val="nil"/>
            </w:tcBorders>
            <w:shd w:val="clear" w:color="auto" w:fill="auto"/>
            <w:vAlign w:val="center"/>
            <w:hideMark/>
          </w:tcPr>
          <w:p w14:paraId="4265EBB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0.24</w:t>
            </w:r>
          </w:p>
        </w:tc>
        <w:tc>
          <w:tcPr>
            <w:tcW w:w="1180" w:type="dxa"/>
            <w:tcBorders>
              <w:top w:val="nil"/>
              <w:left w:val="nil"/>
              <w:bottom w:val="nil"/>
              <w:right w:val="nil"/>
            </w:tcBorders>
            <w:shd w:val="clear" w:color="auto" w:fill="auto"/>
            <w:vAlign w:val="center"/>
            <w:hideMark/>
          </w:tcPr>
          <w:p w14:paraId="5B104C8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940" w:type="dxa"/>
            <w:tcBorders>
              <w:top w:val="nil"/>
              <w:left w:val="nil"/>
              <w:bottom w:val="nil"/>
              <w:right w:val="nil"/>
            </w:tcBorders>
            <w:shd w:val="clear" w:color="auto" w:fill="auto"/>
            <w:vAlign w:val="center"/>
            <w:hideMark/>
          </w:tcPr>
          <w:p w14:paraId="1B54C5B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1E31BBD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r>
      <w:tr w:rsidR="00805EB4" w:rsidRPr="004C66D9" w14:paraId="0B040C66" w14:textId="77777777" w:rsidTr="00E72162">
        <w:trPr>
          <w:trHeight w:val="300"/>
          <w:jc w:val="center"/>
        </w:trPr>
        <w:tc>
          <w:tcPr>
            <w:tcW w:w="2460" w:type="dxa"/>
            <w:tcBorders>
              <w:top w:val="nil"/>
              <w:left w:val="nil"/>
              <w:bottom w:val="nil"/>
              <w:right w:val="nil"/>
            </w:tcBorders>
            <w:shd w:val="clear" w:color="auto" w:fill="auto"/>
            <w:vAlign w:val="center"/>
            <w:hideMark/>
          </w:tcPr>
          <w:p w14:paraId="002A586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738D85E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noWrap/>
            <w:vAlign w:val="bottom"/>
            <w:hideMark/>
          </w:tcPr>
          <w:p w14:paraId="175815F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0.30</w:t>
            </w:r>
          </w:p>
        </w:tc>
        <w:tc>
          <w:tcPr>
            <w:tcW w:w="1020" w:type="dxa"/>
            <w:tcBorders>
              <w:top w:val="nil"/>
              <w:left w:val="nil"/>
              <w:bottom w:val="nil"/>
              <w:right w:val="nil"/>
            </w:tcBorders>
            <w:shd w:val="clear" w:color="auto" w:fill="auto"/>
            <w:vAlign w:val="center"/>
            <w:hideMark/>
          </w:tcPr>
          <w:p w14:paraId="294F7B6D"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0.68</w:t>
            </w:r>
          </w:p>
        </w:tc>
        <w:tc>
          <w:tcPr>
            <w:tcW w:w="1180" w:type="dxa"/>
            <w:tcBorders>
              <w:top w:val="nil"/>
              <w:left w:val="nil"/>
              <w:bottom w:val="nil"/>
              <w:right w:val="nil"/>
            </w:tcBorders>
            <w:shd w:val="clear" w:color="auto" w:fill="auto"/>
            <w:vAlign w:val="center"/>
            <w:hideMark/>
          </w:tcPr>
          <w:p w14:paraId="693EBE2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940" w:type="dxa"/>
            <w:tcBorders>
              <w:top w:val="nil"/>
              <w:left w:val="nil"/>
              <w:bottom w:val="nil"/>
              <w:right w:val="nil"/>
            </w:tcBorders>
            <w:shd w:val="clear" w:color="auto" w:fill="auto"/>
            <w:vAlign w:val="center"/>
            <w:hideMark/>
          </w:tcPr>
          <w:p w14:paraId="2711581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nil"/>
              <w:right w:val="nil"/>
            </w:tcBorders>
            <w:shd w:val="clear" w:color="auto" w:fill="auto"/>
            <w:vAlign w:val="center"/>
            <w:hideMark/>
          </w:tcPr>
          <w:p w14:paraId="5F6D9BE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r>
      <w:tr w:rsidR="00805EB4" w:rsidRPr="004C66D9" w14:paraId="6304A1CB" w14:textId="77777777" w:rsidTr="00E72162">
        <w:trPr>
          <w:trHeight w:val="300"/>
          <w:jc w:val="center"/>
        </w:trPr>
        <w:tc>
          <w:tcPr>
            <w:tcW w:w="2460" w:type="dxa"/>
            <w:tcBorders>
              <w:top w:val="nil"/>
              <w:left w:val="nil"/>
              <w:bottom w:val="nil"/>
              <w:right w:val="nil"/>
            </w:tcBorders>
            <w:shd w:val="clear" w:color="auto" w:fill="auto"/>
            <w:vAlign w:val="center"/>
            <w:hideMark/>
          </w:tcPr>
          <w:p w14:paraId="355C6019"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Daily Functioning</w:t>
            </w:r>
          </w:p>
        </w:tc>
        <w:tc>
          <w:tcPr>
            <w:tcW w:w="1060" w:type="dxa"/>
            <w:tcBorders>
              <w:top w:val="nil"/>
              <w:left w:val="nil"/>
              <w:bottom w:val="nil"/>
              <w:right w:val="nil"/>
            </w:tcBorders>
            <w:shd w:val="clear" w:color="auto" w:fill="auto"/>
            <w:vAlign w:val="center"/>
            <w:hideMark/>
          </w:tcPr>
          <w:p w14:paraId="33DF7E04"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FF23E9D" w14:textId="77777777" w:rsidR="00805EB4" w:rsidRPr="004C66D9" w:rsidRDefault="00805EB4" w:rsidP="00E72162">
            <w:pPr>
              <w:jc w:val="right"/>
              <w:rPr>
                <w:rFonts w:cstheme="minorHAnsi"/>
                <w:sz w:val="22"/>
                <w:szCs w:val="22"/>
              </w:rPr>
            </w:pPr>
          </w:p>
        </w:tc>
        <w:tc>
          <w:tcPr>
            <w:tcW w:w="1020" w:type="dxa"/>
            <w:tcBorders>
              <w:top w:val="nil"/>
              <w:left w:val="nil"/>
              <w:bottom w:val="nil"/>
              <w:right w:val="nil"/>
            </w:tcBorders>
            <w:shd w:val="clear" w:color="auto" w:fill="auto"/>
            <w:noWrap/>
            <w:vAlign w:val="bottom"/>
            <w:hideMark/>
          </w:tcPr>
          <w:p w14:paraId="2B58DABD"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0ACC4600"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59A63076"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579DFD20" w14:textId="77777777" w:rsidR="00805EB4" w:rsidRPr="004C66D9" w:rsidRDefault="00805EB4" w:rsidP="00E72162">
            <w:pPr>
              <w:rPr>
                <w:rFonts w:cstheme="minorHAnsi"/>
                <w:sz w:val="22"/>
                <w:szCs w:val="22"/>
              </w:rPr>
            </w:pPr>
          </w:p>
        </w:tc>
      </w:tr>
      <w:tr w:rsidR="00805EB4" w:rsidRPr="004C66D9" w14:paraId="0A1B5D42" w14:textId="77777777" w:rsidTr="00E72162">
        <w:trPr>
          <w:trHeight w:val="300"/>
          <w:jc w:val="center"/>
        </w:trPr>
        <w:tc>
          <w:tcPr>
            <w:tcW w:w="2460" w:type="dxa"/>
            <w:tcBorders>
              <w:top w:val="nil"/>
              <w:left w:val="nil"/>
              <w:bottom w:val="nil"/>
              <w:right w:val="nil"/>
            </w:tcBorders>
            <w:shd w:val="clear" w:color="auto" w:fill="auto"/>
            <w:vAlign w:val="center"/>
            <w:hideMark/>
          </w:tcPr>
          <w:p w14:paraId="43BFDB8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3255FB1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340" w:type="dxa"/>
            <w:tcBorders>
              <w:top w:val="nil"/>
              <w:left w:val="nil"/>
              <w:bottom w:val="nil"/>
              <w:right w:val="nil"/>
            </w:tcBorders>
            <w:shd w:val="clear" w:color="auto" w:fill="auto"/>
            <w:noWrap/>
            <w:vAlign w:val="bottom"/>
            <w:hideMark/>
          </w:tcPr>
          <w:p w14:paraId="278ED03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-0.22</w:t>
            </w:r>
          </w:p>
        </w:tc>
        <w:tc>
          <w:tcPr>
            <w:tcW w:w="1020" w:type="dxa"/>
            <w:tcBorders>
              <w:top w:val="nil"/>
              <w:left w:val="nil"/>
              <w:bottom w:val="nil"/>
              <w:right w:val="nil"/>
            </w:tcBorders>
            <w:shd w:val="clear" w:color="auto" w:fill="auto"/>
            <w:vAlign w:val="center"/>
            <w:hideMark/>
          </w:tcPr>
          <w:p w14:paraId="2CD78C0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180" w:type="dxa"/>
            <w:tcBorders>
              <w:top w:val="nil"/>
              <w:left w:val="nil"/>
              <w:bottom w:val="nil"/>
              <w:right w:val="nil"/>
            </w:tcBorders>
            <w:shd w:val="clear" w:color="auto" w:fill="auto"/>
            <w:vAlign w:val="center"/>
            <w:hideMark/>
          </w:tcPr>
          <w:p w14:paraId="6424AB0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vAlign w:val="center"/>
            <w:hideMark/>
          </w:tcPr>
          <w:p w14:paraId="6DC249B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vAlign w:val="center"/>
            <w:hideMark/>
          </w:tcPr>
          <w:p w14:paraId="5192DC5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0.22</w:t>
            </w:r>
          </w:p>
        </w:tc>
      </w:tr>
      <w:tr w:rsidR="00805EB4" w:rsidRPr="004C66D9" w14:paraId="15BD2153" w14:textId="77777777" w:rsidTr="00E72162">
        <w:trPr>
          <w:trHeight w:val="300"/>
          <w:jc w:val="center"/>
        </w:trPr>
        <w:tc>
          <w:tcPr>
            <w:tcW w:w="2460" w:type="dxa"/>
            <w:tcBorders>
              <w:top w:val="nil"/>
              <w:left w:val="nil"/>
              <w:bottom w:val="nil"/>
              <w:right w:val="nil"/>
            </w:tcBorders>
            <w:shd w:val="clear" w:color="auto" w:fill="auto"/>
            <w:vAlign w:val="center"/>
            <w:hideMark/>
          </w:tcPr>
          <w:p w14:paraId="56D55F2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2B1360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340" w:type="dxa"/>
            <w:tcBorders>
              <w:top w:val="nil"/>
              <w:left w:val="nil"/>
              <w:bottom w:val="nil"/>
              <w:right w:val="nil"/>
            </w:tcBorders>
            <w:shd w:val="clear" w:color="auto" w:fill="auto"/>
            <w:noWrap/>
            <w:vAlign w:val="bottom"/>
            <w:hideMark/>
          </w:tcPr>
          <w:p w14:paraId="7371E3C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020" w:type="dxa"/>
            <w:tcBorders>
              <w:top w:val="nil"/>
              <w:left w:val="nil"/>
              <w:bottom w:val="nil"/>
              <w:right w:val="nil"/>
            </w:tcBorders>
            <w:shd w:val="clear" w:color="auto" w:fill="auto"/>
            <w:vAlign w:val="center"/>
            <w:hideMark/>
          </w:tcPr>
          <w:p w14:paraId="733D6A6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180" w:type="dxa"/>
            <w:tcBorders>
              <w:top w:val="nil"/>
              <w:left w:val="nil"/>
              <w:bottom w:val="nil"/>
              <w:right w:val="nil"/>
            </w:tcBorders>
            <w:shd w:val="clear" w:color="auto" w:fill="auto"/>
            <w:vAlign w:val="center"/>
            <w:hideMark/>
          </w:tcPr>
          <w:p w14:paraId="16286C3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940" w:type="dxa"/>
            <w:tcBorders>
              <w:top w:val="nil"/>
              <w:left w:val="nil"/>
              <w:bottom w:val="nil"/>
              <w:right w:val="nil"/>
            </w:tcBorders>
            <w:shd w:val="clear" w:color="auto" w:fill="auto"/>
            <w:vAlign w:val="center"/>
            <w:hideMark/>
          </w:tcPr>
          <w:p w14:paraId="27CBDEE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020" w:type="dxa"/>
            <w:tcBorders>
              <w:top w:val="nil"/>
              <w:left w:val="nil"/>
              <w:bottom w:val="nil"/>
              <w:right w:val="nil"/>
            </w:tcBorders>
            <w:shd w:val="clear" w:color="auto" w:fill="auto"/>
            <w:vAlign w:val="center"/>
            <w:hideMark/>
          </w:tcPr>
          <w:p w14:paraId="53343AB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0.29</w:t>
            </w:r>
          </w:p>
        </w:tc>
      </w:tr>
      <w:tr w:rsidR="00805EB4" w:rsidRPr="004C66D9" w14:paraId="079638AF" w14:textId="77777777" w:rsidTr="00E72162">
        <w:trPr>
          <w:trHeight w:val="300"/>
          <w:jc w:val="center"/>
        </w:trPr>
        <w:tc>
          <w:tcPr>
            <w:tcW w:w="2460" w:type="dxa"/>
            <w:tcBorders>
              <w:top w:val="nil"/>
              <w:left w:val="nil"/>
              <w:bottom w:val="nil"/>
              <w:right w:val="nil"/>
            </w:tcBorders>
            <w:shd w:val="clear" w:color="auto" w:fill="auto"/>
            <w:vAlign w:val="center"/>
            <w:hideMark/>
          </w:tcPr>
          <w:p w14:paraId="13B43264"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Quality</w:t>
            </w:r>
          </w:p>
        </w:tc>
        <w:tc>
          <w:tcPr>
            <w:tcW w:w="1060" w:type="dxa"/>
            <w:tcBorders>
              <w:top w:val="nil"/>
              <w:left w:val="nil"/>
              <w:bottom w:val="nil"/>
              <w:right w:val="nil"/>
            </w:tcBorders>
            <w:shd w:val="clear" w:color="auto" w:fill="auto"/>
            <w:vAlign w:val="center"/>
            <w:hideMark/>
          </w:tcPr>
          <w:p w14:paraId="02FDD384"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EA8105F" w14:textId="77777777" w:rsidR="00805EB4" w:rsidRPr="004C66D9" w:rsidRDefault="00805EB4" w:rsidP="00E72162">
            <w:pPr>
              <w:jc w:val="right"/>
              <w:rPr>
                <w:rFonts w:cstheme="minorHAnsi"/>
                <w:sz w:val="22"/>
                <w:szCs w:val="22"/>
              </w:rPr>
            </w:pPr>
          </w:p>
        </w:tc>
        <w:tc>
          <w:tcPr>
            <w:tcW w:w="1020" w:type="dxa"/>
            <w:tcBorders>
              <w:top w:val="nil"/>
              <w:left w:val="nil"/>
              <w:bottom w:val="nil"/>
              <w:right w:val="nil"/>
            </w:tcBorders>
            <w:shd w:val="clear" w:color="auto" w:fill="auto"/>
            <w:noWrap/>
            <w:vAlign w:val="bottom"/>
            <w:hideMark/>
          </w:tcPr>
          <w:p w14:paraId="7088E6CD"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4F0B3298"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BA0CF4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633BC8E1" w14:textId="77777777" w:rsidR="00805EB4" w:rsidRPr="004C66D9" w:rsidRDefault="00805EB4" w:rsidP="00E72162">
            <w:pPr>
              <w:rPr>
                <w:rFonts w:cstheme="minorHAnsi"/>
                <w:sz w:val="22"/>
                <w:szCs w:val="22"/>
              </w:rPr>
            </w:pPr>
          </w:p>
        </w:tc>
      </w:tr>
      <w:tr w:rsidR="00805EB4" w:rsidRPr="004C66D9" w14:paraId="403314EE" w14:textId="77777777" w:rsidTr="00E72162">
        <w:trPr>
          <w:trHeight w:val="300"/>
          <w:jc w:val="center"/>
        </w:trPr>
        <w:tc>
          <w:tcPr>
            <w:tcW w:w="2460" w:type="dxa"/>
            <w:tcBorders>
              <w:top w:val="nil"/>
              <w:left w:val="nil"/>
              <w:bottom w:val="nil"/>
              <w:right w:val="nil"/>
            </w:tcBorders>
            <w:shd w:val="clear" w:color="auto" w:fill="auto"/>
            <w:vAlign w:val="center"/>
            <w:hideMark/>
          </w:tcPr>
          <w:p w14:paraId="290935F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61690F6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340" w:type="dxa"/>
            <w:tcBorders>
              <w:top w:val="nil"/>
              <w:left w:val="nil"/>
              <w:bottom w:val="nil"/>
              <w:right w:val="nil"/>
            </w:tcBorders>
            <w:shd w:val="clear" w:color="auto" w:fill="auto"/>
            <w:noWrap/>
            <w:vAlign w:val="bottom"/>
            <w:hideMark/>
          </w:tcPr>
          <w:p w14:paraId="1680390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0.22</w:t>
            </w:r>
          </w:p>
        </w:tc>
        <w:tc>
          <w:tcPr>
            <w:tcW w:w="1020" w:type="dxa"/>
            <w:tcBorders>
              <w:top w:val="nil"/>
              <w:left w:val="nil"/>
              <w:bottom w:val="nil"/>
              <w:right w:val="nil"/>
            </w:tcBorders>
            <w:shd w:val="clear" w:color="auto" w:fill="auto"/>
            <w:vAlign w:val="center"/>
            <w:hideMark/>
          </w:tcPr>
          <w:p w14:paraId="5019C41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0.41</w:t>
            </w:r>
          </w:p>
        </w:tc>
        <w:tc>
          <w:tcPr>
            <w:tcW w:w="1180" w:type="dxa"/>
            <w:tcBorders>
              <w:top w:val="nil"/>
              <w:left w:val="nil"/>
              <w:bottom w:val="nil"/>
              <w:right w:val="nil"/>
            </w:tcBorders>
            <w:shd w:val="clear" w:color="auto" w:fill="auto"/>
            <w:vAlign w:val="center"/>
            <w:hideMark/>
          </w:tcPr>
          <w:p w14:paraId="0784D02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940" w:type="dxa"/>
            <w:tcBorders>
              <w:top w:val="nil"/>
              <w:left w:val="nil"/>
              <w:bottom w:val="nil"/>
              <w:right w:val="nil"/>
            </w:tcBorders>
            <w:shd w:val="clear" w:color="auto" w:fill="auto"/>
            <w:vAlign w:val="center"/>
            <w:hideMark/>
          </w:tcPr>
          <w:p w14:paraId="0D31E5D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020" w:type="dxa"/>
            <w:tcBorders>
              <w:top w:val="nil"/>
              <w:left w:val="nil"/>
              <w:bottom w:val="nil"/>
              <w:right w:val="nil"/>
            </w:tcBorders>
            <w:shd w:val="clear" w:color="auto" w:fill="auto"/>
            <w:vAlign w:val="center"/>
            <w:hideMark/>
          </w:tcPr>
          <w:p w14:paraId="4E4B777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r>
      <w:tr w:rsidR="00805EB4" w:rsidRPr="004C66D9" w14:paraId="1C5A2DA9" w14:textId="77777777" w:rsidTr="00E72162">
        <w:trPr>
          <w:trHeight w:val="300"/>
          <w:jc w:val="center"/>
        </w:trPr>
        <w:tc>
          <w:tcPr>
            <w:tcW w:w="2460" w:type="dxa"/>
            <w:tcBorders>
              <w:top w:val="nil"/>
              <w:left w:val="nil"/>
              <w:bottom w:val="nil"/>
              <w:right w:val="nil"/>
            </w:tcBorders>
            <w:shd w:val="clear" w:color="auto" w:fill="auto"/>
            <w:vAlign w:val="center"/>
            <w:hideMark/>
          </w:tcPr>
          <w:p w14:paraId="02B6BC3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760387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340" w:type="dxa"/>
            <w:tcBorders>
              <w:top w:val="nil"/>
              <w:left w:val="nil"/>
              <w:bottom w:val="nil"/>
              <w:right w:val="nil"/>
            </w:tcBorders>
            <w:shd w:val="clear" w:color="auto" w:fill="auto"/>
            <w:noWrap/>
            <w:vAlign w:val="bottom"/>
            <w:hideMark/>
          </w:tcPr>
          <w:p w14:paraId="016311F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0.21</w:t>
            </w:r>
          </w:p>
        </w:tc>
        <w:tc>
          <w:tcPr>
            <w:tcW w:w="1020" w:type="dxa"/>
            <w:tcBorders>
              <w:top w:val="nil"/>
              <w:left w:val="nil"/>
              <w:bottom w:val="nil"/>
              <w:right w:val="nil"/>
            </w:tcBorders>
            <w:shd w:val="clear" w:color="auto" w:fill="auto"/>
            <w:vAlign w:val="center"/>
            <w:hideMark/>
          </w:tcPr>
          <w:p w14:paraId="50B3F37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0.50</w:t>
            </w:r>
          </w:p>
        </w:tc>
        <w:tc>
          <w:tcPr>
            <w:tcW w:w="1180" w:type="dxa"/>
            <w:tcBorders>
              <w:top w:val="nil"/>
              <w:left w:val="nil"/>
              <w:bottom w:val="nil"/>
              <w:right w:val="nil"/>
            </w:tcBorders>
            <w:shd w:val="clear" w:color="auto" w:fill="auto"/>
            <w:vAlign w:val="center"/>
            <w:hideMark/>
          </w:tcPr>
          <w:p w14:paraId="228FD67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0.23</w:t>
            </w:r>
          </w:p>
        </w:tc>
        <w:tc>
          <w:tcPr>
            <w:tcW w:w="940" w:type="dxa"/>
            <w:tcBorders>
              <w:top w:val="nil"/>
              <w:left w:val="nil"/>
              <w:bottom w:val="nil"/>
              <w:right w:val="nil"/>
            </w:tcBorders>
            <w:shd w:val="clear" w:color="auto" w:fill="auto"/>
            <w:vAlign w:val="center"/>
            <w:hideMark/>
          </w:tcPr>
          <w:p w14:paraId="0322E44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020" w:type="dxa"/>
            <w:tcBorders>
              <w:top w:val="nil"/>
              <w:left w:val="nil"/>
              <w:bottom w:val="nil"/>
              <w:right w:val="nil"/>
            </w:tcBorders>
            <w:shd w:val="clear" w:color="auto" w:fill="auto"/>
            <w:vAlign w:val="center"/>
            <w:hideMark/>
          </w:tcPr>
          <w:p w14:paraId="6C9B495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0.54</w:t>
            </w:r>
          </w:p>
        </w:tc>
      </w:tr>
      <w:tr w:rsidR="00805EB4" w:rsidRPr="004C66D9" w14:paraId="4EEEB666" w14:textId="77777777" w:rsidTr="00E72162">
        <w:trPr>
          <w:trHeight w:val="300"/>
          <w:jc w:val="center"/>
        </w:trPr>
        <w:tc>
          <w:tcPr>
            <w:tcW w:w="2460" w:type="dxa"/>
            <w:tcBorders>
              <w:top w:val="nil"/>
              <w:left w:val="nil"/>
              <w:bottom w:val="nil"/>
              <w:right w:val="nil"/>
            </w:tcBorders>
            <w:shd w:val="clear" w:color="auto" w:fill="auto"/>
            <w:vAlign w:val="center"/>
            <w:hideMark/>
          </w:tcPr>
          <w:p w14:paraId="4A9671B4"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Treatment Outcomes</w:t>
            </w:r>
          </w:p>
        </w:tc>
        <w:tc>
          <w:tcPr>
            <w:tcW w:w="1060" w:type="dxa"/>
            <w:tcBorders>
              <w:top w:val="nil"/>
              <w:left w:val="nil"/>
              <w:bottom w:val="nil"/>
              <w:right w:val="nil"/>
            </w:tcBorders>
            <w:shd w:val="clear" w:color="auto" w:fill="auto"/>
            <w:vAlign w:val="center"/>
            <w:hideMark/>
          </w:tcPr>
          <w:p w14:paraId="0894E0E8"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284E7F1" w14:textId="77777777" w:rsidR="00805EB4" w:rsidRPr="004C66D9" w:rsidRDefault="00805EB4" w:rsidP="00E72162">
            <w:pPr>
              <w:jc w:val="right"/>
              <w:rPr>
                <w:rFonts w:cstheme="minorHAnsi"/>
                <w:sz w:val="22"/>
                <w:szCs w:val="22"/>
              </w:rPr>
            </w:pPr>
          </w:p>
        </w:tc>
        <w:tc>
          <w:tcPr>
            <w:tcW w:w="1020" w:type="dxa"/>
            <w:tcBorders>
              <w:top w:val="nil"/>
              <w:left w:val="nil"/>
              <w:bottom w:val="nil"/>
              <w:right w:val="nil"/>
            </w:tcBorders>
            <w:shd w:val="clear" w:color="auto" w:fill="auto"/>
            <w:noWrap/>
            <w:vAlign w:val="bottom"/>
            <w:hideMark/>
          </w:tcPr>
          <w:p w14:paraId="4FC2E337"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02938695"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09EAE2F"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128D39CA" w14:textId="77777777" w:rsidR="00805EB4" w:rsidRPr="004C66D9" w:rsidRDefault="00805EB4" w:rsidP="00E72162">
            <w:pPr>
              <w:rPr>
                <w:rFonts w:cstheme="minorHAnsi"/>
                <w:sz w:val="22"/>
                <w:szCs w:val="22"/>
              </w:rPr>
            </w:pPr>
          </w:p>
        </w:tc>
      </w:tr>
      <w:tr w:rsidR="00805EB4" w:rsidRPr="004C66D9" w14:paraId="66FE60F0" w14:textId="77777777" w:rsidTr="00E72162">
        <w:trPr>
          <w:trHeight w:val="300"/>
          <w:jc w:val="center"/>
        </w:trPr>
        <w:tc>
          <w:tcPr>
            <w:tcW w:w="2460" w:type="dxa"/>
            <w:tcBorders>
              <w:top w:val="nil"/>
              <w:left w:val="nil"/>
              <w:bottom w:val="nil"/>
              <w:right w:val="nil"/>
            </w:tcBorders>
            <w:shd w:val="clear" w:color="auto" w:fill="auto"/>
            <w:vAlign w:val="center"/>
            <w:hideMark/>
          </w:tcPr>
          <w:p w14:paraId="36D853D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415A22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340" w:type="dxa"/>
            <w:tcBorders>
              <w:top w:val="nil"/>
              <w:left w:val="nil"/>
              <w:bottom w:val="nil"/>
              <w:right w:val="nil"/>
            </w:tcBorders>
            <w:shd w:val="clear" w:color="auto" w:fill="auto"/>
            <w:noWrap/>
            <w:vAlign w:val="bottom"/>
            <w:hideMark/>
          </w:tcPr>
          <w:p w14:paraId="6CFA380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020" w:type="dxa"/>
            <w:tcBorders>
              <w:top w:val="nil"/>
              <w:left w:val="nil"/>
              <w:bottom w:val="nil"/>
              <w:right w:val="nil"/>
            </w:tcBorders>
            <w:shd w:val="clear" w:color="auto" w:fill="auto"/>
            <w:vAlign w:val="center"/>
            <w:hideMark/>
          </w:tcPr>
          <w:p w14:paraId="5643AB5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6.00</w:t>
            </w:r>
          </w:p>
        </w:tc>
        <w:tc>
          <w:tcPr>
            <w:tcW w:w="1180" w:type="dxa"/>
            <w:tcBorders>
              <w:top w:val="nil"/>
              <w:left w:val="nil"/>
              <w:bottom w:val="nil"/>
              <w:right w:val="nil"/>
            </w:tcBorders>
            <w:shd w:val="clear" w:color="auto" w:fill="auto"/>
            <w:vAlign w:val="center"/>
            <w:hideMark/>
          </w:tcPr>
          <w:p w14:paraId="7D12451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0.12</w:t>
            </w:r>
          </w:p>
        </w:tc>
        <w:tc>
          <w:tcPr>
            <w:tcW w:w="940" w:type="dxa"/>
            <w:tcBorders>
              <w:top w:val="nil"/>
              <w:left w:val="nil"/>
              <w:bottom w:val="nil"/>
              <w:right w:val="nil"/>
            </w:tcBorders>
            <w:shd w:val="clear" w:color="auto" w:fill="auto"/>
            <w:vAlign w:val="center"/>
            <w:hideMark/>
          </w:tcPr>
          <w:p w14:paraId="40F1343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006CBF95"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0.54</w:t>
            </w:r>
          </w:p>
        </w:tc>
      </w:tr>
      <w:tr w:rsidR="00805EB4" w:rsidRPr="004C66D9" w14:paraId="7B78A39D" w14:textId="77777777" w:rsidTr="00E72162">
        <w:trPr>
          <w:trHeight w:val="300"/>
          <w:jc w:val="center"/>
        </w:trPr>
        <w:tc>
          <w:tcPr>
            <w:tcW w:w="2460" w:type="dxa"/>
            <w:tcBorders>
              <w:top w:val="nil"/>
              <w:left w:val="nil"/>
              <w:bottom w:val="nil"/>
              <w:right w:val="nil"/>
            </w:tcBorders>
            <w:shd w:val="clear" w:color="auto" w:fill="auto"/>
            <w:vAlign w:val="center"/>
            <w:hideMark/>
          </w:tcPr>
          <w:p w14:paraId="47D9BEA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07745F2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340" w:type="dxa"/>
            <w:tcBorders>
              <w:top w:val="nil"/>
              <w:left w:val="nil"/>
              <w:bottom w:val="nil"/>
              <w:right w:val="nil"/>
            </w:tcBorders>
            <w:shd w:val="clear" w:color="auto" w:fill="auto"/>
            <w:noWrap/>
            <w:vAlign w:val="bottom"/>
            <w:hideMark/>
          </w:tcPr>
          <w:p w14:paraId="1672CAB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4CD676E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0.28</w:t>
            </w:r>
          </w:p>
        </w:tc>
        <w:tc>
          <w:tcPr>
            <w:tcW w:w="1180" w:type="dxa"/>
            <w:tcBorders>
              <w:top w:val="nil"/>
              <w:left w:val="nil"/>
              <w:bottom w:val="nil"/>
              <w:right w:val="nil"/>
            </w:tcBorders>
            <w:shd w:val="clear" w:color="auto" w:fill="auto"/>
            <w:vAlign w:val="center"/>
            <w:hideMark/>
          </w:tcPr>
          <w:p w14:paraId="5A9CB29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940" w:type="dxa"/>
            <w:tcBorders>
              <w:top w:val="nil"/>
              <w:left w:val="nil"/>
              <w:bottom w:val="nil"/>
              <w:right w:val="nil"/>
            </w:tcBorders>
            <w:shd w:val="clear" w:color="auto" w:fill="auto"/>
            <w:vAlign w:val="center"/>
            <w:hideMark/>
          </w:tcPr>
          <w:p w14:paraId="487C44E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626C9AB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0.44</w:t>
            </w:r>
          </w:p>
        </w:tc>
      </w:tr>
      <w:tr w:rsidR="00805EB4" w:rsidRPr="004C66D9" w14:paraId="39007D0B" w14:textId="77777777" w:rsidTr="00E72162">
        <w:trPr>
          <w:trHeight w:val="300"/>
          <w:jc w:val="center"/>
        </w:trPr>
        <w:tc>
          <w:tcPr>
            <w:tcW w:w="2460" w:type="dxa"/>
            <w:tcBorders>
              <w:top w:val="nil"/>
              <w:left w:val="nil"/>
              <w:bottom w:val="nil"/>
              <w:right w:val="nil"/>
            </w:tcBorders>
            <w:shd w:val="clear" w:color="auto" w:fill="auto"/>
            <w:vAlign w:val="center"/>
            <w:hideMark/>
          </w:tcPr>
          <w:p w14:paraId="5E29BA44"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Participation</w:t>
            </w:r>
          </w:p>
        </w:tc>
        <w:tc>
          <w:tcPr>
            <w:tcW w:w="1060" w:type="dxa"/>
            <w:tcBorders>
              <w:top w:val="nil"/>
              <w:left w:val="nil"/>
              <w:bottom w:val="nil"/>
              <w:right w:val="nil"/>
            </w:tcBorders>
            <w:shd w:val="clear" w:color="auto" w:fill="auto"/>
            <w:vAlign w:val="center"/>
            <w:hideMark/>
          </w:tcPr>
          <w:p w14:paraId="01DBA2D7"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6202C74E" w14:textId="77777777" w:rsidR="00805EB4" w:rsidRPr="004C66D9" w:rsidRDefault="00805EB4" w:rsidP="00E72162">
            <w:pPr>
              <w:jc w:val="right"/>
              <w:rPr>
                <w:rFonts w:cstheme="minorHAnsi"/>
                <w:sz w:val="22"/>
                <w:szCs w:val="22"/>
              </w:rPr>
            </w:pPr>
          </w:p>
        </w:tc>
        <w:tc>
          <w:tcPr>
            <w:tcW w:w="1020" w:type="dxa"/>
            <w:tcBorders>
              <w:top w:val="nil"/>
              <w:left w:val="nil"/>
              <w:bottom w:val="nil"/>
              <w:right w:val="nil"/>
            </w:tcBorders>
            <w:shd w:val="clear" w:color="auto" w:fill="auto"/>
            <w:noWrap/>
            <w:vAlign w:val="bottom"/>
            <w:hideMark/>
          </w:tcPr>
          <w:p w14:paraId="1FA4D3D5"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15F4A5B"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0FB42C79"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vAlign w:val="center"/>
            <w:hideMark/>
          </w:tcPr>
          <w:p w14:paraId="0E1AE644" w14:textId="77777777" w:rsidR="00805EB4" w:rsidRPr="004C66D9" w:rsidRDefault="00805EB4" w:rsidP="00E72162">
            <w:pPr>
              <w:rPr>
                <w:rFonts w:cstheme="minorHAnsi"/>
                <w:sz w:val="22"/>
                <w:szCs w:val="22"/>
              </w:rPr>
            </w:pPr>
          </w:p>
        </w:tc>
      </w:tr>
      <w:tr w:rsidR="00805EB4" w:rsidRPr="004C66D9" w14:paraId="4232B39C" w14:textId="77777777" w:rsidTr="00E72162">
        <w:trPr>
          <w:trHeight w:val="300"/>
          <w:jc w:val="center"/>
        </w:trPr>
        <w:tc>
          <w:tcPr>
            <w:tcW w:w="2460" w:type="dxa"/>
            <w:tcBorders>
              <w:top w:val="nil"/>
              <w:left w:val="nil"/>
              <w:bottom w:val="nil"/>
              <w:right w:val="nil"/>
            </w:tcBorders>
            <w:shd w:val="clear" w:color="auto" w:fill="auto"/>
            <w:vAlign w:val="center"/>
            <w:hideMark/>
          </w:tcPr>
          <w:p w14:paraId="62C9EDA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77AE232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noWrap/>
            <w:vAlign w:val="bottom"/>
            <w:hideMark/>
          </w:tcPr>
          <w:p w14:paraId="6E86D3E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0.51</w:t>
            </w:r>
          </w:p>
        </w:tc>
        <w:tc>
          <w:tcPr>
            <w:tcW w:w="1020" w:type="dxa"/>
            <w:tcBorders>
              <w:top w:val="nil"/>
              <w:left w:val="nil"/>
              <w:bottom w:val="nil"/>
              <w:right w:val="nil"/>
            </w:tcBorders>
            <w:shd w:val="clear" w:color="auto" w:fill="auto"/>
            <w:vAlign w:val="center"/>
            <w:hideMark/>
          </w:tcPr>
          <w:p w14:paraId="457C04D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0.62</w:t>
            </w:r>
          </w:p>
        </w:tc>
        <w:tc>
          <w:tcPr>
            <w:tcW w:w="1180" w:type="dxa"/>
            <w:tcBorders>
              <w:top w:val="nil"/>
              <w:left w:val="nil"/>
              <w:bottom w:val="nil"/>
              <w:right w:val="nil"/>
            </w:tcBorders>
            <w:shd w:val="clear" w:color="auto" w:fill="auto"/>
            <w:vAlign w:val="center"/>
            <w:hideMark/>
          </w:tcPr>
          <w:p w14:paraId="41D236F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940" w:type="dxa"/>
            <w:tcBorders>
              <w:top w:val="nil"/>
              <w:left w:val="nil"/>
              <w:bottom w:val="nil"/>
              <w:right w:val="nil"/>
            </w:tcBorders>
            <w:shd w:val="clear" w:color="auto" w:fill="auto"/>
            <w:vAlign w:val="center"/>
            <w:hideMark/>
          </w:tcPr>
          <w:p w14:paraId="3893AEE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vAlign w:val="center"/>
            <w:hideMark/>
          </w:tcPr>
          <w:p w14:paraId="14A9692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r>
      <w:tr w:rsidR="00805EB4" w:rsidRPr="004C66D9" w14:paraId="3081B8ED" w14:textId="77777777" w:rsidTr="00E72162">
        <w:trPr>
          <w:trHeight w:val="300"/>
          <w:jc w:val="center"/>
        </w:trPr>
        <w:tc>
          <w:tcPr>
            <w:tcW w:w="2460" w:type="dxa"/>
            <w:tcBorders>
              <w:top w:val="nil"/>
              <w:left w:val="nil"/>
              <w:bottom w:val="single" w:sz="4" w:space="0" w:color="auto"/>
              <w:right w:val="nil"/>
            </w:tcBorders>
            <w:shd w:val="clear" w:color="auto" w:fill="auto"/>
            <w:vAlign w:val="center"/>
            <w:hideMark/>
          </w:tcPr>
          <w:p w14:paraId="2E21505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single" w:sz="4" w:space="0" w:color="auto"/>
              <w:right w:val="nil"/>
            </w:tcBorders>
            <w:shd w:val="clear" w:color="auto" w:fill="auto"/>
            <w:vAlign w:val="center"/>
            <w:hideMark/>
          </w:tcPr>
          <w:p w14:paraId="4F1436A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340" w:type="dxa"/>
            <w:tcBorders>
              <w:top w:val="nil"/>
              <w:left w:val="nil"/>
              <w:bottom w:val="single" w:sz="4" w:space="0" w:color="auto"/>
              <w:right w:val="nil"/>
            </w:tcBorders>
            <w:shd w:val="clear" w:color="auto" w:fill="auto"/>
            <w:noWrap/>
            <w:vAlign w:val="bottom"/>
            <w:hideMark/>
          </w:tcPr>
          <w:p w14:paraId="55819A1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0.42</w:t>
            </w:r>
          </w:p>
        </w:tc>
        <w:tc>
          <w:tcPr>
            <w:tcW w:w="1020" w:type="dxa"/>
            <w:tcBorders>
              <w:top w:val="nil"/>
              <w:left w:val="nil"/>
              <w:bottom w:val="single" w:sz="4" w:space="0" w:color="auto"/>
              <w:right w:val="nil"/>
            </w:tcBorders>
            <w:shd w:val="clear" w:color="auto" w:fill="auto"/>
            <w:vAlign w:val="center"/>
            <w:hideMark/>
          </w:tcPr>
          <w:p w14:paraId="6800E34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0.23</w:t>
            </w:r>
          </w:p>
        </w:tc>
        <w:tc>
          <w:tcPr>
            <w:tcW w:w="1180" w:type="dxa"/>
            <w:tcBorders>
              <w:top w:val="nil"/>
              <w:left w:val="nil"/>
              <w:bottom w:val="single" w:sz="4" w:space="0" w:color="auto"/>
              <w:right w:val="nil"/>
            </w:tcBorders>
            <w:shd w:val="clear" w:color="auto" w:fill="auto"/>
            <w:vAlign w:val="center"/>
            <w:hideMark/>
          </w:tcPr>
          <w:p w14:paraId="051D12B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0.20</w:t>
            </w:r>
          </w:p>
        </w:tc>
        <w:tc>
          <w:tcPr>
            <w:tcW w:w="940" w:type="dxa"/>
            <w:tcBorders>
              <w:top w:val="nil"/>
              <w:left w:val="nil"/>
              <w:bottom w:val="single" w:sz="4" w:space="0" w:color="auto"/>
              <w:right w:val="nil"/>
            </w:tcBorders>
            <w:shd w:val="clear" w:color="auto" w:fill="auto"/>
            <w:vAlign w:val="center"/>
            <w:hideMark/>
          </w:tcPr>
          <w:p w14:paraId="47638EC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single" w:sz="4" w:space="0" w:color="auto"/>
              <w:right w:val="nil"/>
            </w:tcBorders>
            <w:shd w:val="clear" w:color="auto" w:fill="auto"/>
            <w:vAlign w:val="center"/>
            <w:hideMark/>
          </w:tcPr>
          <w:p w14:paraId="51687C9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0.56</w:t>
            </w:r>
          </w:p>
        </w:tc>
      </w:tr>
    </w:tbl>
    <w:p w14:paraId="1F6EEBB7" w14:textId="77777777" w:rsidR="00E847F0" w:rsidRPr="004C66D9" w:rsidRDefault="00E847F0" w:rsidP="00E847F0">
      <w:pPr>
        <w:rPr>
          <w:rFonts w:cstheme="minorHAnsi"/>
          <w:sz w:val="22"/>
          <w:szCs w:val="22"/>
        </w:rPr>
      </w:pPr>
    </w:p>
    <w:p w14:paraId="7D55834C" w14:textId="77777777" w:rsidR="00E847F0" w:rsidRPr="004C66D9" w:rsidRDefault="00E847F0" w:rsidP="00E847F0">
      <w:pPr>
        <w:jc w:val="center"/>
        <w:rPr>
          <w:rFonts w:cstheme="minorHAnsi"/>
          <w:sz w:val="22"/>
          <w:szCs w:val="22"/>
        </w:rPr>
      </w:pPr>
    </w:p>
    <w:p w14:paraId="549B072D" w14:textId="77777777" w:rsidR="00E847F0" w:rsidRPr="004C66D9" w:rsidRDefault="00E847F0" w:rsidP="00E847F0">
      <w:pPr>
        <w:jc w:val="center"/>
        <w:rPr>
          <w:rFonts w:cstheme="minorHAnsi"/>
          <w:sz w:val="22"/>
          <w:szCs w:val="22"/>
        </w:rPr>
      </w:pPr>
    </w:p>
    <w:p w14:paraId="5A6F19E5" w14:textId="77777777" w:rsidR="00E847F0" w:rsidRPr="004C66D9" w:rsidRDefault="00E847F0" w:rsidP="00E847F0">
      <w:pPr>
        <w:jc w:val="center"/>
        <w:rPr>
          <w:rFonts w:cstheme="minorHAnsi"/>
          <w:sz w:val="22"/>
          <w:szCs w:val="22"/>
        </w:rPr>
      </w:pPr>
    </w:p>
    <w:p w14:paraId="73414A25" w14:textId="77777777" w:rsidR="00E847F0" w:rsidRDefault="00E847F0" w:rsidP="00E847F0">
      <w:pPr>
        <w:rPr>
          <w:rFonts w:cstheme="minorHAnsi"/>
          <w:sz w:val="22"/>
          <w:szCs w:val="22"/>
          <w:u w:val="single"/>
        </w:rPr>
      </w:pPr>
      <w:r>
        <w:rPr>
          <w:rFonts w:cstheme="minorHAnsi"/>
          <w:sz w:val="22"/>
          <w:szCs w:val="22"/>
          <w:u w:val="single"/>
        </w:rPr>
        <w:br w:type="page"/>
      </w:r>
    </w:p>
    <w:p w14:paraId="2FF5DD42" w14:textId="3DC1E883" w:rsidR="00C5217E" w:rsidRPr="00000D4B" w:rsidRDefault="00E847F0" w:rsidP="00E847F0">
      <w:pPr>
        <w:ind w:left="1152" w:hanging="1152"/>
        <w:jc w:val="center"/>
        <w:rPr>
          <w:rFonts w:cstheme="minorHAnsi"/>
          <w:b/>
          <w:bCs/>
          <w:color w:val="6A7F0F"/>
          <w:sz w:val="22"/>
          <w:szCs w:val="22"/>
        </w:rPr>
      </w:pPr>
      <w:bookmarkStart w:id="134" w:name="Appendix6_Table_A65c"/>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.5c: Changes in MHSIP Survey Domain Scores -- Children </w:t>
      </w:r>
      <w:r w:rsidR="002A6F8C">
        <w:rPr>
          <w:rFonts w:cstheme="minorHAnsi"/>
          <w:b/>
          <w:bCs/>
          <w:color w:val="6A7F0F"/>
          <w:sz w:val="22"/>
          <w:szCs w:val="22"/>
        </w:rPr>
        <w:t>and</w:t>
      </w:r>
      <w:r w:rsidRPr="00000D4B">
        <w:rPr>
          <w:rFonts w:cstheme="minorHAnsi"/>
          <w:b/>
          <w:bCs/>
          <w:color w:val="6A7F0F"/>
          <w:sz w:val="22"/>
          <w:szCs w:val="22"/>
        </w:rPr>
        <w:t xml:space="preserve"> Youth Outpatient and </w:t>
      </w:r>
    </w:p>
    <w:p w14:paraId="156F9279" w14:textId="0635FA3B" w:rsidR="00E847F0" w:rsidRPr="00000D4B" w:rsidRDefault="00E847F0" w:rsidP="00C5217E">
      <w:pPr>
        <w:ind w:left="1152" w:hanging="1152"/>
        <w:jc w:val="center"/>
        <w:rPr>
          <w:rFonts w:cstheme="minorHAnsi"/>
          <w:b/>
          <w:bCs/>
          <w:color w:val="6A7F0F"/>
          <w:sz w:val="22"/>
          <w:szCs w:val="22"/>
        </w:rPr>
      </w:pPr>
      <w:r w:rsidRPr="00000D4B">
        <w:rPr>
          <w:rFonts w:cstheme="minorHAnsi"/>
          <w:b/>
          <w:bCs/>
          <w:color w:val="6A7F0F"/>
          <w:sz w:val="22"/>
          <w:szCs w:val="22"/>
        </w:rPr>
        <w:t xml:space="preserve">Residential </w:t>
      </w:r>
      <w:r w:rsidR="00A35AAA" w:rsidRPr="00000D4B">
        <w:rPr>
          <w:rFonts w:cstheme="minorHAnsi"/>
          <w:b/>
          <w:bCs/>
          <w:color w:val="6A7F0F"/>
          <w:sz w:val="22"/>
          <w:szCs w:val="22"/>
        </w:rPr>
        <w:t xml:space="preserve">Services </w:t>
      </w:r>
      <w:r w:rsidRPr="00000D4B">
        <w:rPr>
          <w:rFonts w:cstheme="minorHAnsi"/>
          <w:b/>
          <w:bCs/>
          <w:color w:val="6A7F0F"/>
          <w:sz w:val="22"/>
          <w:szCs w:val="22"/>
        </w:rPr>
        <w:t>Overall and by Race/Ethnicity Services for CCBHC OHP Members</w:t>
      </w:r>
    </w:p>
    <w:bookmarkEnd w:id="134"/>
    <w:p w14:paraId="48E26DEB" w14:textId="3257B972" w:rsidR="00E847F0" w:rsidRDefault="00E847F0" w:rsidP="00E847F0">
      <w:pPr>
        <w:rPr>
          <w:rFonts w:cstheme="minorHAnsi"/>
          <w:sz w:val="22"/>
          <w:szCs w:val="22"/>
        </w:rPr>
      </w:pPr>
    </w:p>
    <w:tbl>
      <w:tblPr>
        <w:tblW w:w="9020" w:type="dxa"/>
        <w:jc w:val="center"/>
        <w:tblLook w:val="04A0" w:firstRow="1" w:lastRow="0" w:firstColumn="1" w:lastColumn="0" w:noHBand="0" w:noVBand="1"/>
      </w:tblPr>
      <w:tblGrid>
        <w:gridCol w:w="2281"/>
        <w:gridCol w:w="1165"/>
        <w:gridCol w:w="1340"/>
        <w:gridCol w:w="1090"/>
        <w:gridCol w:w="1184"/>
        <w:gridCol w:w="940"/>
        <w:gridCol w:w="1020"/>
      </w:tblGrid>
      <w:tr w:rsidR="00805EB4" w:rsidRPr="004C66D9" w14:paraId="35CA3675" w14:textId="77777777" w:rsidTr="00E72162">
        <w:trPr>
          <w:trHeight w:val="960"/>
          <w:jc w:val="center"/>
        </w:trPr>
        <w:tc>
          <w:tcPr>
            <w:tcW w:w="2460" w:type="dxa"/>
            <w:tcBorders>
              <w:top w:val="nil"/>
              <w:left w:val="nil"/>
              <w:bottom w:val="single" w:sz="4" w:space="0" w:color="auto"/>
              <w:right w:val="nil"/>
            </w:tcBorders>
            <w:shd w:val="clear" w:color="auto" w:fill="auto"/>
            <w:vAlign w:val="bottom"/>
            <w:hideMark/>
          </w:tcPr>
          <w:p w14:paraId="3755E9C1"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MHSIP Domain</w:t>
            </w:r>
          </w:p>
        </w:tc>
        <w:tc>
          <w:tcPr>
            <w:tcW w:w="1060" w:type="dxa"/>
            <w:tcBorders>
              <w:top w:val="nil"/>
              <w:left w:val="nil"/>
              <w:bottom w:val="single" w:sz="4" w:space="0" w:color="auto"/>
              <w:right w:val="nil"/>
            </w:tcBorders>
            <w:shd w:val="clear" w:color="auto" w:fill="auto"/>
            <w:vAlign w:val="bottom"/>
            <w:hideMark/>
          </w:tcPr>
          <w:p w14:paraId="75F5525F"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Races/ Ethnicities</w:t>
            </w:r>
          </w:p>
        </w:tc>
        <w:tc>
          <w:tcPr>
            <w:tcW w:w="1340" w:type="dxa"/>
            <w:tcBorders>
              <w:top w:val="nil"/>
              <w:left w:val="nil"/>
              <w:bottom w:val="nil"/>
              <w:right w:val="nil"/>
            </w:tcBorders>
            <w:shd w:val="clear" w:color="auto" w:fill="auto"/>
            <w:vAlign w:val="bottom"/>
            <w:hideMark/>
          </w:tcPr>
          <w:p w14:paraId="5F660EBB" w14:textId="77777777" w:rsidR="00805EB4" w:rsidRDefault="00805EB4" w:rsidP="00E72162">
            <w:pPr>
              <w:jc w:val="center"/>
              <w:rPr>
                <w:rFonts w:cstheme="minorHAnsi"/>
                <w:b/>
                <w:bCs/>
                <w:color w:val="000000"/>
                <w:sz w:val="22"/>
                <w:szCs w:val="22"/>
              </w:rPr>
            </w:pPr>
            <w:r w:rsidRPr="004C66D9">
              <w:rPr>
                <w:rFonts w:cstheme="minorHAnsi"/>
                <w:b/>
                <w:bCs/>
                <w:color w:val="000000"/>
                <w:sz w:val="22"/>
                <w:szCs w:val="22"/>
              </w:rPr>
              <w:t>Am</w:t>
            </w:r>
            <w:r>
              <w:rPr>
                <w:rFonts w:cstheme="minorHAnsi"/>
                <w:b/>
                <w:bCs/>
                <w:color w:val="000000"/>
                <w:sz w:val="22"/>
                <w:szCs w:val="22"/>
              </w:rPr>
              <w:t xml:space="preserve"> Ind</w:t>
            </w:r>
            <w:r w:rsidRPr="004C66D9">
              <w:rPr>
                <w:rFonts w:cstheme="minorHAnsi"/>
                <w:b/>
                <w:bCs/>
                <w:color w:val="000000"/>
                <w:sz w:val="22"/>
                <w:szCs w:val="22"/>
              </w:rPr>
              <w:t xml:space="preserve">/ </w:t>
            </w:r>
          </w:p>
          <w:p w14:paraId="694FFE76"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w:t>
            </w:r>
            <w:r>
              <w:rPr>
                <w:rFonts w:cstheme="minorHAnsi"/>
                <w:b/>
                <w:bCs/>
                <w:color w:val="000000"/>
                <w:sz w:val="22"/>
                <w:szCs w:val="22"/>
              </w:rPr>
              <w:t>l</w:t>
            </w:r>
            <w:r w:rsidRPr="004C66D9">
              <w:rPr>
                <w:rFonts w:cstheme="minorHAnsi"/>
                <w:b/>
                <w:bCs/>
                <w:color w:val="000000"/>
                <w:sz w:val="22"/>
                <w:szCs w:val="22"/>
              </w:rPr>
              <w:t xml:space="preserve"> Native</w:t>
            </w:r>
          </w:p>
        </w:tc>
        <w:tc>
          <w:tcPr>
            <w:tcW w:w="1020" w:type="dxa"/>
            <w:tcBorders>
              <w:top w:val="nil"/>
              <w:left w:val="nil"/>
              <w:bottom w:val="nil"/>
              <w:right w:val="nil"/>
            </w:tcBorders>
            <w:shd w:val="clear" w:color="auto" w:fill="auto"/>
            <w:vAlign w:val="bottom"/>
            <w:hideMark/>
          </w:tcPr>
          <w:p w14:paraId="3CE1EF9A"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Black/ African American</w:t>
            </w:r>
          </w:p>
        </w:tc>
        <w:tc>
          <w:tcPr>
            <w:tcW w:w="1180" w:type="dxa"/>
            <w:tcBorders>
              <w:top w:val="nil"/>
              <w:left w:val="nil"/>
              <w:bottom w:val="single" w:sz="4" w:space="0" w:color="auto"/>
              <w:right w:val="nil"/>
            </w:tcBorders>
            <w:shd w:val="clear" w:color="auto" w:fill="auto"/>
            <w:vAlign w:val="bottom"/>
            <w:hideMark/>
          </w:tcPr>
          <w:p w14:paraId="42B1AEA7"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Hispanic/ Latino/a/x</w:t>
            </w:r>
          </w:p>
        </w:tc>
        <w:tc>
          <w:tcPr>
            <w:tcW w:w="940" w:type="dxa"/>
            <w:tcBorders>
              <w:top w:val="nil"/>
              <w:left w:val="nil"/>
              <w:bottom w:val="single" w:sz="4" w:space="0" w:color="auto"/>
              <w:right w:val="nil"/>
            </w:tcBorders>
            <w:shd w:val="clear" w:color="auto" w:fill="auto"/>
            <w:vAlign w:val="bottom"/>
            <w:hideMark/>
          </w:tcPr>
          <w:p w14:paraId="35860FFD"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White</w:t>
            </w:r>
          </w:p>
        </w:tc>
        <w:tc>
          <w:tcPr>
            <w:tcW w:w="1020" w:type="dxa"/>
            <w:tcBorders>
              <w:top w:val="nil"/>
              <w:left w:val="nil"/>
              <w:bottom w:val="single" w:sz="4" w:space="0" w:color="auto"/>
              <w:right w:val="nil"/>
            </w:tcBorders>
            <w:shd w:val="clear" w:color="auto" w:fill="auto"/>
            <w:vAlign w:val="bottom"/>
            <w:hideMark/>
          </w:tcPr>
          <w:p w14:paraId="73203626"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Other</w:t>
            </w:r>
          </w:p>
        </w:tc>
      </w:tr>
      <w:tr w:rsidR="00805EB4" w:rsidRPr="004C66D9" w14:paraId="26DC0678" w14:textId="77777777" w:rsidTr="00E72162">
        <w:trPr>
          <w:trHeight w:val="300"/>
          <w:jc w:val="center"/>
        </w:trPr>
        <w:tc>
          <w:tcPr>
            <w:tcW w:w="2460" w:type="dxa"/>
            <w:tcBorders>
              <w:top w:val="nil"/>
              <w:left w:val="nil"/>
              <w:bottom w:val="nil"/>
              <w:right w:val="nil"/>
            </w:tcBorders>
            <w:shd w:val="clear" w:color="auto" w:fill="auto"/>
            <w:vAlign w:val="center"/>
            <w:hideMark/>
          </w:tcPr>
          <w:p w14:paraId="2997FAA6"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Access to Services</w:t>
            </w:r>
          </w:p>
        </w:tc>
        <w:tc>
          <w:tcPr>
            <w:tcW w:w="1060" w:type="dxa"/>
            <w:tcBorders>
              <w:top w:val="nil"/>
              <w:left w:val="nil"/>
              <w:bottom w:val="nil"/>
              <w:right w:val="nil"/>
            </w:tcBorders>
            <w:shd w:val="clear" w:color="auto" w:fill="auto"/>
            <w:noWrap/>
            <w:vAlign w:val="bottom"/>
            <w:hideMark/>
          </w:tcPr>
          <w:p w14:paraId="46778B78" w14:textId="77777777" w:rsidR="00805EB4" w:rsidRPr="004C66D9" w:rsidRDefault="00805EB4" w:rsidP="00E72162">
            <w:pPr>
              <w:rPr>
                <w:rFonts w:cstheme="minorHAnsi"/>
                <w:b/>
                <w:bCs/>
                <w:color w:val="000000"/>
                <w:sz w:val="22"/>
                <w:szCs w:val="22"/>
              </w:rPr>
            </w:pPr>
          </w:p>
        </w:tc>
        <w:tc>
          <w:tcPr>
            <w:tcW w:w="1340" w:type="dxa"/>
            <w:tcBorders>
              <w:top w:val="single" w:sz="4" w:space="0" w:color="auto"/>
              <w:left w:val="nil"/>
              <w:bottom w:val="nil"/>
              <w:right w:val="nil"/>
            </w:tcBorders>
            <w:shd w:val="clear" w:color="auto" w:fill="auto"/>
            <w:noWrap/>
            <w:vAlign w:val="bottom"/>
            <w:hideMark/>
          </w:tcPr>
          <w:p w14:paraId="732E5A46"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020" w:type="dxa"/>
            <w:tcBorders>
              <w:top w:val="single" w:sz="4" w:space="0" w:color="auto"/>
              <w:left w:val="nil"/>
              <w:bottom w:val="nil"/>
              <w:right w:val="nil"/>
            </w:tcBorders>
            <w:shd w:val="clear" w:color="auto" w:fill="auto"/>
            <w:noWrap/>
            <w:vAlign w:val="bottom"/>
            <w:hideMark/>
          </w:tcPr>
          <w:p w14:paraId="544A2DE8"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180" w:type="dxa"/>
            <w:tcBorders>
              <w:top w:val="nil"/>
              <w:left w:val="nil"/>
              <w:bottom w:val="nil"/>
              <w:right w:val="nil"/>
            </w:tcBorders>
            <w:shd w:val="clear" w:color="auto" w:fill="auto"/>
            <w:noWrap/>
            <w:vAlign w:val="bottom"/>
            <w:hideMark/>
          </w:tcPr>
          <w:p w14:paraId="3CD00E80" w14:textId="77777777" w:rsidR="00805EB4" w:rsidRPr="004C66D9" w:rsidRDefault="00805EB4" w:rsidP="00E72162">
            <w:pPr>
              <w:rPr>
                <w:rFonts w:cstheme="minorHAnsi"/>
                <w:color w:val="000000"/>
                <w:sz w:val="22"/>
                <w:szCs w:val="22"/>
              </w:rPr>
            </w:pPr>
          </w:p>
        </w:tc>
        <w:tc>
          <w:tcPr>
            <w:tcW w:w="940" w:type="dxa"/>
            <w:tcBorders>
              <w:top w:val="nil"/>
              <w:left w:val="nil"/>
              <w:bottom w:val="nil"/>
              <w:right w:val="nil"/>
            </w:tcBorders>
            <w:shd w:val="clear" w:color="auto" w:fill="auto"/>
            <w:noWrap/>
            <w:vAlign w:val="bottom"/>
            <w:hideMark/>
          </w:tcPr>
          <w:p w14:paraId="14C90996"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F818519" w14:textId="77777777" w:rsidR="00805EB4" w:rsidRPr="004C66D9" w:rsidRDefault="00805EB4" w:rsidP="00E72162">
            <w:pPr>
              <w:rPr>
                <w:rFonts w:cstheme="minorHAnsi"/>
                <w:sz w:val="22"/>
                <w:szCs w:val="22"/>
              </w:rPr>
            </w:pPr>
          </w:p>
        </w:tc>
      </w:tr>
      <w:tr w:rsidR="00805EB4" w:rsidRPr="004C66D9" w14:paraId="1BA6E5A8" w14:textId="77777777" w:rsidTr="00E72162">
        <w:trPr>
          <w:trHeight w:val="300"/>
          <w:jc w:val="center"/>
        </w:trPr>
        <w:tc>
          <w:tcPr>
            <w:tcW w:w="2460" w:type="dxa"/>
            <w:tcBorders>
              <w:top w:val="nil"/>
              <w:left w:val="nil"/>
              <w:bottom w:val="nil"/>
              <w:right w:val="nil"/>
            </w:tcBorders>
            <w:shd w:val="clear" w:color="auto" w:fill="auto"/>
            <w:vAlign w:val="center"/>
            <w:hideMark/>
          </w:tcPr>
          <w:p w14:paraId="61F1032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76120B8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340" w:type="dxa"/>
            <w:tcBorders>
              <w:top w:val="nil"/>
              <w:left w:val="nil"/>
              <w:bottom w:val="nil"/>
              <w:right w:val="nil"/>
            </w:tcBorders>
            <w:shd w:val="clear" w:color="auto" w:fill="auto"/>
            <w:vAlign w:val="center"/>
            <w:hideMark/>
          </w:tcPr>
          <w:p w14:paraId="2D508A7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0.37</w:t>
            </w:r>
          </w:p>
        </w:tc>
        <w:tc>
          <w:tcPr>
            <w:tcW w:w="1020" w:type="dxa"/>
            <w:tcBorders>
              <w:top w:val="nil"/>
              <w:left w:val="nil"/>
              <w:bottom w:val="nil"/>
              <w:right w:val="nil"/>
            </w:tcBorders>
            <w:shd w:val="clear" w:color="auto" w:fill="auto"/>
            <w:vAlign w:val="center"/>
            <w:hideMark/>
          </w:tcPr>
          <w:p w14:paraId="05DCC40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-0.46</w:t>
            </w:r>
          </w:p>
        </w:tc>
        <w:tc>
          <w:tcPr>
            <w:tcW w:w="1180" w:type="dxa"/>
            <w:tcBorders>
              <w:top w:val="nil"/>
              <w:left w:val="nil"/>
              <w:bottom w:val="nil"/>
              <w:right w:val="nil"/>
            </w:tcBorders>
            <w:shd w:val="clear" w:color="auto" w:fill="auto"/>
            <w:noWrap/>
            <w:vAlign w:val="bottom"/>
            <w:hideMark/>
          </w:tcPr>
          <w:p w14:paraId="015947B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0.39</w:t>
            </w:r>
          </w:p>
        </w:tc>
        <w:tc>
          <w:tcPr>
            <w:tcW w:w="940" w:type="dxa"/>
            <w:tcBorders>
              <w:top w:val="nil"/>
              <w:left w:val="nil"/>
              <w:bottom w:val="nil"/>
              <w:right w:val="nil"/>
            </w:tcBorders>
            <w:shd w:val="clear" w:color="auto" w:fill="auto"/>
            <w:noWrap/>
            <w:vAlign w:val="bottom"/>
            <w:hideMark/>
          </w:tcPr>
          <w:p w14:paraId="5921050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noWrap/>
            <w:vAlign w:val="bottom"/>
            <w:hideMark/>
          </w:tcPr>
          <w:p w14:paraId="62CADDA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0.40</w:t>
            </w:r>
          </w:p>
        </w:tc>
      </w:tr>
      <w:tr w:rsidR="00805EB4" w:rsidRPr="004C66D9" w14:paraId="27F48D88" w14:textId="77777777" w:rsidTr="00E72162">
        <w:trPr>
          <w:trHeight w:val="300"/>
          <w:jc w:val="center"/>
        </w:trPr>
        <w:tc>
          <w:tcPr>
            <w:tcW w:w="2460" w:type="dxa"/>
            <w:tcBorders>
              <w:top w:val="nil"/>
              <w:left w:val="nil"/>
              <w:bottom w:val="nil"/>
              <w:right w:val="nil"/>
            </w:tcBorders>
            <w:shd w:val="clear" w:color="auto" w:fill="auto"/>
            <w:vAlign w:val="center"/>
            <w:hideMark/>
          </w:tcPr>
          <w:p w14:paraId="6CC50D2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E96C16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5886484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0.22</w:t>
            </w:r>
          </w:p>
        </w:tc>
        <w:tc>
          <w:tcPr>
            <w:tcW w:w="1020" w:type="dxa"/>
            <w:tcBorders>
              <w:top w:val="nil"/>
              <w:left w:val="nil"/>
              <w:bottom w:val="nil"/>
              <w:right w:val="nil"/>
            </w:tcBorders>
            <w:shd w:val="clear" w:color="auto" w:fill="auto"/>
            <w:noWrap/>
            <w:vAlign w:val="bottom"/>
            <w:hideMark/>
          </w:tcPr>
          <w:p w14:paraId="328FF76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0.35</w:t>
            </w:r>
          </w:p>
        </w:tc>
        <w:tc>
          <w:tcPr>
            <w:tcW w:w="1180" w:type="dxa"/>
            <w:tcBorders>
              <w:top w:val="nil"/>
              <w:left w:val="nil"/>
              <w:bottom w:val="nil"/>
              <w:right w:val="nil"/>
            </w:tcBorders>
            <w:shd w:val="clear" w:color="auto" w:fill="auto"/>
            <w:noWrap/>
            <w:vAlign w:val="bottom"/>
            <w:hideMark/>
          </w:tcPr>
          <w:p w14:paraId="58121C6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0.22</w:t>
            </w:r>
          </w:p>
        </w:tc>
        <w:tc>
          <w:tcPr>
            <w:tcW w:w="940" w:type="dxa"/>
            <w:tcBorders>
              <w:top w:val="nil"/>
              <w:left w:val="nil"/>
              <w:bottom w:val="nil"/>
              <w:right w:val="nil"/>
            </w:tcBorders>
            <w:shd w:val="clear" w:color="auto" w:fill="auto"/>
            <w:noWrap/>
            <w:vAlign w:val="bottom"/>
            <w:hideMark/>
          </w:tcPr>
          <w:p w14:paraId="49D979C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noWrap/>
            <w:vAlign w:val="bottom"/>
            <w:hideMark/>
          </w:tcPr>
          <w:p w14:paraId="3721D4F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-1.24</w:t>
            </w:r>
          </w:p>
        </w:tc>
      </w:tr>
      <w:tr w:rsidR="00805EB4" w:rsidRPr="004C66D9" w14:paraId="417F9461" w14:textId="77777777" w:rsidTr="00E72162">
        <w:trPr>
          <w:trHeight w:val="300"/>
          <w:jc w:val="center"/>
        </w:trPr>
        <w:tc>
          <w:tcPr>
            <w:tcW w:w="2460" w:type="dxa"/>
            <w:tcBorders>
              <w:top w:val="nil"/>
              <w:left w:val="nil"/>
              <w:bottom w:val="nil"/>
              <w:right w:val="nil"/>
            </w:tcBorders>
            <w:shd w:val="clear" w:color="auto" w:fill="auto"/>
            <w:vAlign w:val="center"/>
            <w:hideMark/>
          </w:tcPr>
          <w:p w14:paraId="6BE666E8"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Appropriateness</w:t>
            </w:r>
          </w:p>
        </w:tc>
        <w:tc>
          <w:tcPr>
            <w:tcW w:w="1060" w:type="dxa"/>
            <w:tcBorders>
              <w:top w:val="nil"/>
              <w:left w:val="nil"/>
              <w:bottom w:val="nil"/>
              <w:right w:val="nil"/>
            </w:tcBorders>
            <w:shd w:val="clear" w:color="auto" w:fill="auto"/>
            <w:noWrap/>
            <w:vAlign w:val="bottom"/>
            <w:hideMark/>
          </w:tcPr>
          <w:p w14:paraId="0106BD95"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7AA3B4CC"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55BF4BD"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63C8DAFD"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B85FE25"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4E7389F0" w14:textId="77777777" w:rsidR="00805EB4" w:rsidRPr="004C66D9" w:rsidRDefault="00805EB4" w:rsidP="00E72162">
            <w:pPr>
              <w:rPr>
                <w:rFonts w:cstheme="minorHAnsi"/>
                <w:sz w:val="22"/>
                <w:szCs w:val="22"/>
              </w:rPr>
            </w:pPr>
          </w:p>
        </w:tc>
      </w:tr>
      <w:tr w:rsidR="00805EB4" w:rsidRPr="004C66D9" w14:paraId="329D977A" w14:textId="77777777" w:rsidTr="00E72162">
        <w:trPr>
          <w:trHeight w:val="300"/>
          <w:jc w:val="center"/>
        </w:trPr>
        <w:tc>
          <w:tcPr>
            <w:tcW w:w="2460" w:type="dxa"/>
            <w:tcBorders>
              <w:top w:val="nil"/>
              <w:left w:val="nil"/>
              <w:bottom w:val="nil"/>
              <w:right w:val="nil"/>
            </w:tcBorders>
            <w:shd w:val="clear" w:color="auto" w:fill="auto"/>
            <w:vAlign w:val="center"/>
            <w:hideMark/>
          </w:tcPr>
          <w:p w14:paraId="566C1F0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0CF069C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340" w:type="dxa"/>
            <w:tcBorders>
              <w:top w:val="nil"/>
              <w:left w:val="nil"/>
              <w:bottom w:val="nil"/>
              <w:right w:val="nil"/>
            </w:tcBorders>
            <w:shd w:val="clear" w:color="auto" w:fill="auto"/>
            <w:vAlign w:val="center"/>
            <w:hideMark/>
          </w:tcPr>
          <w:p w14:paraId="7E16BD4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0.21</w:t>
            </w:r>
          </w:p>
        </w:tc>
        <w:tc>
          <w:tcPr>
            <w:tcW w:w="1020" w:type="dxa"/>
            <w:tcBorders>
              <w:top w:val="nil"/>
              <w:left w:val="nil"/>
              <w:bottom w:val="nil"/>
              <w:right w:val="nil"/>
            </w:tcBorders>
            <w:shd w:val="clear" w:color="auto" w:fill="auto"/>
            <w:vAlign w:val="center"/>
            <w:hideMark/>
          </w:tcPr>
          <w:p w14:paraId="4968194B"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0.70</w:t>
            </w:r>
          </w:p>
        </w:tc>
        <w:tc>
          <w:tcPr>
            <w:tcW w:w="1180" w:type="dxa"/>
            <w:tcBorders>
              <w:top w:val="nil"/>
              <w:left w:val="nil"/>
              <w:bottom w:val="nil"/>
              <w:right w:val="nil"/>
            </w:tcBorders>
            <w:shd w:val="clear" w:color="auto" w:fill="auto"/>
            <w:noWrap/>
            <w:vAlign w:val="bottom"/>
            <w:hideMark/>
          </w:tcPr>
          <w:p w14:paraId="399F3D9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0.31</w:t>
            </w:r>
          </w:p>
        </w:tc>
        <w:tc>
          <w:tcPr>
            <w:tcW w:w="940" w:type="dxa"/>
            <w:tcBorders>
              <w:top w:val="nil"/>
              <w:left w:val="nil"/>
              <w:bottom w:val="nil"/>
              <w:right w:val="nil"/>
            </w:tcBorders>
            <w:shd w:val="clear" w:color="auto" w:fill="auto"/>
            <w:noWrap/>
            <w:vAlign w:val="bottom"/>
            <w:hideMark/>
          </w:tcPr>
          <w:p w14:paraId="2D0BBB6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noWrap/>
            <w:vAlign w:val="bottom"/>
            <w:hideMark/>
          </w:tcPr>
          <w:p w14:paraId="3621329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0.86</w:t>
            </w:r>
          </w:p>
        </w:tc>
      </w:tr>
      <w:tr w:rsidR="00805EB4" w:rsidRPr="004C66D9" w14:paraId="7ED348D8" w14:textId="77777777" w:rsidTr="00E72162">
        <w:trPr>
          <w:trHeight w:val="300"/>
          <w:jc w:val="center"/>
        </w:trPr>
        <w:tc>
          <w:tcPr>
            <w:tcW w:w="2460" w:type="dxa"/>
            <w:tcBorders>
              <w:top w:val="nil"/>
              <w:left w:val="nil"/>
              <w:bottom w:val="nil"/>
              <w:right w:val="nil"/>
            </w:tcBorders>
            <w:shd w:val="clear" w:color="auto" w:fill="auto"/>
            <w:vAlign w:val="center"/>
            <w:hideMark/>
          </w:tcPr>
          <w:p w14:paraId="62C9030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485157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0.29</w:t>
            </w:r>
          </w:p>
        </w:tc>
        <w:tc>
          <w:tcPr>
            <w:tcW w:w="1340" w:type="dxa"/>
            <w:tcBorders>
              <w:top w:val="nil"/>
              <w:left w:val="nil"/>
              <w:bottom w:val="nil"/>
              <w:right w:val="nil"/>
            </w:tcBorders>
            <w:shd w:val="clear" w:color="auto" w:fill="auto"/>
            <w:vAlign w:val="center"/>
            <w:hideMark/>
          </w:tcPr>
          <w:p w14:paraId="1095DA8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noWrap/>
            <w:vAlign w:val="bottom"/>
            <w:hideMark/>
          </w:tcPr>
          <w:p w14:paraId="5FEDA537"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1.68</w:t>
            </w:r>
          </w:p>
        </w:tc>
        <w:tc>
          <w:tcPr>
            <w:tcW w:w="1180" w:type="dxa"/>
            <w:tcBorders>
              <w:top w:val="nil"/>
              <w:left w:val="nil"/>
              <w:bottom w:val="nil"/>
              <w:right w:val="nil"/>
            </w:tcBorders>
            <w:shd w:val="clear" w:color="auto" w:fill="auto"/>
            <w:noWrap/>
            <w:vAlign w:val="bottom"/>
            <w:hideMark/>
          </w:tcPr>
          <w:p w14:paraId="3AE81AF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0.54</w:t>
            </w:r>
          </w:p>
        </w:tc>
        <w:tc>
          <w:tcPr>
            <w:tcW w:w="940" w:type="dxa"/>
            <w:tcBorders>
              <w:top w:val="nil"/>
              <w:left w:val="nil"/>
              <w:bottom w:val="nil"/>
              <w:right w:val="nil"/>
            </w:tcBorders>
            <w:shd w:val="clear" w:color="auto" w:fill="auto"/>
            <w:noWrap/>
            <w:vAlign w:val="bottom"/>
            <w:hideMark/>
          </w:tcPr>
          <w:p w14:paraId="755ED2A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020" w:type="dxa"/>
            <w:tcBorders>
              <w:top w:val="nil"/>
              <w:left w:val="nil"/>
              <w:bottom w:val="nil"/>
              <w:right w:val="nil"/>
            </w:tcBorders>
            <w:shd w:val="clear" w:color="auto" w:fill="auto"/>
            <w:noWrap/>
            <w:vAlign w:val="bottom"/>
            <w:hideMark/>
          </w:tcPr>
          <w:p w14:paraId="51C49D4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0.19</w:t>
            </w:r>
          </w:p>
        </w:tc>
      </w:tr>
      <w:tr w:rsidR="00805EB4" w:rsidRPr="004C66D9" w14:paraId="6E5E0353" w14:textId="77777777" w:rsidTr="00E72162">
        <w:trPr>
          <w:trHeight w:val="300"/>
          <w:jc w:val="center"/>
        </w:trPr>
        <w:tc>
          <w:tcPr>
            <w:tcW w:w="2460" w:type="dxa"/>
            <w:tcBorders>
              <w:top w:val="nil"/>
              <w:left w:val="nil"/>
              <w:bottom w:val="nil"/>
              <w:right w:val="nil"/>
            </w:tcBorders>
            <w:shd w:val="clear" w:color="auto" w:fill="auto"/>
            <w:vAlign w:val="center"/>
            <w:hideMark/>
          </w:tcPr>
          <w:p w14:paraId="0A9E7750"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Social Connectedness</w:t>
            </w:r>
          </w:p>
        </w:tc>
        <w:tc>
          <w:tcPr>
            <w:tcW w:w="1060" w:type="dxa"/>
            <w:tcBorders>
              <w:top w:val="nil"/>
              <w:left w:val="nil"/>
              <w:bottom w:val="nil"/>
              <w:right w:val="nil"/>
            </w:tcBorders>
            <w:shd w:val="clear" w:color="auto" w:fill="auto"/>
            <w:noWrap/>
            <w:vAlign w:val="bottom"/>
            <w:hideMark/>
          </w:tcPr>
          <w:p w14:paraId="7C5400D1"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3DB03A14"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CB0D753"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7415EA0"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41D7E0F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1DD359A" w14:textId="77777777" w:rsidR="00805EB4" w:rsidRPr="004C66D9" w:rsidRDefault="00805EB4" w:rsidP="00E72162">
            <w:pPr>
              <w:rPr>
                <w:rFonts w:cstheme="minorHAnsi"/>
                <w:sz w:val="22"/>
                <w:szCs w:val="22"/>
              </w:rPr>
            </w:pPr>
          </w:p>
        </w:tc>
      </w:tr>
      <w:tr w:rsidR="00805EB4" w:rsidRPr="004C66D9" w14:paraId="2D51A667" w14:textId="77777777" w:rsidTr="00E72162">
        <w:trPr>
          <w:trHeight w:val="300"/>
          <w:jc w:val="center"/>
        </w:trPr>
        <w:tc>
          <w:tcPr>
            <w:tcW w:w="2460" w:type="dxa"/>
            <w:tcBorders>
              <w:top w:val="nil"/>
              <w:left w:val="nil"/>
              <w:bottom w:val="nil"/>
              <w:right w:val="nil"/>
            </w:tcBorders>
            <w:shd w:val="clear" w:color="auto" w:fill="auto"/>
            <w:vAlign w:val="center"/>
            <w:hideMark/>
          </w:tcPr>
          <w:p w14:paraId="27B271B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03C0C54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155C37A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020" w:type="dxa"/>
            <w:tcBorders>
              <w:top w:val="nil"/>
              <w:left w:val="nil"/>
              <w:bottom w:val="nil"/>
              <w:right w:val="nil"/>
            </w:tcBorders>
            <w:shd w:val="clear" w:color="auto" w:fill="auto"/>
            <w:vAlign w:val="center"/>
            <w:hideMark/>
          </w:tcPr>
          <w:p w14:paraId="0DD0419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180" w:type="dxa"/>
            <w:tcBorders>
              <w:top w:val="nil"/>
              <w:left w:val="nil"/>
              <w:bottom w:val="nil"/>
              <w:right w:val="nil"/>
            </w:tcBorders>
            <w:shd w:val="clear" w:color="auto" w:fill="auto"/>
            <w:noWrap/>
            <w:vAlign w:val="bottom"/>
            <w:hideMark/>
          </w:tcPr>
          <w:p w14:paraId="096FEBC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w:t>
            </w:r>
          </w:p>
        </w:tc>
        <w:tc>
          <w:tcPr>
            <w:tcW w:w="940" w:type="dxa"/>
            <w:tcBorders>
              <w:top w:val="nil"/>
              <w:left w:val="nil"/>
              <w:bottom w:val="nil"/>
              <w:right w:val="nil"/>
            </w:tcBorders>
            <w:shd w:val="clear" w:color="auto" w:fill="auto"/>
            <w:noWrap/>
            <w:vAlign w:val="bottom"/>
            <w:hideMark/>
          </w:tcPr>
          <w:p w14:paraId="25B43F0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nil"/>
              <w:right w:val="nil"/>
            </w:tcBorders>
            <w:shd w:val="clear" w:color="auto" w:fill="auto"/>
            <w:noWrap/>
            <w:vAlign w:val="bottom"/>
            <w:hideMark/>
          </w:tcPr>
          <w:p w14:paraId="0EE2C94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r>
      <w:tr w:rsidR="00805EB4" w:rsidRPr="004C66D9" w14:paraId="79470D0C" w14:textId="77777777" w:rsidTr="00E72162">
        <w:trPr>
          <w:trHeight w:val="300"/>
          <w:jc w:val="center"/>
        </w:trPr>
        <w:tc>
          <w:tcPr>
            <w:tcW w:w="2460" w:type="dxa"/>
            <w:tcBorders>
              <w:top w:val="nil"/>
              <w:left w:val="nil"/>
              <w:bottom w:val="nil"/>
              <w:right w:val="nil"/>
            </w:tcBorders>
            <w:shd w:val="clear" w:color="auto" w:fill="auto"/>
            <w:vAlign w:val="center"/>
            <w:hideMark/>
          </w:tcPr>
          <w:p w14:paraId="30699AE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E696A4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340" w:type="dxa"/>
            <w:tcBorders>
              <w:top w:val="nil"/>
              <w:left w:val="nil"/>
              <w:bottom w:val="nil"/>
              <w:right w:val="nil"/>
            </w:tcBorders>
            <w:shd w:val="clear" w:color="auto" w:fill="auto"/>
            <w:vAlign w:val="center"/>
            <w:hideMark/>
          </w:tcPr>
          <w:p w14:paraId="0D204E5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noWrap/>
            <w:vAlign w:val="bottom"/>
            <w:hideMark/>
          </w:tcPr>
          <w:p w14:paraId="2B6A19D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0.50</w:t>
            </w:r>
          </w:p>
        </w:tc>
        <w:tc>
          <w:tcPr>
            <w:tcW w:w="1180" w:type="dxa"/>
            <w:tcBorders>
              <w:top w:val="nil"/>
              <w:left w:val="nil"/>
              <w:bottom w:val="nil"/>
              <w:right w:val="nil"/>
            </w:tcBorders>
            <w:shd w:val="clear" w:color="auto" w:fill="auto"/>
            <w:noWrap/>
            <w:vAlign w:val="bottom"/>
            <w:hideMark/>
          </w:tcPr>
          <w:p w14:paraId="206D92A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noWrap/>
            <w:vAlign w:val="bottom"/>
            <w:hideMark/>
          </w:tcPr>
          <w:p w14:paraId="26A0438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020" w:type="dxa"/>
            <w:tcBorders>
              <w:top w:val="nil"/>
              <w:left w:val="nil"/>
              <w:bottom w:val="nil"/>
              <w:right w:val="nil"/>
            </w:tcBorders>
            <w:shd w:val="clear" w:color="auto" w:fill="auto"/>
            <w:noWrap/>
            <w:vAlign w:val="bottom"/>
            <w:hideMark/>
          </w:tcPr>
          <w:p w14:paraId="6D4B354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-1.18</w:t>
            </w:r>
          </w:p>
        </w:tc>
      </w:tr>
      <w:tr w:rsidR="00805EB4" w:rsidRPr="004C66D9" w14:paraId="37FE2C50" w14:textId="77777777" w:rsidTr="00E72162">
        <w:trPr>
          <w:trHeight w:val="300"/>
          <w:jc w:val="center"/>
        </w:trPr>
        <w:tc>
          <w:tcPr>
            <w:tcW w:w="2460" w:type="dxa"/>
            <w:tcBorders>
              <w:top w:val="nil"/>
              <w:left w:val="nil"/>
              <w:bottom w:val="nil"/>
              <w:right w:val="nil"/>
            </w:tcBorders>
            <w:shd w:val="clear" w:color="auto" w:fill="auto"/>
            <w:vAlign w:val="center"/>
            <w:hideMark/>
          </w:tcPr>
          <w:p w14:paraId="35CC911A"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Cultural Sensitivity</w:t>
            </w:r>
          </w:p>
        </w:tc>
        <w:tc>
          <w:tcPr>
            <w:tcW w:w="1060" w:type="dxa"/>
            <w:tcBorders>
              <w:top w:val="nil"/>
              <w:left w:val="nil"/>
              <w:bottom w:val="nil"/>
              <w:right w:val="nil"/>
            </w:tcBorders>
            <w:shd w:val="clear" w:color="auto" w:fill="auto"/>
            <w:noWrap/>
            <w:vAlign w:val="bottom"/>
            <w:hideMark/>
          </w:tcPr>
          <w:p w14:paraId="03E76326"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ED34DF8"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6B630087"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5018284A"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49CE726D"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008ADBF" w14:textId="77777777" w:rsidR="00805EB4" w:rsidRPr="004C66D9" w:rsidRDefault="00805EB4" w:rsidP="00E72162">
            <w:pPr>
              <w:rPr>
                <w:rFonts w:cstheme="minorHAnsi"/>
                <w:sz w:val="22"/>
                <w:szCs w:val="22"/>
              </w:rPr>
            </w:pPr>
          </w:p>
        </w:tc>
      </w:tr>
      <w:tr w:rsidR="00805EB4" w:rsidRPr="004C66D9" w14:paraId="2EEC1526" w14:textId="77777777" w:rsidTr="00E72162">
        <w:trPr>
          <w:trHeight w:val="300"/>
          <w:jc w:val="center"/>
        </w:trPr>
        <w:tc>
          <w:tcPr>
            <w:tcW w:w="2460" w:type="dxa"/>
            <w:tcBorders>
              <w:top w:val="nil"/>
              <w:left w:val="nil"/>
              <w:bottom w:val="nil"/>
              <w:right w:val="nil"/>
            </w:tcBorders>
            <w:shd w:val="clear" w:color="auto" w:fill="auto"/>
            <w:vAlign w:val="center"/>
            <w:hideMark/>
          </w:tcPr>
          <w:p w14:paraId="2CF6CE2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1350A1B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340" w:type="dxa"/>
            <w:tcBorders>
              <w:top w:val="nil"/>
              <w:left w:val="nil"/>
              <w:bottom w:val="nil"/>
              <w:right w:val="nil"/>
            </w:tcBorders>
            <w:shd w:val="clear" w:color="auto" w:fill="auto"/>
            <w:vAlign w:val="center"/>
            <w:hideMark/>
          </w:tcPr>
          <w:p w14:paraId="1759A023"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0.49</w:t>
            </w:r>
          </w:p>
        </w:tc>
        <w:tc>
          <w:tcPr>
            <w:tcW w:w="1020" w:type="dxa"/>
            <w:tcBorders>
              <w:top w:val="nil"/>
              <w:left w:val="nil"/>
              <w:bottom w:val="nil"/>
              <w:right w:val="nil"/>
            </w:tcBorders>
            <w:shd w:val="clear" w:color="auto" w:fill="auto"/>
            <w:vAlign w:val="center"/>
            <w:hideMark/>
          </w:tcPr>
          <w:p w14:paraId="6461155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180" w:type="dxa"/>
            <w:tcBorders>
              <w:top w:val="nil"/>
              <w:left w:val="nil"/>
              <w:bottom w:val="nil"/>
              <w:right w:val="nil"/>
            </w:tcBorders>
            <w:shd w:val="clear" w:color="auto" w:fill="auto"/>
            <w:noWrap/>
            <w:vAlign w:val="bottom"/>
            <w:hideMark/>
          </w:tcPr>
          <w:p w14:paraId="7B7C6E0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-0.34</w:t>
            </w:r>
          </w:p>
        </w:tc>
        <w:tc>
          <w:tcPr>
            <w:tcW w:w="940" w:type="dxa"/>
            <w:tcBorders>
              <w:top w:val="nil"/>
              <w:left w:val="nil"/>
              <w:bottom w:val="nil"/>
              <w:right w:val="nil"/>
            </w:tcBorders>
            <w:shd w:val="clear" w:color="auto" w:fill="auto"/>
            <w:noWrap/>
            <w:vAlign w:val="bottom"/>
            <w:hideMark/>
          </w:tcPr>
          <w:p w14:paraId="6F9661C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020" w:type="dxa"/>
            <w:tcBorders>
              <w:top w:val="nil"/>
              <w:left w:val="nil"/>
              <w:bottom w:val="nil"/>
              <w:right w:val="nil"/>
            </w:tcBorders>
            <w:shd w:val="clear" w:color="auto" w:fill="auto"/>
            <w:noWrap/>
            <w:vAlign w:val="bottom"/>
            <w:hideMark/>
          </w:tcPr>
          <w:p w14:paraId="77310725"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0.72</w:t>
            </w:r>
          </w:p>
        </w:tc>
      </w:tr>
      <w:tr w:rsidR="00805EB4" w:rsidRPr="004C66D9" w14:paraId="686BCAAD" w14:textId="77777777" w:rsidTr="00E72162">
        <w:trPr>
          <w:trHeight w:val="300"/>
          <w:jc w:val="center"/>
        </w:trPr>
        <w:tc>
          <w:tcPr>
            <w:tcW w:w="2460" w:type="dxa"/>
            <w:tcBorders>
              <w:top w:val="nil"/>
              <w:left w:val="nil"/>
              <w:bottom w:val="nil"/>
              <w:right w:val="nil"/>
            </w:tcBorders>
            <w:shd w:val="clear" w:color="auto" w:fill="auto"/>
            <w:vAlign w:val="center"/>
            <w:hideMark/>
          </w:tcPr>
          <w:p w14:paraId="31F40C4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7A87BF7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44C9BAA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nil"/>
              <w:right w:val="nil"/>
            </w:tcBorders>
            <w:shd w:val="clear" w:color="auto" w:fill="auto"/>
            <w:noWrap/>
            <w:vAlign w:val="bottom"/>
            <w:hideMark/>
          </w:tcPr>
          <w:p w14:paraId="0A0AAB4E" w14:textId="77777777" w:rsidR="00805EB4" w:rsidRPr="004C66D9" w:rsidRDefault="00805EB4" w:rsidP="00E72162">
            <w:pPr>
              <w:jc w:val="right"/>
              <w:rPr>
                <w:rFonts w:cstheme="minorHAnsi"/>
                <w:b/>
                <w:bCs/>
                <w:color w:val="000000"/>
                <w:sz w:val="22"/>
                <w:szCs w:val="22"/>
              </w:rPr>
            </w:pPr>
            <w:r w:rsidRPr="00636AEF">
              <w:rPr>
                <w:rFonts w:cstheme="minorHAnsi"/>
                <w:b/>
                <w:bCs/>
                <w:i/>
                <w:color w:val="000000"/>
                <w:sz w:val="22"/>
                <w:szCs w:val="22"/>
              </w:rPr>
              <w:t>0.93</w:t>
            </w:r>
          </w:p>
        </w:tc>
        <w:tc>
          <w:tcPr>
            <w:tcW w:w="1180" w:type="dxa"/>
            <w:tcBorders>
              <w:top w:val="nil"/>
              <w:left w:val="nil"/>
              <w:bottom w:val="nil"/>
              <w:right w:val="nil"/>
            </w:tcBorders>
            <w:shd w:val="clear" w:color="auto" w:fill="auto"/>
            <w:noWrap/>
            <w:vAlign w:val="bottom"/>
            <w:hideMark/>
          </w:tcPr>
          <w:p w14:paraId="565A94D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noWrap/>
            <w:vAlign w:val="bottom"/>
            <w:hideMark/>
          </w:tcPr>
          <w:p w14:paraId="6C0DF81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nil"/>
              <w:right w:val="nil"/>
            </w:tcBorders>
            <w:shd w:val="clear" w:color="auto" w:fill="auto"/>
            <w:noWrap/>
            <w:vAlign w:val="bottom"/>
            <w:hideMark/>
          </w:tcPr>
          <w:p w14:paraId="6EF281D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0.86</w:t>
            </w:r>
          </w:p>
        </w:tc>
      </w:tr>
      <w:tr w:rsidR="00805EB4" w:rsidRPr="004C66D9" w14:paraId="47177165" w14:textId="77777777" w:rsidTr="00E72162">
        <w:trPr>
          <w:trHeight w:val="300"/>
          <w:jc w:val="center"/>
        </w:trPr>
        <w:tc>
          <w:tcPr>
            <w:tcW w:w="2460" w:type="dxa"/>
            <w:tcBorders>
              <w:top w:val="nil"/>
              <w:left w:val="nil"/>
              <w:bottom w:val="nil"/>
              <w:right w:val="nil"/>
            </w:tcBorders>
            <w:shd w:val="clear" w:color="auto" w:fill="auto"/>
            <w:vAlign w:val="center"/>
            <w:hideMark/>
          </w:tcPr>
          <w:p w14:paraId="0A4B4A42"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Daily Functioning</w:t>
            </w:r>
          </w:p>
        </w:tc>
        <w:tc>
          <w:tcPr>
            <w:tcW w:w="1060" w:type="dxa"/>
            <w:tcBorders>
              <w:top w:val="nil"/>
              <w:left w:val="nil"/>
              <w:bottom w:val="nil"/>
              <w:right w:val="nil"/>
            </w:tcBorders>
            <w:shd w:val="clear" w:color="auto" w:fill="auto"/>
            <w:noWrap/>
            <w:vAlign w:val="bottom"/>
            <w:hideMark/>
          </w:tcPr>
          <w:p w14:paraId="056C7FAD"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2E6ABE14"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500AE1E0"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4C883BB2"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166F608"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5F946A2" w14:textId="77777777" w:rsidR="00805EB4" w:rsidRPr="004C66D9" w:rsidRDefault="00805EB4" w:rsidP="00E72162">
            <w:pPr>
              <w:rPr>
                <w:rFonts w:cstheme="minorHAnsi"/>
                <w:sz w:val="22"/>
                <w:szCs w:val="22"/>
              </w:rPr>
            </w:pPr>
          </w:p>
        </w:tc>
      </w:tr>
      <w:tr w:rsidR="00805EB4" w:rsidRPr="004C66D9" w14:paraId="58E6DEDD" w14:textId="77777777" w:rsidTr="00E72162">
        <w:trPr>
          <w:trHeight w:val="300"/>
          <w:jc w:val="center"/>
        </w:trPr>
        <w:tc>
          <w:tcPr>
            <w:tcW w:w="2460" w:type="dxa"/>
            <w:tcBorders>
              <w:top w:val="nil"/>
              <w:left w:val="nil"/>
              <w:bottom w:val="nil"/>
              <w:right w:val="nil"/>
            </w:tcBorders>
            <w:shd w:val="clear" w:color="auto" w:fill="auto"/>
            <w:vAlign w:val="center"/>
            <w:hideMark/>
          </w:tcPr>
          <w:p w14:paraId="6966008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092F879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0.17</w:t>
            </w:r>
          </w:p>
        </w:tc>
        <w:tc>
          <w:tcPr>
            <w:tcW w:w="1340" w:type="dxa"/>
            <w:tcBorders>
              <w:top w:val="nil"/>
              <w:left w:val="nil"/>
              <w:bottom w:val="nil"/>
              <w:right w:val="nil"/>
            </w:tcBorders>
            <w:shd w:val="clear" w:color="auto" w:fill="auto"/>
            <w:vAlign w:val="center"/>
            <w:hideMark/>
          </w:tcPr>
          <w:p w14:paraId="7F71CDC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0.49</w:t>
            </w:r>
          </w:p>
        </w:tc>
        <w:tc>
          <w:tcPr>
            <w:tcW w:w="1020" w:type="dxa"/>
            <w:tcBorders>
              <w:top w:val="nil"/>
              <w:left w:val="nil"/>
              <w:bottom w:val="nil"/>
              <w:right w:val="nil"/>
            </w:tcBorders>
            <w:shd w:val="clear" w:color="auto" w:fill="auto"/>
            <w:vAlign w:val="center"/>
            <w:hideMark/>
          </w:tcPr>
          <w:p w14:paraId="4BF012ED"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0.95</w:t>
            </w:r>
          </w:p>
        </w:tc>
        <w:tc>
          <w:tcPr>
            <w:tcW w:w="1180" w:type="dxa"/>
            <w:tcBorders>
              <w:top w:val="nil"/>
              <w:left w:val="nil"/>
              <w:bottom w:val="nil"/>
              <w:right w:val="nil"/>
            </w:tcBorders>
            <w:shd w:val="clear" w:color="auto" w:fill="auto"/>
            <w:noWrap/>
            <w:vAlign w:val="bottom"/>
            <w:hideMark/>
          </w:tcPr>
          <w:p w14:paraId="5412DA7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0.43</w:t>
            </w:r>
          </w:p>
        </w:tc>
        <w:tc>
          <w:tcPr>
            <w:tcW w:w="940" w:type="dxa"/>
            <w:tcBorders>
              <w:top w:val="nil"/>
              <w:left w:val="nil"/>
              <w:bottom w:val="nil"/>
              <w:right w:val="nil"/>
            </w:tcBorders>
            <w:shd w:val="clear" w:color="auto" w:fill="auto"/>
            <w:noWrap/>
            <w:vAlign w:val="bottom"/>
            <w:hideMark/>
          </w:tcPr>
          <w:p w14:paraId="72534B2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020" w:type="dxa"/>
            <w:tcBorders>
              <w:top w:val="nil"/>
              <w:left w:val="nil"/>
              <w:bottom w:val="nil"/>
              <w:right w:val="nil"/>
            </w:tcBorders>
            <w:shd w:val="clear" w:color="auto" w:fill="auto"/>
            <w:noWrap/>
            <w:vAlign w:val="bottom"/>
            <w:hideMark/>
          </w:tcPr>
          <w:p w14:paraId="007663F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1.21</w:t>
            </w:r>
          </w:p>
        </w:tc>
      </w:tr>
      <w:tr w:rsidR="00805EB4" w:rsidRPr="004C66D9" w14:paraId="266059C4" w14:textId="77777777" w:rsidTr="00E72162">
        <w:trPr>
          <w:trHeight w:val="300"/>
          <w:jc w:val="center"/>
        </w:trPr>
        <w:tc>
          <w:tcPr>
            <w:tcW w:w="2460" w:type="dxa"/>
            <w:tcBorders>
              <w:top w:val="nil"/>
              <w:left w:val="nil"/>
              <w:bottom w:val="nil"/>
              <w:right w:val="nil"/>
            </w:tcBorders>
            <w:shd w:val="clear" w:color="auto" w:fill="auto"/>
            <w:vAlign w:val="center"/>
            <w:hideMark/>
          </w:tcPr>
          <w:p w14:paraId="2C00AB1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0B05864"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0.35</w:t>
            </w:r>
          </w:p>
        </w:tc>
        <w:tc>
          <w:tcPr>
            <w:tcW w:w="1340" w:type="dxa"/>
            <w:tcBorders>
              <w:top w:val="nil"/>
              <w:left w:val="nil"/>
              <w:bottom w:val="nil"/>
              <w:right w:val="nil"/>
            </w:tcBorders>
            <w:shd w:val="clear" w:color="auto" w:fill="auto"/>
            <w:vAlign w:val="center"/>
            <w:hideMark/>
          </w:tcPr>
          <w:p w14:paraId="783BAF4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c>
          <w:tcPr>
            <w:tcW w:w="1020" w:type="dxa"/>
            <w:tcBorders>
              <w:top w:val="nil"/>
              <w:left w:val="nil"/>
              <w:bottom w:val="nil"/>
              <w:right w:val="nil"/>
            </w:tcBorders>
            <w:shd w:val="clear" w:color="auto" w:fill="auto"/>
            <w:noWrap/>
            <w:vAlign w:val="bottom"/>
            <w:hideMark/>
          </w:tcPr>
          <w:p w14:paraId="24C0CE94"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1.88</w:t>
            </w:r>
          </w:p>
        </w:tc>
        <w:tc>
          <w:tcPr>
            <w:tcW w:w="1180" w:type="dxa"/>
            <w:tcBorders>
              <w:top w:val="nil"/>
              <w:left w:val="nil"/>
              <w:bottom w:val="nil"/>
              <w:right w:val="nil"/>
            </w:tcBorders>
            <w:shd w:val="clear" w:color="auto" w:fill="auto"/>
            <w:noWrap/>
            <w:vAlign w:val="bottom"/>
            <w:hideMark/>
          </w:tcPr>
          <w:p w14:paraId="13C1C0D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0.49</w:t>
            </w:r>
          </w:p>
        </w:tc>
        <w:tc>
          <w:tcPr>
            <w:tcW w:w="940" w:type="dxa"/>
            <w:tcBorders>
              <w:top w:val="nil"/>
              <w:left w:val="nil"/>
              <w:bottom w:val="nil"/>
              <w:right w:val="nil"/>
            </w:tcBorders>
            <w:shd w:val="clear" w:color="auto" w:fill="auto"/>
            <w:noWrap/>
            <w:vAlign w:val="bottom"/>
            <w:hideMark/>
          </w:tcPr>
          <w:p w14:paraId="0B0F86A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0.27</w:t>
            </w:r>
          </w:p>
        </w:tc>
        <w:tc>
          <w:tcPr>
            <w:tcW w:w="1020" w:type="dxa"/>
            <w:tcBorders>
              <w:top w:val="nil"/>
              <w:left w:val="nil"/>
              <w:bottom w:val="nil"/>
              <w:right w:val="nil"/>
            </w:tcBorders>
            <w:shd w:val="clear" w:color="auto" w:fill="auto"/>
            <w:noWrap/>
            <w:vAlign w:val="bottom"/>
            <w:hideMark/>
          </w:tcPr>
          <w:p w14:paraId="6DAD248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-0.62</w:t>
            </w:r>
          </w:p>
        </w:tc>
      </w:tr>
      <w:tr w:rsidR="00805EB4" w:rsidRPr="004C66D9" w14:paraId="2B84B1EC" w14:textId="77777777" w:rsidTr="00E72162">
        <w:trPr>
          <w:trHeight w:val="300"/>
          <w:jc w:val="center"/>
        </w:trPr>
        <w:tc>
          <w:tcPr>
            <w:tcW w:w="2460" w:type="dxa"/>
            <w:tcBorders>
              <w:top w:val="nil"/>
              <w:left w:val="nil"/>
              <w:bottom w:val="nil"/>
              <w:right w:val="nil"/>
            </w:tcBorders>
            <w:shd w:val="clear" w:color="auto" w:fill="auto"/>
            <w:vAlign w:val="center"/>
            <w:hideMark/>
          </w:tcPr>
          <w:p w14:paraId="5960898C"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Treatment Outcomes</w:t>
            </w:r>
          </w:p>
        </w:tc>
        <w:tc>
          <w:tcPr>
            <w:tcW w:w="1060" w:type="dxa"/>
            <w:tcBorders>
              <w:top w:val="nil"/>
              <w:left w:val="nil"/>
              <w:bottom w:val="nil"/>
              <w:right w:val="nil"/>
            </w:tcBorders>
            <w:shd w:val="clear" w:color="auto" w:fill="auto"/>
            <w:noWrap/>
            <w:vAlign w:val="bottom"/>
            <w:hideMark/>
          </w:tcPr>
          <w:p w14:paraId="6789956D"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24366113"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5536CDA6" w14:textId="77777777" w:rsidR="00805EB4" w:rsidRPr="00636AEF" w:rsidRDefault="00805EB4" w:rsidP="00E72162">
            <w:pPr>
              <w:rPr>
                <w:rFonts w:cstheme="minorHAnsi"/>
                <w:i/>
                <w:sz w:val="22"/>
                <w:szCs w:val="22"/>
              </w:rPr>
            </w:pPr>
          </w:p>
        </w:tc>
        <w:tc>
          <w:tcPr>
            <w:tcW w:w="1180" w:type="dxa"/>
            <w:tcBorders>
              <w:top w:val="nil"/>
              <w:left w:val="nil"/>
              <w:bottom w:val="nil"/>
              <w:right w:val="nil"/>
            </w:tcBorders>
            <w:shd w:val="clear" w:color="auto" w:fill="auto"/>
            <w:noWrap/>
            <w:vAlign w:val="bottom"/>
            <w:hideMark/>
          </w:tcPr>
          <w:p w14:paraId="327C388A"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291DACD"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083CE0E" w14:textId="77777777" w:rsidR="00805EB4" w:rsidRPr="004C66D9" w:rsidRDefault="00805EB4" w:rsidP="00E72162">
            <w:pPr>
              <w:rPr>
                <w:rFonts w:cstheme="minorHAnsi"/>
                <w:sz w:val="22"/>
                <w:szCs w:val="22"/>
              </w:rPr>
            </w:pPr>
          </w:p>
        </w:tc>
      </w:tr>
      <w:tr w:rsidR="00805EB4" w:rsidRPr="004C66D9" w14:paraId="1A58EF96" w14:textId="77777777" w:rsidTr="00E72162">
        <w:trPr>
          <w:trHeight w:val="300"/>
          <w:jc w:val="center"/>
        </w:trPr>
        <w:tc>
          <w:tcPr>
            <w:tcW w:w="2460" w:type="dxa"/>
            <w:tcBorders>
              <w:top w:val="nil"/>
              <w:left w:val="nil"/>
              <w:bottom w:val="nil"/>
              <w:right w:val="nil"/>
            </w:tcBorders>
            <w:shd w:val="clear" w:color="auto" w:fill="auto"/>
            <w:vAlign w:val="center"/>
            <w:hideMark/>
          </w:tcPr>
          <w:p w14:paraId="1CAA857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54CF4B8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2F9121F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0.31</w:t>
            </w:r>
          </w:p>
        </w:tc>
        <w:tc>
          <w:tcPr>
            <w:tcW w:w="1020" w:type="dxa"/>
            <w:tcBorders>
              <w:top w:val="nil"/>
              <w:left w:val="nil"/>
              <w:bottom w:val="nil"/>
              <w:right w:val="nil"/>
            </w:tcBorders>
            <w:shd w:val="clear" w:color="auto" w:fill="auto"/>
            <w:vAlign w:val="center"/>
            <w:hideMark/>
          </w:tcPr>
          <w:p w14:paraId="6DD16CE7"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0.69</w:t>
            </w:r>
          </w:p>
        </w:tc>
        <w:tc>
          <w:tcPr>
            <w:tcW w:w="1180" w:type="dxa"/>
            <w:tcBorders>
              <w:top w:val="nil"/>
              <w:left w:val="nil"/>
              <w:bottom w:val="nil"/>
              <w:right w:val="nil"/>
            </w:tcBorders>
            <w:shd w:val="clear" w:color="auto" w:fill="auto"/>
            <w:noWrap/>
            <w:vAlign w:val="bottom"/>
            <w:hideMark/>
          </w:tcPr>
          <w:p w14:paraId="164BC82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0.43</w:t>
            </w:r>
          </w:p>
        </w:tc>
        <w:tc>
          <w:tcPr>
            <w:tcW w:w="940" w:type="dxa"/>
            <w:tcBorders>
              <w:top w:val="nil"/>
              <w:left w:val="nil"/>
              <w:bottom w:val="nil"/>
              <w:right w:val="nil"/>
            </w:tcBorders>
            <w:shd w:val="clear" w:color="auto" w:fill="auto"/>
            <w:noWrap/>
            <w:vAlign w:val="bottom"/>
            <w:hideMark/>
          </w:tcPr>
          <w:p w14:paraId="7449C80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noWrap/>
            <w:vAlign w:val="bottom"/>
            <w:hideMark/>
          </w:tcPr>
          <w:p w14:paraId="4D8C4C5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0.66</w:t>
            </w:r>
          </w:p>
        </w:tc>
      </w:tr>
      <w:tr w:rsidR="00805EB4" w:rsidRPr="004C66D9" w14:paraId="6B0EEF7D" w14:textId="77777777" w:rsidTr="00E72162">
        <w:trPr>
          <w:trHeight w:val="300"/>
          <w:jc w:val="center"/>
        </w:trPr>
        <w:tc>
          <w:tcPr>
            <w:tcW w:w="2460" w:type="dxa"/>
            <w:tcBorders>
              <w:top w:val="nil"/>
              <w:left w:val="nil"/>
              <w:bottom w:val="nil"/>
              <w:right w:val="nil"/>
            </w:tcBorders>
            <w:shd w:val="clear" w:color="auto" w:fill="auto"/>
            <w:vAlign w:val="center"/>
            <w:hideMark/>
          </w:tcPr>
          <w:p w14:paraId="60EC026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5924994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0.29</w:t>
            </w:r>
          </w:p>
        </w:tc>
        <w:tc>
          <w:tcPr>
            <w:tcW w:w="1340" w:type="dxa"/>
            <w:tcBorders>
              <w:top w:val="nil"/>
              <w:left w:val="nil"/>
              <w:bottom w:val="nil"/>
              <w:right w:val="nil"/>
            </w:tcBorders>
            <w:shd w:val="clear" w:color="auto" w:fill="auto"/>
            <w:vAlign w:val="center"/>
            <w:hideMark/>
          </w:tcPr>
          <w:p w14:paraId="6C1A438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noWrap/>
            <w:vAlign w:val="bottom"/>
            <w:hideMark/>
          </w:tcPr>
          <w:p w14:paraId="469CF44C"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1.86</w:t>
            </w:r>
          </w:p>
        </w:tc>
        <w:tc>
          <w:tcPr>
            <w:tcW w:w="1180" w:type="dxa"/>
            <w:tcBorders>
              <w:top w:val="nil"/>
              <w:left w:val="nil"/>
              <w:bottom w:val="nil"/>
              <w:right w:val="nil"/>
            </w:tcBorders>
            <w:shd w:val="clear" w:color="auto" w:fill="auto"/>
            <w:noWrap/>
            <w:vAlign w:val="bottom"/>
            <w:hideMark/>
          </w:tcPr>
          <w:p w14:paraId="0E54DD4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0.48</w:t>
            </w:r>
          </w:p>
        </w:tc>
        <w:tc>
          <w:tcPr>
            <w:tcW w:w="940" w:type="dxa"/>
            <w:tcBorders>
              <w:top w:val="nil"/>
              <w:left w:val="nil"/>
              <w:bottom w:val="nil"/>
              <w:right w:val="nil"/>
            </w:tcBorders>
            <w:shd w:val="clear" w:color="auto" w:fill="auto"/>
            <w:noWrap/>
            <w:vAlign w:val="bottom"/>
            <w:hideMark/>
          </w:tcPr>
          <w:p w14:paraId="68B8D1B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0.21</w:t>
            </w:r>
          </w:p>
        </w:tc>
        <w:tc>
          <w:tcPr>
            <w:tcW w:w="1020" w:type="dxa"/>
            <w:tcBorders>
              <w:top w:val="nil"/>
              <w:left w:val="nil"/>
              <w:bottom w:val="nil"/>
              <w:right w:val="nil"/>
            </w:tcBorders>
            <w:shd w:val="clear" w:color="auto" w:fill="auto"/>
            <w:noWrap/>
            <w:vAlign w:val="bottom"/>
            <w:hideMark/>
          </w:tcPr>
          <w:p w14:paraId="15514D4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-0.86</w:t>
            </w:r>
          </w:p>
        </w:tc>
      </w:tr>
      <w:tr w:rsidR="00805EB4" w:rsidRPr="004C66D9" w14:paraId="4EF6B85C" w14:textId="77777777" w:rsidTr="00E72162">
        <w:trPr>
          <w:trHeight w:val="300"/>
          <w:jc w:val="center"/>
        </w:trPr>
        <w:tc>
          <w:tcPr>
            <w:tcW w:w="2460" w:type="dxa"/>
            <w:tcBorders>
              <w:top w:val="nil"/>
              <w:left w:val="nil"/>
              <w:bottom w:val="nil"/>
              <w:right w:val="nil"/>
            </w:tcBorders>
            <w:shd w:val="clear" w:color="auto" w:fill="auto"/>
            <w:vAlign w:val="center"/>
            <w:hideMark/>
          </w:tcPr>
          <w:p w14:paraId="370685EC"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Participation</w:t>
            </w:r>
          </w:p>
        </w:tc>
        <w:tc>
          <w:tcPr>
            <w:tcW w:w="1060" w:type="dxa"/>
            <w:tcBorders>
              <w:top w:val="nil"/>
              <w:left w:val="nil"/>
              <w:bottom w:val="nil"/>
              <w:right w:val="nil"/>
            </w:tcBorders>
            <w:shd w:val="clear" w:color="auto" w:fill="auto"/>
            <w:noWrap/>
            <w:vAlign w:val="bottom"/>
            <w:hideMark/>
          </w:tcPr>
          <w:p w14:paraId="104C7DC9"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618253B2"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5FD1BF09" w14:textId="77777777" w:rsidR="00805EB4" w:rsidRPr="00636AEF" w:rsidRDefault="00805EB4" w:rsidP="00E72162">
            <w:pPr>
              <w:rPr>
                <w:rFonts w:cstheme="minorHAnsi"/>
                <w:i/>
                <w:sz w:val="22"/>
                <w:szCs w:val="22"/>
              </w:rPr>
            </w:pPr>
          </w:p>
        </w:tc>
        <w:tc>
          <w:tcPr>
            <w:tcW w:w="1180" w:type="dxa"/>
            <w:tcBorders>
              <w:top w:val="nil"/>
              <w:left w:val="nil"/>
              <w:bottom w:val="nil"/>
              <w:right w:val="nil"/>
            </w:tcBorders>
            <w:shd w:val="clear" w:color="auto" w:fill="auto"/>
            <w:noWrap/>
            <w:vAlign w:val="bottom"/>
            <w:hideMark/>
          </w:tcPr>
          <w:p w14:paraId="0C9AA147"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329CE94"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5E6B692" w14:textId="77777777" w:rsidR="00805EB4" w:rsidRPr="004C66D9" w:rsidRDefault="00805EB4" w:rsidP="00E72162">
            <w:pPr>
              <w:rPr>
                <w:rFonts w:cstheme="minorHAnsi"/>
                <w:sz w:val="22"/>
                <w:szCs w:val="22"/>
              </w:rPr>
            </w:pPr>
          </w:p>
        </w:tc>
      </w:tr>
      <w:tr w:rsidR="00805EB4" w:rsidRPr="004C66D9" w14:paraId="394EBDE0" w14:textId="77777777" w:rsidTr="00E72162">
        <w:trPr>
          <w:trHeight w:val="300"/>
          <w:jc w:val="center"/>
        </w:trPr>
        <w:tc>
          <w:tcPr>
            <w:tcW w:w="2460" w:type="dxa"/>
            <w:tcBorders>
              <w:top w:val="nil"/>
              <w:left w:val="nil"/>
              <w:bottom w:val="nil"/>
              <w:right w:val="nil"/>
            </w:tcBorders>
            <w:shd w:val="clear" w:color="auto" w:fill="auto"/>
            <w:vAlign w:val="center"/>
            <w:hideMark/>
          </w:tcPr>
          <w:p w14:paraId="6A0B798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noWrap/>
            <w:vAlign w:val="bottom"/>
            <w:hideMark/>
          </w:tcPr>
          <w:p w14:paraId="55426DF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340" w:type="dxa"/>
            <w:tcBorders>
              <w:top w:val="nil"/>
              <w:left w:val="nil"/>
              <w:bottom w:val="nil"/>
              <w:right w:val="nil"/>
            </w:tcBorders>
            <w:shd w:val="clear" w:color="auto" w:fill="auto"/>
            <w:vAlign w:val="center"/>
            <w:hideMark/>
          </w:tcPr>
          <w:p w14:paraId="708247F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0.47</w:t>
            </w:r>
          </w:p>
        </w:tc>
        <w:tc>
          <w:tcPr>
            <w:tcW w:w="1020" w:type="dxa"/>
            <w:tcBorders>
              <w:top w:val="nil"/>
              <w:left w:val="nil"/>
              <w:bottom w:val="nil"/>
              <w:right w:val="nil"/>
            </w:tcBorders>
            <w:shd w:val="clear" w:color="auto" w:fill="auto"/>
            <w:vAlign w:val="center"/>
            <w:hideMark/>
          </w:tcPr>
          <w:p w14:paraId="5110C73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0.75</w:t>
            </w:r>
          </w:p>
        </w:tc>
        <w:tc>
          <w:tcPr>
            <w:tcW w:w="1180" w:type="dxa"/>
            <w:tcBorders>
              <w:top w:val="nil"/>
              <w:left w:val="nil"/>
              <w:bottom w:val="nil"/>
              <w:right w:val="nil"/>
            </w:tcBorders>
            <w:shd w:val="clear" w:color="auto" w:fill="auto"/>
            <w:noWrap/>
            <w:vAlign w:val="bottom"/>
            <w:hideMark/>
          </w:tcPr>
          <w:p w14:paraId="0BB88BF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0.21</w:t>
            </w:r>
          </w:p>
        </w:tc>
        <w:tc>
          <w:tcPr>
            <w:tcW w:w="940" w:type="dxa"/>
            <w:tcBorders>
              <w:top w:val="nil"/>
              <w:left w:val="nil"/>
              <w:bottom w:val="nil"/>
              <w:right w:val="nil"/>
            </w:tcBorders>
            <w:shd w:val="clear" w:color="auto" w:fill="auto"/>
            <w:noWrap/>
            <w:vAlign w:val="bottom"/>
            <w:hideMark/>
          </w:tcPr>
          <w:p w14:paraId="41DF230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020" w:type="dxa"/>
            <w:tcBorders>
              <w:top w:val="nil"/>
              <w:left w:val="nil"/>
              <w:bottom w:val="nil"/>
              <w:right w:val="nil"/>
            </w:tcBorders>
            <w:shd w:val="clear" w:color="auto" w:fill="auto"/>
            <w:noWrap/>
            <w:vAlign w:val="bottom"/>
            <w:hideMark/>
          </w:tcPr>
          <w:p w14:paraId="2850A82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1.18</w:t>
            </w:r>
          </w:p>
        </w:tc>
      </w:tr>
      <w:tr w:rsidR="00805EB4" w:rsidRPr="004C66D9" w14:paraId="705AB15B" w14:textId="77777777" w:rsidTr="00E72162">
        <w:trPr>
          <w:trHeight w:val="300"/>
          <w:jc w:val="center"/>
        </w:trPr>
        <w:tc>
          <w:tcPr>
            <w:tcW w:w="2460" w:type="dxa"/>
            <w:tcBorders>
              <w:top w:val="nil"/>
              <w:left w:val="nil"/>
              <w:bottom w:val="single" w:sz="4" w:space="0" w:color="auto"/>
              <w:right w:val="nil"/>
            </w:tcBorders>
            <w:shd w:val="clear" w:color="auto" w:fill="auto"/>
            <w:vAlign w:val="center"/>
            <w:hideMark/>
          </w:tcPr>
          <w:p w14:paraId="1CD7039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single" w:sz="4" w:space="0" w:color="auto"/>
              <w:right w:val="nil"/>
            </w:tcBorders>
            <w:shd w:val="clear" w:color="auto" w:fill="auto"/>
            <w:vAlign w:val="center"/>
            <w:hideMark/>
          </w:tcPr>
          <w:p w14:paraId="7FB1305C"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0.29</w:t>
            </w:r>
          </w:p>
        </w:tc>
        <w:tc>
          <w:tcPr>
            <w:tcW w:w="1340" w:type="dxa"/>
            <w:tcBorders>
              <w:top w:val="nil"/>
              <w:left w:val="nil"/>
              <w:bottom w:val="single" w:sz="4" w:space="0" w:color="auto"/>
              <w:right w:val="nil"/>
            </w:tcBorders>
            <w:shd w:val="clear" w:color="auto" w:fill="auto"/>
            <w:vAlign w:val="center"/>
            <w:hideMark/>
          </w:tcPr>
          <w:p w14:paraId="4B99335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0.55</w:t>
            </w:r>
          </w:p>
        </w:tc>
        <w:tc>
          <w:tcPr>
            <w:tcW w:w="1020" w:type="dxa"/>
            <w:tcBorders>
              <w:top w:val="nil"/>
              <w:left w:val="nil"/>
              <w:bottom w:val="single" w:sz="4" w:space="0" w:color="auto"/>
              <w:right w:val="nil"/>
            </w:tcBorders>
            <w:shd w:val="clear" w:color="auto" w:fill="auto"/>
            <w:vAlign w:val="center"/>
            <w:hideMark/>
          </w:tcPr>
          <w:p w14:paraId="4F530BBC"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1.97</w:t>
            </w:r>
          </w:p>
        </w:tc>
        <w:tc>
          <w:tcPr>
            <w:tcW w:w="1180" w:type="dxa"/>
            <w:tcBorders>
              <w:top w:val="nil"/>
              <w:left w:val="nil"/>
              <w:bottom w:val="single" w:sz="4" w:space="0" w:color="auto"/>
              <w:right w:val="nil"/>
            </w:tcBorders>
            <w:shd w:val="clear" w:color="auto" w:fill="auto"/>
            <w:vAlign w:val="center"/>
            <w:hideMark/>
          </w:tcPr>
          <w:p w14:paraId="3FF60C8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0.40</w:t>
            </w:r>
          </w:p>
        </w:tc>
        <w:tc>
          <w:tcPr>
            <w:tcW w:w="940" w:type="dxa"/>
            <w:tcBorders>
              <w:top w:val="nil"/>
              <w:left w:val="nil"/>
              <w:bottom w:val="single" w:sz="4" w:space="0" w:color="auto"/>
              <w:right w:val="nil"/>
            </w:tcBorders>
            <w:shd w:val="clear" w:color="auto" w:fill="auto"/>
            <w:vAlign w:val="center"/>
            <w:hideMark/>
          </w:tcPr>
          <w:p w14:paraId="5D4C749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1020" w:type="dxa"/>
            <w:tcBorders>
              <w:top w:val="nil"/>
              <w:left w:val="nil"/>
              <w:bottom w:val="single" w:sz="4" w:space="0" w:color="auto"/>
              <w:right w:val="nil"/>
            </w:tcBorders>
            <w:shd w:val="clear" w:color="auto" w:fill="auto"/>
            <w:noWrap/>
            <w:vAlign w:val="bottom"/>
            <w:hideMark/>
          </w:tcPr>
          <w:p w14:paraId="59215F8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0.23</w:t>
            </w:r>
          </w:p>
        </w:tc>
      </w:tr>
    </w:tbl>
    <w:p w14:paraId="6A722081" w14:textId="77777777" w:rsidR="00805EB4" w:rsidRPr="004C66D9" w:rsidRDefault="00805EB4" w:rsidP="00E847F0">
      <w:pPr>
        <w:rPr>
          <w:rFonts w:cstheme="minorHAnsi"/>
          <w:sz w:val="22"/>
          <w:szCs w:val="22"/>
        </w:rPr>
      </w:pPr>
    </w:p>
    <w:p w14:paraId="319FAF88" w14:textId="77777777" w:rsidR="00E847F0" w:rsidRPr="004C66D9" w:rsidRDefault="00E847F0" w:rsidP="00E847F0">
      <w:pPr>
        <w:ind w:left="1152" w:hanging="1152"/>
        <w:rPr>
          <w:rFonts w:cstheme="minorHAnsi"/>
          <w:sz w:val="22"/>
          <w:szCs w:val="22"/>
        </w:rPr>
      </w:pPr>
    </w:p>
    <w:p w14:paraId="561DC21B" w14:textId="77777777" w:rsidR="00E847F0" w:rsidRPr="004C66D9" w:rsidRDefault="00E847F0" w:rsidP="00E847F0">
      <w:pPr>
        <w:rPr>
          <w:rFonts w:cstheme="minorHAnsi"/>
          <w:sz w:val="22"/>
          <w:szCs w:val="22"/>
        </w:rPr>
      </w:pPr>
      <w:r w:rsidRPr="004C66D9">
        <w:rPr>
          <w:rFonts w:cstheme="minorHAnsi"/>
          <w:sz w:val="22"/>
          <w:szCs w:val="22"/>
        </w:rPr>
        <w:br w:type="page"/>
      </w:r>
    </w:p>
    <w:p w14:paraId="47F1FD0D" w14:textId="474C6497" w:rsidR="00E847F0" w:rsidRPr="00000D4B" w:rsidRDefault="00E847F0" w:rsidP="00E839A9">
      <w:pPr>
        <w:jc w:val="center"/>
        <w:rPr>
          <w:rFonts w:cstheme="minorHAnsi"/>
          <w:b/>
          <w:bCs/>
          <w:color w:val="6A7F0F"/>
          <w:sz w:val="22"/>
          <w:szCs w:val="22"/>
        </w:rPr>
      </w:pPr>
      <w:bookmarkStart w:id="135" w:name="Appendix6_Table_A65d"/>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.5d: Changes in MHSIP Survey Satisfaction Scores - Children </w:t>
      </w:r>
      <w:r w:rsidR="002A6F8C">
        <w:rPr>
          <w:rFonts w:cstheme="minorHAnsi"/>
          <w:b/>
          <w:bCs/>
          <w:color w:val="6A7F0F"/>
          <w:sz w:val="22"/>
          <w:szCs w:val="22"/>
        </w:rPr>
        <w:t>and</w:t>
      </w:r>
      <w:r w:rsidRPr="00000D4B">
        <w:rPr>
          <w:rFonts w:cstheme="minorHAnsi"/>
          <w:b/>
          <w:bCs/>
          <w:color w:val="6A7F0F"/>
          <w:sz w:val="22"/>
          <w:szCs w:val="22"/>
        </w:rPr>
        <w:t xml:space="preserve"> Youth Outpatient and</w:t>
      </w:r>
      <w:r w:rsidR="00E839A9" w:rsidRPr="00000D4B">
        <w:rPr>
          <w:rFonts w:cstheme="minorHAnsi"/>
          <w:b/>
          <w:bCs/>
          <w:color w:val="6A7F0F"/>
          <w:sz w:val="22"/>
          <w:szCs w:val="22"/>
        </w:rPr>
        <w:t xml:space="preserve"> </w:t>
      </w:r>
      <w:r w:rsidRPr="00000D4B">
        <w:rPr>
          <w:rFonts w:cstheme="minorHAnsi"/>
          <w:b/>
          <w:bCs/>
          <w:color w:val="6A7F0F"/>
          <w:sz w:val="22"/>
          <w:szCs w:val="22"/>
        </w:rPr>
        <w:t xml:space="preserve">Residential </w:t>
      </w:r>
      <w:r w:rsidR="00A35AAA" w:rsidRPr="00000D4B">
        <w:rPr>
          <w:rFonts w:cstheme="minorHAnsi"/>
          <w:b/>
          <w:bCs/>
          <w:color w:val="6A7F0F"/>
          <w:sz w:val="22"/>
          <w:szCs w:val="22"/>
        </w:rPr>
        <w:t xml:space="preserve">Services </w:t>
      </w:r>
      <w:r w:rsidRPr="00000D4B">
        <w:rPr>
          <w:rFonts w:cstheme="minorHAnsi"/>
          <w:b/>
          <w:bCs/>
          <w:color w:val="6A7F0F"/>
          <w:sz w:val="22"/>
          <w:szCs w:val="22"/>
        </w:rPr>
        <w:t>Overall and by Race/Ethnicity Services for CCBHC OHP Members</w:t>
      </w:r>
    </w:p>
    <w:bookmarkEnd w:id="135"/>
    <w:p w14:paraId="2985B9FC" w14:textId="77777777" w:rsidR="00E847F0" w:rsidRPr="004C66D9" w:rsidRDefault="00E847F0" w:rsidP="00E847F0">
      <w:pPr>
        <w:ind w:left="1152" w:hanging="1152"/>
        <w:jc w:val="center"/>
        <w:rPr>
          <w:rFonts w:cstheme="minorHAnsi"/>
          <w:sz w:val="22"/>
          <w:szCs w:val="22"/>
        </w:rPr>
      </w:pPr>
    </w:p>
    <w:tbl>
      <w:tblPr>
        <w:tblW w:w="9020" w:type="dxa"/>
        <w:jc w:val="center"/>
        <w:tblLook w:val="04A0" w:firstRow="1" w:lastRow="0" w:firstColumn="1" w:lastColumn="0" w:noHBand="0" w:noVBand="1"/>
      </w:tblPr>
      <w:tblGrid>
        <w:gridCol w:w="2281"/>
        <w:gridCol w:w="1165"/>
        <w:gridCol w:w="1340"/>
        <w:gridCol w:w="1090"/>
        <w:gridCol w:w="1184"/>
        <w:gridCol w:w="940"/>
        <w:gridCol w:w="1020"/>
      </w:tblGrid>
      <w:tr w:rsidR="00805EB4" w:rsidRPr="004C66D9" w14:paraId="5D7A41E7" w14:textId="77777777" w:rsidTr="00E72162">
        <w:trPr>
          <w:trHeight w:val="870"/>
          <w:jc w:val="center"/>
        </w:trPr>
        <w:tc>
          <w:tcPr>
            <w:tcW w:w="2460" w:type="dxa"/>
            <w:tcBorders>
              <w:top w:val="nil"/>
              <w:left w:val="nil"/>
              <w:bottom w:val="single" w:sz="4" w:space="0" w:color="auto"/>
              <w:right w:val="nil"/>
            </w:tcBorders>
            <w:shd w:val="clear" w:color="auto" w:fill="auto"/>
            <w:vAlign w:val="bottom"/>
            <w:hideMark/>
          </w:tcPr>
          <w:p w14:paraId="5D83EFCA"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MHSIP Domain</w:t>
            </w:r>
          </w:p>
        </w:tc>
        <w:tc>
          <w:tcPr>
            <w:tcW w:w="1060" w:type="dxa"/>
            <w:tcBorders>
              <w:top w:val="nil"/>
              <w:left w:val="nil"/>
              <w:bottom w:val="single" w:sz="4" w:space="0" w:color="auto"/>
              <w:right w:val="nil"/>
            </w:tcBorders>
            <w:shd w:val="clear" w:color="auto" w:fill="auto"/>
            <w:vAlign w:val="bottom"/>
            <w:hideMark/>
          </w:tcPr>
          <w:p w14:paraId="29930AA6"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Races/ Ethnicities</w:t>
            </w:r>
          </w:p>
        </w:tc>
        <w:tc>
          <w:tcPr>
            <w:tcW w:w="1340" w:type="dxa"/>
            <w:tcBorders>
              <w:top w:val="nil"/>
              <w:left w:val="nil"/>
              <w:bottom w:val="nil"/>
              <w:right w:val="nil"/>
            </w:tcBorders>
            <w:shd w:val="clear" w:color="auto" w:fill="auto"/>
            <w:vAlign w:val="bottom"/>
            <w:hideMark/>
          </w:tcPr>
          <w:p w14:paraId="090C5C39" w14:textId="77777777" w:rsidR="00805EB4" w:rsidRDefault="00805EB4" w:rsidP="00E72162">
            <w:pPr>
              <w:jc w:val="center"/>
              <w:rPr>
                <w:rFonts w:cstheme="minorHAnsi"/>
                <w:b/>
                <w:bCs/>
                <w:color w:val="000000"/>
                <w:sz w:val="22"/>
                <w:szCs w:val="22"/>
              </w:rPr>
            </w:pPr>
            <w:r w:rsidRPr="004C66D9">
              <w:rPr>
                <w:rFonts w:cstheme="minorHAnsi"/>
                <w:b/>
                <w:bCs/>
                <w:color w:val="000000"/>
                <w:sz w:val="22"/>
                <w:szCs w:val="22"/>
              </w:rPr>
              <w:t>Am</w:t>
            </w:r>
            <w:r>
              <w:rPr>
                <w:rFonts w:cstheme="minorHAnsi"/>
                <w:b/>
                <w:bCs/>
                <w:color w:val="000000"/>
                <w:sz w:val="22"/>
                <w:szCs w:val="22"/>
              </w:rPr>
              <w:t xml:space="preserve"> Ind</w:t>
            </w:r>
            <w:r w:rsidRPr="004C66D9">
              <w:rPr>
                <w:rFonts w:cstheme="minorHAnsi"/>
                <w:b/>
                <w:bCs/>
                <w:color w:val="000000"/>
                <w:sz w:val="22"/>
                <w:szCs w:val="22"/>
              </w:rPr>
              <w:t xml:space="preserve">/ </w:t>
            </w:r>
          </w:p>
          <w:p w14:paraId="3A3AA8FC"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w:t>
            </w:r>
            <w:r>
              <w:rPr>
                <w:rFonts w:cstheme="minorHAnsi"/>
                <w:b/>
                <w:bCs/>
                <w:color w:val="000000"/>
                <w:sz w:val="22"/>
                <w:szCs w:val="22"/>
              </w:rPr>
              <w:t>l</w:t>
            </w:r>
            <w:r w:rsidRPr="004C66D9">
              <w:rPr>
                <w:rFonts w:cstheme="minorHAnsi"/>
                <w:b/>
                <w:bCs/>
                <w:color w:val="000000"/>
                <w:sz w:val="22"/>
                <w:szCs w:val="22"/>
              </w:rPr>
              <w:t xml:space="preserve"> Native</w:t>
            </w:r>
          </w:p>
        </w:tc>
        <w:tc>
          <w:tcPr>
            <w:tcW w:w="1020" w:type="dxa"/>
            <w:tcBorders>
              <w:top w:val="nil"/>
              <w:left w:val="nil"/>
              <w:bottom w:val="nil"/>
              <w:right w:val="nil"/>
            </w:tcBorders>
            <w:shd w:val="clear" w:color="auto" w:fill="auto"/>
            <w:vAlign w:val="bottom"/>
            <w:hideMark/>
          </w:tcPr>
          <w:p w14:paraId="7771A0D0"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Black/ African American</w:t>
            </w:r>
          </w:p>
        </w:tc>
        <w:tc>
          <w:tcPr>
            <w:tcW w:w="1180" w:type="dxa"/>
            <w:tcBorders>
              <w:top w:val="nil"/>
              <w:left w:val="nil"/>
              <w:bottom w:val="nil"/>
              <w:right w:val="nil"/>
            </w:tcBorders>
            <w:shd w:val="clear" w:color="auto" w:fill="auto"/>
            <w:vAlign w:val="bottom"/>
            <w:hideMark/>
          </w:tcPr>
          <w:p w14:paraId="5D334086"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Hispanic/ Latino/a/x</w:t>
            </w:r>
          </w:p>
        </w:tc>
        <w:tc>
          <w:tcPr>
            <w:tcW w:w="940" w:type="dxa"/>
            <w:tcBorders>
              <w:top w:val="nil"/>
              <w:left w:val="nil"/>
              <w:bottom w:val="single" w:sz="4" w:space="0" w:color="auto"/>
              <w:right w:val="nil"/>
            </w:tcBorders>
            <w:shd w:val="clear" w:color="auto" w:fill="auto"/>
            <w:vAlign w:val="bottom"/>
            <w:hideMark/>
          </w:tcPr>
          <w:p w14:paraId="123F435A"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White</w:t>
            </w:r>
          </w:p>
        </w:tc>
        <w:tc>
          <w:tcPr>
            <w:tcW w:w="1020" w:type="dxa"/>
            <w:tcBorders>
              <w:top w:val="nil"/>
              <w:left w:val="nil"/>
              <w:bottom w:val="single" w:sz="4" w:space="0" w:color="auto"/>
              <w:right w:val="nil"/>
            </w:tcBorders>
            <w:shd w:val="clear" w:color="auto" w:fill="auto"/>
            <w:vAlign w:val="bottom"/>
            <w:hideMark/>
          </w:tcPr>
          <w:p w14:paraId="2007920A" w14:textId="77777777" w:rsidR="00805EB4" w:rsidRPr="004C66D9" w:rsidRDefault="00805EB4" w:rsidP="00E72162">
            <w:pPr>
              <w:jc w:val="center"/>
              <w:rPr>
                <w:rFonts w:cstheme="minorHAnsi"/>
                <w:b/>
                <w:bCs/>
                <w:color w:val="000000"/>
                <w:sz w:val="22"/>
                <w:szCs w:val="22"/>
              </w:rPr>
            </w:pPr>
            <w:r w:rsidRPr="004C66D9">
              <w:rPr>
                <w:rFonts w:cstheme="minorHAnsi"/>
                <w:b/>
                <w:bCs/>
                <w:color w:val="000000"/>
                <w:sz w:val="22"/>
                <w:szCs w:val="22"/>
              </w:rPr>
              <w:t>All Other</w:t>
            </w:r>
          </w:p>
        </w:tc>
      </w:tr>
      <w:tr w:rsidR="00805EB4" w:rsidRPr="004C66D9" w14:paraId="1573260B" w14:textId="77777777" w:rsidTr="00E72162">
        <w:trPr>
          <w:trHeight w:val="300"/>
          <w:jc w:val="center"/>
        </w:trPr>
        <w:tc>
          <w:tcPr>
            <w:tcW w:w="2460" w:type="dxa"/>
            <w:tcBorders>
              <w:top w:val="nil"/>
              <w:left w:val="nil"/>
              <w:bottom w:val="nil"/>
              <w:right w:val="nil"/>
            </w:tcBorders>
            <w:shd w:val="clear" w:color="auto" w:fill="auto"/>
            <w:vAlign w:val="center"/>
            <w:hideMark/>
          </w:tcPr>
          <w:p w14:paraId="363F2491"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Access to Services</w:t>
            </w:r>
          </w:p>
        </w:tc>
        <w:tc>
          <w:tcPr>
            <w:tcW w:w="1060" w:type="dxa"/>
            <w:tcBorders>
              <w:top w:val="nil"/>
              <w:left w:val="nil"/>
              <w:bottom w:val="nil"/>
              <w:right w:val="nil"/>
            </w:tcBorders>
            <w:shd w:val="clear" w:color="auto" w:fill="auto"/>
            <w:noWrap/>
            <w:vAlign w:val="bottom"/>
            <w:hideMark/>
          </w:tcPr>
          <w:p w14:paraId="2F6AACDD" w14:textId="77777777" w:rsidR="00805EB4" w:rsidRPr="004C66D9" w:rsidRDefault="00805EB4" w:rsidP="00E72162">
            <w:pPr>
              <w:rPr>
                <w:rFonts w:cstheme="minorHAnsi"/>
                <w:b/>
                <w:bCs/>
                <w:color w:val="000000"/>
                <w:sz w:val="22"/>
                <w:szCs w:val="22"/>
              </w:rPr>
            </w:pPr>
          </w:p>
        </w:tc>
        <w:tc>
          <w:tcPr>
            <w:tcW w:w="1340" w:type="dxa"/>
            <w:tcBorders>
              <w:top w:val="single" w:sz="4" w:space="0" w:color="auto"/>
              <w:left w:val="nil"/>
              <w:bottom w:val="nil"/>
              <w:right w:val="nil"/>
            </w:tcBorders>
            <w:shd w:val="clear" w:color="auto" w:fill="auto"/>
            <w:noWrap/>
            <w:vAlign w:val="bottom"/>
            <w:hideMark/>
          </w:tcPr>
          <w:p w14:paraId="2A765A20"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020" w:type="dxa"/>
            <w:tcBorders>
              <w:top w:val="single" w:sz="4" w:space="0" w:color="auto"/>
              <w:left w:val="nil"/>
              <w:bottom w:val="nil"/>
              <w:right w:val="nil"/>
            </w:tcBorders>
            <w:shd w:val="clear" w:color="auto" w:fill="auto"/>
            <w:noWrap/>
            <w:vAlign w:val="bottom"/>
            <w:hideMark/>
          </w:tcPr>
          <w:p w14:paraId="196C4E2D"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1180" w:type="dxa"/>
            <w:tcBorders>
              <w:top w:val="single" w:sz="4" w:space="0" w:color="auto"/>
              <w:left w:val="nil"/>
              <w:bottom w:val="nil"/>
              <w:right w:val="nil"/>
            </w:tcBorders>
            <w:shd w:val="clear" w:color="auto" w:fill="auto"/>
            <w:noWrap/>
            <w:vAlign w:val="bottom"/>
            <w:hideMark/>
          </w:tcPr>
          <w:p w14:paraId="6AFFD1F0" w14:textId="77777777" w:rsidR="00805EB4" w:rsidRPr="004C66D9" w:rsidRDefault="00805EB4" w:rsidP="00E72162">
            <w:pPr>
              <w:rPr>
                <w:rFonts w:cstheme="minorHAnsi"/>
                <w:color w:val="000000"/>
                <w:sz w:val="22"/>
                <w:szCs w:val="22"/>
              </w:rPr>
            </w:pPr>
            <w:r w:rsidRPr="004C66D9">
              <w:rPr>
                <w:rFonts w:cstheme="minorHAnsi"/>
                <w:color w:val="000000"/>
                <w:sz w:val="22"/>
                <w:szCs w:val="22"/>
              </w:rPr>
              <w:t> </w:t>
            </w:r>
          </w:p>
        </w:tc>
        <w:tc>
          <w:tcPr>
            <w:tcW w:w="940" w:type="dxa"/>
            <w:tcBorders>
              <w:top w:val="nil"/>
              <w:left w:val="nil"/>
              <w:bottom w:val="nil"/>
              <w:right w:val="nil"/>
            </w:tcBorders>
            <w:shd w:val="clear" w:color="auto" w:fill="auto"/>
            <w:noWrap/>
            <w:vAlign w:val="bottom"/>
            <w:hideMark/>
          </w:tcPr>
          <w:p w14:paraId="7325C9DD" w14:textId="77777777" w:rsidR="00805EB4" w:rsidRPr="004C66D9" w:rsidRDefault="00805EB4" w:rsidP="00E72162">
            <w:pPr>
              <w:rPr>
                <w:rFonts w:cstheme="minorHAnsi"/>
                <w:color w:val="000000"/>
                <w:sz w:val="22"/>
                <w:szCs w:val="22"/>
              </w:rPr>
            </w:pPr>
          </w:p>
        </w:tc>
        <w:tc>
          <w:tcPr>
            <w:tcW w:w="1020" w:type="dxa"/>
            <w:tcBorders>
              <w:top w:val="nil"/>
              <w:left w:val="nil"/>
              <w:bottom w:val="nil"/>
              <w:right w:val="nil"/>
            </w:tcBorders>
            <w:shd w:val="clear" w:color="auto" w:fill="auto"/>
            <w:noWrap/>
            <w:vAlign w:val="bottom"/>
            <w:hideMark/>
          </w:tcPr>
          <w:p w14:paraId="0BBE0FDC" w14:textId="77777777" w:rsidR="00805EB4" w:rsidRPr="004C66D9" w:rsidRDefault="00805EB4" w:rsidP="00E72162">
            <w:pPr>
              <w:rPr>
                <w:rFonts w:cstheme="minorHAnsi"/>
                <w:sz w:val="22"/>
                <w:szCs w:val="22"/>
              </w:rPr>
            </w:pPr>
          </w:p>
        </w:tc>
      </w:tr>
      <w:tr w:rsidR="00805EB4" w:rsidRPr="004C66D9" w14:paraId="75F6C4EE" w14:textId="77777777" w:rsidTr="00E72162">
        <w:trPr>
          <w:trHeight w:val="300"/>
          <w:jc w:val="center"/>
        </w:trPr>
        <w:tc>
          <w:tcPr>
            <w:tcW w:w="2460" w:type="dxa"/>
            <w:tcBorders>
              <w:top w:val="nil"/>
              <w:left w:val="nil"/>
              <w:bottom w:val="nil"/>
              <w:right w:val="nil"/>
            </w:tcBorders>
            <w:shd w:val="clear" w:color="auto" w:fill="auto"/>
            <w:vAlign w:val="center"/>
            <w:hideMark/>
          </w:tcPr>
          <w:p w14:paraId="7D87338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46D0E9C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340" w:type="dxa"/>
            <w:tcBorders>
              <w:top w:val="nil"/>
              <w:left w:val="nil"/>
              <w:bottom w:val="nil"/>
              <w:right w:val="nil"/>
            </w:tcBorders>
            <w:shd w:val="clear" w:color="auto" w:fill="auto"/>
            <w:vAlign w:val="center"/>
            <w:hideMark/>
          </w:tcPr>
          <w:p w14:paraId="57A6785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020" w:type="dxa"/>
            <w:tcBorders>
              <w:top w:val="nil"/>
              <w:left w:val="nil"/>
              <w:bottom w:val="nil"/>
              <w:right w:val="nil"/>
            </w:tcBorders>
            <w:shd w:val="clear" w:color="auto" w:fill="auto"/>
            <w:vAlign w:val="center"/>
            <w:hideMark/>
          </w:tcPr>
          <w:p w14:paraId="2863D97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180" w:type="dxa"/>
            <w:tcBorders>
              <w:top w:val="nil"/>
              <w:left w:val="nil"/>
              <w:bottom w:val="nil"/>
              <w:right w:val="nil"/>
            </w:tcBorders>
            <w:shd w:val="clear" w:color="auto" w:fill="auto"/>
            <w:vAlign w:val="center"/>
            <w:hideMark/>
          </w:tcPr>
          <w:p w14:paraId="199B13C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noWrap/>
            <w:vAlign w:val="bottom"/>
            <w:hideMark/>
          </w:tcPr>
          <w:p w14:paraId="6D52C02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noWrap/>
            <w:vAlign w:val="bottom"/>
            <w:hideMark/>
          </w:tcPr>
          <w:p w14:paraId="1AA2E34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0.45</w:t>
            </w:r>
          </w:p>
        </w:tc>
      </w:tr>
      <w:tr w:rsidR="00805EB4" w:rsidRPr="004C66D9" w14:paraId="556D4494" w14:textId="77777777" w:rsidTr="00E72162">
        <w:trPr>
          <w:trHeight w:val="300"/>
          <w:jc w:val="center"/>
        </w:trPr>
        <w:tc>
          <w:tcPr>
            <w:tcW w:w="2460" w:type="dxa"/>
            <w:tcBorders>
              <w:top w:val="nil"/>
              <w:left w:val="nil"/>
              <w:bottom w:val="nil"/>
              <w:right w:val="nil"/>
            </w:tcBorders>
            <w:shd w:val="clear" w:color="auto" w:fill="auto"/>
            <w:vAlign w:val="center"/>
            <w:hideMark/>
          </w:tcPr>
          <w:p w14:paraId="16EDD50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D11224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340" w:type="dxa"/>
            <w:tcBorders>
              <w:top w:val="nil"/>
              <w:left w:val="nil"/>
              <w:bottom w:val="nil"/>
              <w:right w:val="nil"/>
            </w:tcBorders>
            <w:shd w:val="clear" w:color="auto" w:fill="auto"/>
            <w:vAlign w:val="center"/>
            <w:hideMark/>
          </w:tcPr>
          <w:p w14:paraId="555C463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4FFDCE8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180" w:type="dxa"/>
            <w:tcBorders>
              <w:top w:val="nil"/>
              <w:left w:val="nil"/>
              <w:bottom w:val="nil"/>
              <w:right w:val="nil"/>
            </w:tcBorders>
            <w:shd w:val="clear" w:color="auto" w:fill="auto"/>
            <w:noWrap/>
            <w:vAlign w:val="bottom"/>
            <w:hideMark/>
          </w:tcPr>
          <w:p w14:paraId="56E9974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noWrap/>
            <w:vAlign w:val="bottom"/>
            <w:hideMark/>
          </w:tcPr>
          <w:p w14:paraId="5A5DE83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noWrap/>
            <w:vAlign w:val="bottom"/>
            <w:hideMark/>
          </w:tcPr>
          <w:p w14:paraId="5FA198BC"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-0.29</w:t>
            </w:r>
          </w:p>
        </w:tc>
      </w:tr>
      <w:tr w:rsidR="00805EB4" w:rsidRPr="004C66D9" w14:paraId="5A8C930C" w14:textId="77777777" w:rsidTr="00E72162">
        <w:trPr>
          <w:trHeight w:val="300"/>
          <w:jc w:val="center"/>
        </w:trPr>
        <w:tc>
          <w:tcPr>
            <w:tcW w:w="2460" w:type="dxa"/>
            <w:tcBorders>
              <w:top w:val="nil"/>
              <w:left w:val="nil"/>
              <w:bottom w:val="nil"/>
              <w:right w:val="nil"/>
            </w:tcBorders>
            <w:shd w:val="clear" w:color="auto" w:fill="auto"/>
            <w:vAlign w:val="center"/>
            <w:hideMark/>
          </w:tcPr>
          <w:p w14:paraId="5BECCB43"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Appropriateness</w:t>
            </w:r>
          </w:p>
        </w:tc>
        <w:tc>
          <w:tcPr>
            <w:tcW w:w="1060" w:type="dxa"/>
            <w:tcBorders>
              <w:top w:val="nil"/>
              <w:left w:val="nil"/>
              <w:bottom w:val="nil"/>
              <w:right w:val="nil"/>
            </w:tcBorders>
            <w:shd w:val="clear" w:color="auto" w:fill="auto"/>
            <w:noWrap/>
            <w:vAlign w:val="bottom"/>
            <w:hideMark/>
          </w:tcPr>
          <w:p w14:paraId="263EBFF4"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056BBB9"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A6C7802"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1E44A95D"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4B2216F2"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5D72AA9" w14:textId="77777777" w:rsidR="00805EB4" w:rsidRPr="004C66D9" w:rsidRDefault="00805EB4" w:rsidP="00E72162">
            <w:pPr>
              <w:rPr>
                <w:rFonts w:cstheme="minorHAnsi"/>
                <w:sz w:val="22"/>
                <w:szCs w:val="22"/>
              </w:rPr>
            </w:pPr>
          </w:p>
        </w:tc>
      </w:tr>
      <w:tr w:rsidR="00805EB4" w:rsidRPr="004C66D9" w14:paraId="16981972" w14:textId="77777777" w:rsidTr="00E72162">
        <w:trPr>
          <w:trHeight w:val="300"/>
          <w:jc w:val="center"/>
        </w:trPr>
        <w:tc>
          <w:tcPr>
            <w:tcW w:w="2460" w:type="dxa"/>
            <w:tcBorders>
              <w:top w:val="nil"/>
              <w:left w:val="nil"/>
              <w:bottom w:val="nil"/>
              <w:right w:val="nil"/>
            </w:tcBorders>
            <w:shd w:val="clear" w:color="auto" w:fill="auto"/>
            <w:vAlign w:val="center"/>
            <w:hideMark/>
          </w:tcPr>
          <w:p w14:paraId="5DF224B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D77C698"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0.12</w:t>
            </w:r>
          </w:p>
        </w:tc>
        <w:tc>
          <w:tcPr>
            <w:tcW w:w="1340" w:type="dxa"/>
            <w:tcBorders>
              <w:top w:val="nil"/>
              <w:left w:val="nil"/>
              <w:bottom w:val="nil"/>
              <w:right w:val="nil"/>
            </w:tcBorders>
            <w:shd w:val="clear" w:color="auto" w:fill="auto"/>
            <w:vAlign w:val="center"/>
            <w:hideMark/>
          </w:tcPr>
          <w:p w14:paraId="670A729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0.20</w:t>
            </w:r>
          </w:p>
        </w:tc>
        <w:tc>
          <w:tcPr>
            <w:tcW w:w="1020" w:type="dxa"/>
            <w:tcBorders>
              <w:top w:val="nil"/>
              <w:left w:val="nil"/>
              <w:bottom w:val="nil"/>
              <w:right w:val="nil"/>
            </w:tcBorders>
            <w:shd w:val="clear" w:color="auto" w:fill="auto"/>
            <w:vAlign w:val="center"/>
            <w:hideMark/>
          </w:tcPr>
          <w:p w14:paraId="16DAB54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0.31</w:t>
            </w:r>
          </w:p>
        </w:tc>
        <w:tc>
          <w:tcPr>
            <w:tcW w:w="1180" w:type="dxa"/>
            <w:tcBorders>
              <w:top w:val="nil"/>
              <w:left w:val="nil"/>
              <w:bottom w:val="nil"/>
              <w:right w:val="nil"/>
            </w:tcBorders>
            <w:shd w:val="clear" w:color="auto" w:fill="auto"/>
            <w:vAlign w:val="center"/>
            <w:hideMark/>
          </w:tcPr>
          <w:p w14:paraId="5F68C43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940" w:type="dxa"/>
            <w:tcBorders>
              <w:top w:val="nil"/>
              <w:left w:val="nil"/>
              <w:bottom w:val="nil"/>
              <w:right w:val="nil"/>
            </w:tcBorders>
            <w:shd w:val="clear" w:color="auto" w:fill="auto"/>
            <w:noWrap/>
            <w:vAlign w:val="bottom"/>
            <w:hideMark/>
          </w:tcPr>
          <w:p w14:paraId="513BB1D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nil"/>
              <w:right w:val="nil"/>
            </w:tcBorders>
            <w:shd w:val="clear" w:color="auto" w:fill="auto"/>
            <w:noWrap/>
            <w:vAlign w:val="bottom"/>
            <w:hideMark/>
          </w:tcPr>
          <w:p w14:paraId="7A2272B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0.29</w:t>
            </w:r>
          </w:p>
        </w:tc>
      </w:tr>
      <w:tr w:rsidR="00805EB4" w:rsidRPr="004C66D9" w14:paraId="75F69831" w14:textId="77777777" w:rsidTr="00E72162">
        <w:trPr>
          <w:trHeight w:val="300"/>
          <w:jc w:val="center"/>
        </w:trPr>
        <w:tc>
          <w:tcPr>
            <w:tcW w:w="2460" w:type="dxa"/>
            <w:tcBorders>
              <w:top w:val="nil"/>
              <w:left w:val="nil"/>
              <w:bottom w:val="nil"/>
              <w:right w:val="nil"/>
            </w:tcBorders>
            <w:shd w:val="clear" w:color="auto" w:fill="auto"/>
            <w:vAlign w:val="center"/>
            <w:hideMark/>
          </w:tcPr>
          <w:p w14:paraId="6414F62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13349B9A"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0.22</w:t>
            </w:r>
          </w:p>
        </w:tc>
        <w:tc>
          <w:tcPr>
            <w:tcW w:w="1340" w:type="dxa"/>
            <w:tcBorders>
              <w:top w:val="nil"/>
              <w:left w:val="nil"/>
              <w:bottom w:val="nil"/>
              <w:right w:val="nil"/>
            </w:tcBorders>
            <w:shd w:val="clear" w:color="auto" w:fill="auto"/>
            <w:vAlign w:val="center"/>
            <w:hideMark/>
          </w:tcPr>
          <w:p w14:paraId="64421D7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020" w:type="dxa"/>
            <w:tcBorders>
              <w:top w:val="nil"/>
              <w:left w:val="nil"/>
              <w:bottom w:val="nil"/>
              <w:right w:val="nil"/>
            </w:tcBorders>
            <w:shd w:val="clear" w:color="auto" w:fill="auto"/>
            <w:vAlign w:val="center"/>
            <w:hideMark/>
          </w:tcPr>
          <w:p w14:paraId="577132C0"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0.60</w:t>
            </w:r>
          </w:p>
        </w:tc>
        <w:tc>
          <w:tcPr>
            <w:tcW w:w="1180" w:type="dxa"/>
            <w:tcBorders>
              <w:top w:val="nil"/>
              <w:left w:val="nil"/>
              <w:bottom w:val="nil"/>
              <w:right w:val="nil"/>
            </w:tcBorders>
            <w:shd w:val="clear" w:color="auto" w:fill="auto"/>
            <w:noWrap/>
            <w:vAlign w:val="bottom"/>
            <w:hideMark/>
          </w:tcPr>
          <w:p w14:paraId="2CB4C565"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0.36</w:t>
            </w:r>
          </w:p>
        </w:tc>
        <w:tc>
          <w:tcPr>
            <w:tcW w:w="940" w:type="dxa"/>
            <w:tcBorders>
              <w:top w:val="nil"/>
              <w:left w:val="nil"/>
              <w:bottom w:val="nil"/>
              <w:right w:val="nil"/>
            </w:tcBorders>
            <w:shd w:val="clear" w:color="auto" w:fill="auto"/>
            <w:noWrap/>
            <w:vAlign w:val="bottom"/>
            <w:hideMark/>
          </w:tcPr>
          <w:p w14:paraId="2E057EC5"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0.17</w:t>
            </w:r>
          </w:p>
        </w:tc>
        <w:tc>
          <w:tcPr>
            <w:tcW w:w="1020" w:type="dxa"/>
            <w:tcBorders>
              <w:top w:val="nil"/>
              <w:left w:val="nil"/>
              <w:bottom w:val="nil"/>
              <w:right w:val="nil"/>
            </w:tcBorders>
            <w:shd w:val="clear" w:color="auto" w:fill="auto"/>
            <w:noWrap/>
            <w:vAlign w:val="bottom"/>
            <w:hideMark/>
          </w:tcPr>
          <w:p w14:paraId="23DD258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-0.12</w:t>
            </w:r>
          </w:p>
        </w:tc>
      </w:tr>
      <w:tr w:rsidR="00805EB4" w:rsidRPr="004C66D9" w14:paraId="1393B191" w14:textId="77777777" w:rsidTr="00E72162">
        <w:trPr>
          <w:trHeight w:val="300"/>
          <w:jc w:val="center"/>
        </w:trPr>
        <w:tc>
          <w:tcPr>
            <w:tcW w:w="2460" w:type="dxa"/>
            <w:tcBorders>
              <w:top w:val="nil"/>
              <w:left w:val="nil"/>
              <w:bottom w:val="nil"/>
              <w:right w:val="nil"/>
            </w:tcBorders>
            <w:shd w:val="clear" w:color="auto" w:fill="auto"/>
            <w:vAlign w:val="center"/>
            <w:hideMark/>
          </w:tcPr>
          <w:p w14:paraId="10398751"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Social Connectedness</w:t>
            </w:r>
          </w:p>
        </w:tc>
        <w:tc>
          <w:tcPr>
            <w:tcW w:w="1060" w:type="dxa"/>
            <w:tcBorders>
              <w:top w:val="nil"/>
              <w:left w:val="nil"/>
              <w:bottom w:val="nil"/>
              <w:right w:val="nil"/>
            </w:tcBorders>
            <w:shd w:val="clear" w:color="auto" w:fill="auto"/>
            <w:noWrap/>
            <w:vAlign w:val="bottom"/>
            <w:hideMark/>
          </w:tcPr>
          <w:p w14:paraId="0A08D71E"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0313F37"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4C52E5FD"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234DFFEA"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025F8828"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5F71956" w14:textId="77777777" w:rsidR="00805EB4" w:rsidRPr="004C66D9" w:rsidRDefault="00805EB4" w:rsidP="00E72162">
            <w:pPr>
              <w:rPr>
                <w:rFonts w:cstheme="minorHAnsi"/>
                <w:sz w:val="22"/>
                <w:szCs w:val="22"/>
              </w:rPr>
            </w:pPr>
          </w:p>
        </w:tc>
      </w:tr>
      <w:tr w:rsidR="00805EB4" w:rsidRPr="004C66D9" w14:paraId="41DF66C4" w14:textId="77777777" w:rsidTr="00E72162">
        <w:trPr>
          <w:trHeight w:val="300"/>
          <w:jc w:val="center"/>
        </w:trPr>
        <w:tc>
          <w:tcPr>
            <w:tcW w:w="2460" w:type="dxa"/>
            <w:tcBorders>
              <w:top w:val="nil"/>
              <w:left w:val="nil"/>
              <w:bottom w:val="nil"/>
              <w:right w:val="nil"/>
            </w:tcBorders>
            <w:shd w:val="clear" w:color="auto" w:fill="auto"/>
            <w:vAlign w:val="center"/>
            <w:hideMark/>
          </w:tcPr>
          <w:p w14:paraId="240FD06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0DBBF41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vAlign w:val="center"/>
            <w:hideMark/>
          </w:tcPr>
          <w:p w14:paraId="7E90C27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nil"/>
              <w:right w:val="nil"/>
            </w:tcBorders>
            <w:shd w:val="clear" w:color="auto" w:fill="auto"/>
            <w:vAlign w:val="center"/>
            <w:hideMark/>
          </w:tcPr>
          <w:p w14:paraId="128054F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180" w:type="dxa"/>
            <w:tcBorders>
              <w:top w:val="nil"/>
              <w:left w:val="nil"/>
              <w:bottom w:val="nil"/>
              <w:right w:val="nil"/>
            </w:tcBorders>
            <w:shd w:val="clear" w:color="auto" w:fill="auto"/>
            <w:vAlign w:val="center"/>
            <w:hideMark/>
          </w:tcPr>
          <w:p w14:paraId="6047B75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0.10</w:t>
            </w:r>
          </w:p>
        </w:tc>
        <w:tc>
          <w:tcPr>
            <w:tcW w:w="940" w:type="dxa"/>
            <w:tcBorders>
              <w:top w:val="nil"/>
              <w:left w:val="nil"/>
              <w:bottom w:val="nil"/>
              <w:right w:val="nil"/>
            </w:tcBorders>
            <w:shd w:val="clear" w:color="auto" w:fill="auto"/>
            <w:noWrap/>
            <w:vAlign w:val="bottom"/>
            <w:hideMark/>
          </w:tcPr>
          <w:p w14:paraId="3A51158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noWrap/>
            <w:vAlign w:val="bottom"/>
            <w:hideMark/>
          </w:tcPr>
          <w:p w14:paraId="53B42AE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0.58</w:t>
            </w:r>
          </w:p>
        </w:tc>
      </w:tr>
      <w:tr w:rsidR="00805EB4" w:rsidRPr="004C66D9" w14:paraId="1ED3A9DC" w14:textId="77777777" w:rsidTr="00E72162">
        <w:trPr>
          <w:trHeight w:val="300"/>
          <w:jc w:val="center"/>
        </w:trPr>
        <w:tc>
          <w:tcPr>
            <w:tcW w:w="2460" w:type="dxa"/>
            <w:tcBorders>
              <w:top w:val="nil"/>
              <w:left w:val="nil"/>
              <w:bottom w:val="nil"/>
              <w:right w:val="nil"/>
            </w:tcBorders>
            <w:shd w:val="clear" w:color="auto" w:fill="auto"/>
            <w:vAlign w:val="center"/>
            <w:hideMark/>
          </w:tcPr>
          <w:p w14:paraId="32764E8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7FAFB5B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12DBD09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c>
          <w:tcPr>
            <w:tcW w:w="1020" w:type="dxa"/>
            <w:tcBorders>
              <w:top w:val="nil"/>
              <w:left w:val="nil"/>
              <w:bottom w:val="nil"/>
              <w:right w:val="nil"/>
            </w:tcBorders>
            <w:shd w:val="clear" w:color="auto" w:fill="auto"/>
            <w:vAlign w:val="center"/>
            <w:hideMark/>
          </w:tcPr>
          <w:p w14:paraId="15DD8B2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180" w:type="dxa"/>
            <w:tcBorders>
              <w:top w:val="nil"/>
              <w:left w:val="nil"/>
              <w:bottom w:val="nil"/>
              <w:right w:val="nil"/>
            </w:tcBorders>
            <w:shd w:val="clear" w:color="auto" w:fill="auto"/>
            <w:noWrap/>
            <w:vAlign w:val="bottom"/>
            <w:hideMark/>
          </w:tcPr>
          <w:p w14:paraId="6F30BC72"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940" w:type="dxa"/>
            <w:tcBorders>
              <w:top w:val="nil"/>
              <w:left w:val="nil"/>
              <w:bottom w:val="nil"/>
              <w:right w:val="nil"/>
            </w:tcBorders>
            <w:shd w:val="clear" w:color="auto" w:fill="auto"/>
            <w:noWrap/>
            <w:vAlign w:val="bottom"/>
            <w:hideMark/>
          </w:tcPr>
          <w:p w14:paraId="3BBA5AB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noWrap/>
            <w:vAlign w:val="bottom"/>
            <w:hideMark/>
          </w:tcPr>
          <w:p w14:paraId="7737480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r>
      <w:tr w:rsidR="00805EB4" w:rsidRPr="004C66D9" w14:paraId="521B3837" w14:textId="77777777" w:rsidTr="00E72162">
        <w:trPr>
          <w:trHeight w:val="300"/>
          <w:jc w:val="center"/>
        </w:trPr>
        <w:tc>
          <w:tcPr>
            <w:tcW w:w="2460" w:type="dxa"/>
            <w:tcBorders>
              <w:top w:val="nil"/>
              <w:left w:val="nil"/>
              <w:bottom w:val="nil"/>
              <w:right w:val="nil"/>
            </w:tcBorders>
            <w:shd w:val="clear" w:color="auto" w:fill="auto"/>
            <w:vAlign w:val="center"/>
            <w:hideMark/>
          </w:tcPr>
          <w:p w14:paraId="39282B13"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Cultural Sensitivity</w:t>
            </w:r>
          </w:p>
        </w:tc>
        <w:tc>
          <w:tcPr>
            <w:tcW w:w="1060" w:type="dxa"/>
            <w:tcBorders>
              <w:top w:val="nil"/>
              <w:left w:val="nil"/>
              <w:bottom w:val="nil"/>
              <w:right w:val="nil"/>
            </w:tcBorders>
            <w:shd w:val="clear" w:color="auto" w:fill="auto"/>
            <w:noWrap/>
            <w:vAlign w:val="bottom"/>
            <w:hideMark/>
          </w:tcPr>
          <w:p w14:paraId="55093CB0"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5E69FC09"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2F6C5C7"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700E3B55"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D071620"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43E8B958" w14:textId="77777777" w:rsidR="00805EB4" w:rsidRPr="004C66D9" w:rsidRDefault="00805EB4" w:rsidP="00E72162">
            <w:pPr>
              <w:rPr>
                <w:rFonts w:cstheme="minorHAnsi"/>
                <w:sz w:val="22"/>
                <w:szCs w:val="22"/>
              </w:rPr>
            </w:pPr>
          </w:p>
        </w:tc>
      </w:tr>
      <w:tr w:rsidR="00805EB4" w:rsidRPr="004C66D9" w14:paraId="5F536D74" w14:textId="77777777" w:rsidTr="00E72162">
        <w:trPr>
          <w:trHeight w:val="300"/>
          <w:jc w:val="center"/>
        </w:trPr>
        <w:tc>
          <w:tcPr>
            <w:tcW w:w="2460" w:type="dxa"/>
            <w:tcBorders>
              <w:top w:val="nil"/>
              <w:left w:val="nil"/>
              <w:bottom w:val="nil"/>
              <w:right w:val="nil"/>
            </w:tcBorders>
            <w:shd w:val="clear" w:color="auto" w:fill="auto"/>
            <w:vAlign w:val="center"/>
            <w:hideMark/>
          </w:tcPr>
          <w:p w14:paraId="7948684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69D44A0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340" w:type="dxa"/>
            <w:tcBorders>
              <w:top w:val="nil"/>
              <w:left w:val="nil"/>
              <w:bottom w:val="nil"/>
              <w:right w:val="nil"/>
            </w:tcBorders>
            <w:shd w:val="clear" w:color="auto" w:fill="auto"/>
            <w:vAlign w:val="center"/>
            <w:hideMark/>
          </w:tcPr>
          <w:p w14:paraId="10289BE1"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c>
          <w:tcPr>
            <w:tcW w:w="1020" w:type="dxa"/>
            <w:tcBorders>
              <w:top w:val="nil"/>
              <w:left w:val="nil"/>
              <w:bottom w:val="nil"/>
              <w:right w:val="nil"/>
            </w:tcBorders>
            <w:shd w:val="clear" w:color="auto" w:fill="auto"/>
            <w:vAlign w:val="center"/>
            <w:hideMark/>
          </w:tcPr>
          <w:p w14:paraId="00F0B61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180" w:type="dxa"/>
            <w:tcBorders>
              <w:top w:val="nil"/>
              <w:left w:val="nil"/>
              <w:bottom w:val="nil"/>
              <w:right w:val="nil"/>
            </w:tcBorders>
            <w:shd w:val="clear" w:color="auto" w:fill="auto"/>
            <w:vAlign w:val="center"/>
            <w:hideMark/>
          </w:tcPr>
          <w:p w14:paraId="2D8688C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noWrap/>
            <w:vAlign w:val="bottom"/>
            <w:hideMark/>
          </w:tcPr>
          <w:p w14:paraId="1D399D1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noWrap/>
            <w:vAlign w:val="bottom"/>
            <w:hideMark/>
          </w:tcPr>
          <w:p w14:paraId="464BA70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r>
      <w:tr w:rsidR="00805EB4" w:rsidRPr="004C66D9" w14:paraId="45CDA089" w14:textId="77777777" w:rsidTr="00E72162">
        <w:trPr>
          <w:trHeight w:val="300"/>
          <w:jc w:val="center"/>
        </w:trPr>
        <w:tc>
          <w:tcPr>
            <w:tcW w:w="2460" w:type="dxa"/>
            <w:tcBorders>
              <w:top w:val="nil"/>
              <w:left w:val="nil"/>
              <w:bottom w:val="nil"/>
              <w:right w:val="nil"/>
            </w:tcBorders>
            <w:shd w:val="clear" w:color="auto" w:fill="auto"/>
            <w:vAlign w:val="center"/>
            <w:hideMark/>
          </w:tcPr>
          <w:p w14:paraId="1E9ADC4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3600465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4396345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7462E02B"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0.35</w:t>
            </w:r>
          </w:p>
        </w:tc>
        <w:tc>
          <w:tcPr>
            <w:tcW w:w="1180" w:type="dxa"/>
            <w:tcBorders>
              <w:top w:val="nil"/>
              <w:left w:val="nil"/>
              <w:bottom w:val="nil"/>
              <w:right w:val="nil"/>
            </w:tcBorders>
            <w:shd w:val="clear" w:color="auto" w:fill="auto"/>
            <w:noWrap/>
            <w:vAlign w:val="bottom"/>
            <w:hideMark/>
          </w:tcPr>
          <w:p w14:paraId="103EC76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-0.02</w:t>
            </w:r>
          </w:p>
        </w:tc>
        <w:tc>
          <w:tcPr>
            <w:tcW w:w="940" w:type="dxa"/>
            <w:tcBorders>
              <w:top w:val="nil"/>
              <w:left w:val="nil"/>
              <w:bottom w:val="nil"/>
              <w:right w:val="nil"/>
            </w:tcBorders>
            <w:shd w:val="clear" w:color="auto" w:fill="auto"/>
            <w:noWrap/>
            <w:vAlign w:val="bottom"/>
            <w:hideMark/>
          </w:tcPr>
          <w:p w14:paraId="5374CF4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noWrap/>
            <w:vAlign w:val="bottom"/>
            <w:hideMark/>
          </w:tcPr>
          <w:p w14:paraId="434193B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0.15</w:t>
            </w:r>
          </w:p>
        </w:tc>
      </w:tr>
      <w:tr w:rsidR="00805EB4" w:rsidRPr="004C66D9" w14:paraId="67D2FBA7" w14:textId="77777777" w:rsidTr="00E72162">
        <w:trPr>
          <w:trHeight w:val="300"/>
          <w:jc w:val="center"/>
        </w:trPr>
        <w:tc>
          <w:tcPr>
            <w:tcW w:w="2460" w:type="dxa"/>
            <w:tcBorders>
              <w:top w:val="nil"/>
              <w:left w:val="nil"/>
              <w:bottom w:val="nil"/>
              <w:right w:val="nil"/>
            </w:tcBorders>
            <w:shd w:val="clear" w:color="auto" w:fill="auto"/>
            <w:vAlign w:val="center"/>
            <w:hideMark/>
          </w:tcPr>
          <w:p w14:paraId="7C9490AA"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Daily Functioning</w:t>
            </w:r>
          </w:p>
        </w:tc>
        <w:tc>
          <w:tcPr>
            <w:tcW w:w="1060" w:type="dxa"/>
            <w:tcBorders>
              <w:top w:val="nil"/>
              <w:left w:val="nil"/>
              <w:bottom w:val="nil"/>
              <w:right w:val="nil"/>
            </w:tcBorders>
            <w:shd w:val="clear" w:color="auto" w:fill="auto"/>
            <w:noWrap/>
            <w:vAlign w:val="bottom"/>
            <w:hideMark/>
          </w:tcPr>
          <w:p w14:paraId="6A7ED559"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ECBA075"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4D77C47"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59C7661D"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51A55AD3"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4F9A26E5" w14:textId="77777777" w:rsidR="00805EB4" w:rsidRPr="004C66D9" w:rsidRDefault="00805EB4" w:rsidP="00E72162">
            <w:pPr>
              <w:rPr>
                <w:rFonts w:cstheme="minorHAnsi"/>
                <w:sz w:val="22"/>
                <w:szCs w:val="22"/>
              </w:rPr>
            </w:pPr>
          </w:p>
        </w:tc>
      </w:tr>
      <w:tr w:rsidR="00805EB4" w:rsidRPr="004C66D9" w14:paraId="1C538D62" w14:textId="77777777" w:rsidTr="00E72162">
        <w:trPr>
          <w:trHeight w:val="300"/>
          <w:jc w:val="center"/>
        </w:trPr>
        <w:tc>
          <w:tcPr>
            <w:tcW w:w="2460" w:type="dxa"/>
            <w:tcBorders>
              <w:top w:val="nil"/>
              <w:left w:val="nil"/>
              <w:bottom w:val="nil"/>
              <w:right w:val="nil"/>
            </w:tcBorders>
            <w:shd w:val="clear" w:color="auto" w:fill="auto"/>
            <w:vAlign w:val="center"/>
            <w:hideMark/>
          </w:tcPr>
          <w:p w14:paraId="240D150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4ED765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44E14FD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c>
          <w:tcPr>
            <w:tcW w:w="1020" w:type="dxa"/>
            <w:tcBorders>
              <w:top w:val="nil"/>
              <w:left w:val="nil"/>
              <w:bottom w:val="nil"/>
              <w:right w:val="nil"/>
            </w:tcBorders>
            <w:shd w:val="clear" w:color="auto" w:fill="auto"/>
            <w:vAlign w:val="center"/>
            <w:hideMark/>
          </w:tcPr>
          <w:p w14:paraId="12C1482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0.63</w:t>
            </w:r>
          </w:p>
        </w:tc>
        <w:tc>
          <w:tcPr>
            <w:tcW w:w="1180" w:type="dxa"/>
            <w:tcBorders>
              <w:top w:val="nil"/>
              <w:left w:val="nil"/>
              <w:bottom w:val="nil"/>
              <w:right w:val="nil"/>
            </w:tcBorders>
            <w:shd w:val="clear" w:color="auto" w:fill="auto"/>
            <w:vAlign w:val="center"/>
            <w:hideMark/>
          </w:tcPr>
          <w:p w14:paraId="1BF9872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-0.04</w:t>
            </w:r>
          </w:p>
        </w:tc>
        <w:tc>
          <w:tcPr>
            <w:tcW w:w="940" w:type="dxa"/>
            <w:tcBorders>
              <w:top w:val="nil"/>
              <w:left w:val="nil"/>
              <w:bottom w:val="nil"/>
              <w:right w:val="nil"/>
            </w:tcBorders>
            <w:shd w:val="clear" w:color="auto" w:fill="auto"/>
            <w:noWrap/>
            <w:vAlign w:val="bottom"/>
            <w:hideMark/>
          </w:tcPr>
          <w:p w14:paraId="4EC21F6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0.09</w:t>
            </w:r>
          </w:p>
        </w:tc>
        <w:tc>
          <w:tcPr>
            <w:tcW w:w="1020" w:type="dxa"/>
            <w:tcBorders>
              <w:top w:val="nil"/>
              <w:left w:val="nil"/>
              <w:bottom w:val="nil"/>
              <w:right w:val="nil"/>
            </w:tcBorders>
            <w:shd w:val="clear" w:color="auto" w:fill="auto"/>
            <w:noWrap/>
            <w:vAlign w:val="bottom"/>
            <w:hideMark/>
          </w:tcPr>
          <w:p w14:paraId="083CB76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0.98</w:t>
            </w:r>
          </w:p>
        </w:tc>
      </w:tr>
      <w:tr w:rsidR="00805EB4" w:rsidRPr="004C66D9" w14:paraId="244B8ABE" w14:textId="77777777" w:rsidTr="00E72162">
        <w:trPr>
          <w:trHeight w:val="300"/>
          <w:jc w:val="center"/>
        </w:trPr>
        <w:tc>
          <w:tcPr>
            <w:tcW w:w="2460" w:type="dxa"/>
            <w:tcBorders>
              <w:top w:val="nil"/>
              <w:left w:val="nil"/>
              <w:bottom w:val="nil"/>
              <w:right w:val="nil"/>
            </w:tcBorders>
            <w:shd w:val="clear" w:color="auto" w:fill="auto"/>
            <w:vAlign w:val="center"/>
            <w:hideMark/>
          </w:tcPr>
          <w:p w14:paraId="4C63A23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25533256"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0.18</w:t>
            </w:r>
          </w:p>
        </w:tc>
        <w:tc>
          <w:tcPr>
            <w:tcW w:w="1340" w:type="dxa"/>
            <w:tcBorders>
              <w:top w:val="nil"/>
              <w:left w:val="nil"/>
              <w:bottom w:val="nil"/>
              <w:right w:val="nil"/>
            </w:tcBorders>
            <w:shd w:val="clear" w:color="auto" w:fill="auto"/>
            <w:vAlign w:val="center"/>
            <w:hideMark/>
          </w:tcPr>
          <w:p w14:paraId="03BEC79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0.13</w:t>
            </w:r>
          </w:p>
        </w:tc>
        <w:tc>
          <w:tcPr>
            <w:tcW w:w="1020" w:type="dxa"/>
            <w:tcBorders>
              <w:top w:val="nil"/>
              <w:left w:val="nil"/>
              <w:bottom w:val="nil"/>
              <w:right w:val="nil"/>
            </w:tcBorders>
            <w:shd w:val="clear" w:color="auto" w:fill="auto"/>
            <w:vAlign w:val="center"/>
            <w:hideMark/>
          </w:tcPr>
          <w:p w14:paraId="48FC989E"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0.73</w:t>
            </w:r>
          </w:p>
        </w:tc>
        <w:tc>
          <w:tcPr>
            <w:tcW w:w="1180" w:type="dxa"/>
            <w:tcBorders>
              <w:top w:val="nil"/>
              <w:left w:val="nil"/>
              <w:bottom w:val="nil"/>
              <w:right w:val="nil"/>
            </w:tcBorders>
            <w:shd w:val="clear" w:color="auto" w:fill="auto"/>
            <w:noWrap/>
            <w:vAlign w:val="bottom"/>
            <w:hideMark/>
          </w:tcPr>
          <w:p w14:paraId="1D77C34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940" w:type="dxa"/>
            <w:tcBorders>
              <w:top w:val="nil"/>
              <w:left w:val="nil"/>
              <w:bottom w:val="nil"/>
              <w:right w:val="nil"/>
            </w:tcBorders>
            <w:shd w:val="clear" w:color="auto" w:fill="auto"/>
            <w:noWrap/>
            <w:vAlign w:val="bottom"/>
            <w:hideMark/>
          </w:tcPr>
          <w:p w14:paraId="168B91DA"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0.22</w:t>
            </w:r>
          </w:p>
        </w:tc>
        <w:tc>
          <w:tcPr>
            <w:tcW w:w="1020" w:type="dxa"/>
            <w:tcBorders>
              <w:top w:val="nil"/>
              <w:left w:val="nil"/>
              <w:bottom w:val="nil"/>
              <w:right w:val="nil"/>
            </w:tcBorders>
            <w:shd w:val="clear" w:color="auto" w:fill="auto"/>
            <w:noWrap/>
            <w:vAlign w:val="bottom"/>
            <w:hideMark/>
          </w:tcPr>
          <w:p w14:paraId="036712D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0.35</w:t>
            </w:r>
          </w:p>
        </w:tc>
      </w:tr>
      <w:tr w:rsidR="00805EB4" w:rsidRPr="004C66D9" w14:paraId="58DB6089" w14:textId="77777777" w:rsidTr="00E72162">
        <w:trPr>
          <w:trHeight w:val="300"/>
          <w:jc w:val="center"/>
        </w:trPr>
        <w:tc>
          <w:tcPr>
            <w:tcW w:w="2460" w:type="dxa"/>
            <w:tcBorders>
              <w:top w:val="nil"/>
              <w:left w:val="nil"/>
              <w:bottom w:val="nil"/>
              <w:right w:val="nil"/>
            </w:tcBorders>
            <w:shd w:val="clear" w:color="auto" w:fill="auto"/>
            <w:vAlign w:val="center"/>
            <w:hideMark/>
          </w:tcPr>
          <w:p w14:paraId="0116686E"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Treatment Outcomes</w:t>
            </w:r>
          </w:p>
        </w:tc>
        <w:tc>
          <w:tcPr>
            <w:tcW w:w="1060" w:type="dxa"/>
            <w:tcBorders>
              <w:top w:val="nil"/>
              <w:left w:val="nil"/>
              <w:bottom w:val="nil"/>
              <w:right w:val="nil"/>
            </w:tcBorders>
            <w:shd w:val="clear" w:color="auto" w:fill="auto"/>
            <w:noWrap/>
            <w:vAlign w:val="bottom"/>
            <w:hideMark/>
          </w:tcPr>
          <w:p w14:paraId="53B0E96D"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44F7CD8B"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19535B8"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043AC716"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5DF4588E"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1F616F5" w14:textId="77777777" w:rsidR="00805EB4" w:rsidRPr="004C66D9" w:rsidRDefault="00805EB4" w:rsidP="00E72162">
            <w:pPr>
              <w:rPr>
                <w:rFonts w:cstheme="minorHAnsi"/>
                <w:sz w:val="22"/>
                <w:szCs w:val="22"/>
              </w:rPr>
            </w:pPr>
          </w:p>
        </w:tc>
      </w:tr>
      <w:tr w:rsidR="00805EB4" w:rsidRPr="004C66D9" w14:paraId="7A9B0D05" w14:textId="77777777" w:rsidTr="00E72162">
        <w:trPr>
          <w:trHeight w:val="300"/>
          <w:jc w:val="center"/>
        </w:trPr>
        <w:tc>
          <w:tcPr>
            <w:tcW w:w="2460" w:type="dxa"/>
            <w:tcBorders>
              <w:top w:val="nil"/>
              <w:left w:val="nil"/>
              <w:bottom w:val="nil"/>
              <w:right w:val="nil"/>
            </w:tcBorders>
            <w:shd w:val="clear" w:color="auto" w:fill="auto"/>
            <w:vAlign w:val="center"/>
            <w:hideMark/>
          </w:tcPr>
          <w:p w14:paraId="7313561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47D9A30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0350A0F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0.14</w:t>
            </w:r>
          </w:p>
        </w:tc>
        <w:tc>
          <w:tcPr>
            <w:tcW w:w="1020" w:type="dxa"/>
            <w:tcBorders>
              <w:top w:val="nil"/>
              <w:left w:val="nil"/>
              <w:bottom w:val="nil"/>
              <w:right w:val="nil"/>
            </w:tcBorders>
            <w:shd w:val="clear" w:color="auto" w:fill="auto"/>
            <w:vAlign w:val="center"/>
            <w:hideMark/>
          </w:tcPr>
          <w:p w14:paraId="473BA72D"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0.42</w:t>
            </w:r>
          </w:p>
        </w:tc>
        <w:tc>
          <w:tcPr>
            <w:tcW w:w="1180" w:type="dxa"/>
            <w:tcBorders>
              <w:top w:val="nil"/>
              <w:left w:val="nil"/>
              <w:bottom w:val="nil"/>
              <w:right w:val="nil"/>
            </w:tcBorders>
            <w:shd w:val="clear" w:color="auto" w:fill="auto"/>
            <w:vAlign w:val="center"/>
            <w:hideMark/>
          </w:tcPr>
          <w:p w14:paraId="568950D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940" w:type="dxa"/>
            <w:tcBorders>
              <w:top w:val="nil"/>
              <w:left w:val="nil"/>
              <w:bottom w:val="nil"/>
              <w:right w:val="nil"/>
            </w:tcBorders>
            <w:shd w:val="clear" w:color="auto" w:fill="auto"/>
            <w:noWrap/>
            <w:vAlign w:val="bottom"/>
            <w:hideMark/>
          </w:tcPr>
          <w:p w14:paraId="6CEE9993"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0.03</w:t>
            </w:r>
          </w:p>
        </w:tc>
        <w:tc>
          <w:tcPr>
            <w:tcW w:w="1020" w:type="dxa"/>
            <w:tcBorders>
              <w:top w:val="nil"/>
              <w:left w:val="nil"/>
              <w:bottom w:val="nil"/>
              <w:right w:val="nil"/>
            </w:tcBorders>
            <w:shd w:val="clear" w:color="auto" w:fill="auto"/>
            <w:noWrap/>
            <w:vAlign w:val="bottom"/>
            <w:hideMark/>
          </w:tcPr>
          <w:p w14:paraId="18867DF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0.66</w:t>
            </w:r>
          </w:p>
        </w:tc>
      </w:tr>
      <w:tr w:rsidR="00805EB4" w:rsidRPr="004C66D9" w14:paraId="237771D3" w14:textId="77777777" w:rsidTr="00E72162">
        <w:trPr>
          <w:trHeight w:val="300"/>
          <w:jc w:val="center"/>
        </w:trPr>
        <w:tc>
          <w:tcPr>
            <w:tcW w:w="2460" w:type="dxa"/>
            <w:tcBorders>
              <w:top w:val="nil"/>
              <w:left w:val="nil"/>
              <w:bottom w:val="nil"/>
              <w:right w:val="nil"/>
            </w:tcBorders>
            <w:shd w:val="clear" w:color="auto" w:fill="auto"/>
            <w:vAlign w:val="center"/>
            <w:hideMark/>
          </w:tcPr>
          <w:p w14:paraId="294F8409"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nil"/>
              <w:right w:val="nil"/>
            </w:tcBorders>
            <w:shd w:val="clear" w:color="auto" w:fill="auto"/>
            <w:vAlign w:val="center"/>
            <w:hideMark/>
          </w:tcPr>
          <w:p w14:paraId="6A8913A0"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0.17</w:t>
            </w:r>
          </w:p>
        </w:tc>
        <w:tc>
          <w:tcPr>
            <w:tcW w:w="1340" w:type="dxa"/>
            <w:tcBorders>
              <w:top w:val="nil"/>
              <w:left w:val="nil"/>
              <w:bottom w:val="nil"/>
              <w:right w:val="nil"/>
            </w:tcBorders>
            <w:shd w:val="clear" w:color="auto" w:fill="auto"/>
            <w:vAlign w:val="center"/>
            <w:hideMark/>
          </w:tcPr>
          <w:p w14:paraId="27C2D07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77C46248"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0.78</w:t>
            </w:r>
          </w:p>
        </w:tc>
        <w:tc>
          <w:tcPr>
            <w:tcW w:w="1180" w:type="dxa"/>
            <w:tcBorders>
              <w:top w:val="nil"/>
              <w:left w:val="nil"/>
              <w:bottom w:val="nil"/>
              <w:right w:val="nil"/>
            </w:tcBorders>
            <w:shd w:val="clear" w:color="auto" w:fill="auto"/>
            <w:noWrap/>
            <w:vAlign w:val="bottom"/>
            <w:hideMark/>
          </w:tcPr>
          <w:p w14:paraId="43FB6A6E"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940" w:type="dxa"/>
            <w:tcBorders>
              <w:top w:val="nil"/>
              <w:left w:val="nil"/>
              <w:bottom w:val="nil"/>
              <w:right w:val="nil"/>
            </w:tcBorders>
            <w:shd w:val="clear" w:color="auto" w:fill="auto"/>
            <w:noWrap/>
            <w:vAlign w:val="bottom"/>
            <w:hideMark/>
          </w:tcPr>
          <w:p w14:paraId="1F2EC49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0.17</w:t>
            </w:r>
          </w:p>
        </w:tc>
        <w:tc>
          <w:tcPr>
            <w:tcW w:w="1020" w:type="dxa"/>
            <w:tcBorders>
              <w:top w:val="nil"/>
              <w:left w:val="nil"/>
              <w:bottom w:val="nil"/>
              <w:right w:val="nil"/>
            </w:tcBorders>
            <w:shd w:val="clear" w:color="auto" w:fill="auto"/>
            <w:noWrap/>
            <w:vAlign w:val="bottom"/>
            <w:hideMark/>
          </w:tcPr>
          <w:p w14:paraId="6039C64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0.25</w:t>
            </w:r>
          </w:p>
        </w:tc>
      </w:tr>
      <w:tr w:rsidR="00805EB4" w:rsidRPr="004C66D9" w14:paraId="1A5CB38D" w14:textId="77777777" w:rsidTr="00E72162">
        <w:trPr>
          <w:trHeight w:val="300"/>
          <w:jc w:val="center"/>
        </w:trPr>
        <w:tc>
          <w:tcPr>
            <w:tcW w:w="2460" w:type="dxa"/>
            <w:tcBorders>
              <w:top w:val="nil"/>
              <w:left w:val="nil"/>
              <w:bottom w:val="nil"/>
              <w:right w:val="nil"/>
            </w:tcBorders>
            <w:shd w:val="clear" w:color="auto" w:fill="auto"/>
            <w:vAlign w:val="center"/>
            <w:hideMark/>
          </w:tcPr>
          <w:p w14:paraId="385666B2" w14:textId="77777777" w:rsidR="00805EB4" w:rsidRPr="004C66D9" w:rsidRDefault="00805EB4" w:rsidP="00E72162">
            <w:pPr>
              <w:rPr>
                <w:rFonts w:cstheme="minorHAnsi"/>
                <w:b/>
                <w:bCs/>
                <w:color w:val="000000"/>
                <w:sz w:val="22"/>
                <w:szCs w:val="22"/>
              </w:rPr>
            </w:pPr>
            <w:r w:rsidRPr="004C66D9">
              <w:rPr>
                <w:rFonts w:cstheme="minorHAnsi"/>
                <w:b/>
                <w:bCs/>
                <w:color w:val="000000"/>
                <w:sz w:val="22"/>
                <w:szCs w:val="22"/>
              </w:rPr>
              <w:t>Participation</w:t>
            </w:r>
          </w:p>
        </w:tc>
        <w:tc>
          <w:tcPr>
            <w:tcW w:w="1060" w:type="dxa"/>
            <w:tcBorders>
              <w:top w:val="nil"/>
              <w:left w:val="nil"/>
              <w:bottom w:val="nil"/>
              <w:right w:val="nil"/>
            </w:tcBorders>
            <w:shd w:val="clear" w:color="auto" w:fill="auto"/>
            <w:noWrap/>
            <w:vAlign w:val="bottom"/>
            <w:hideMark/>
          </w:tcPr>
          <w:p w14:paraId="65AE9999" w14:textId="77777777" w:rsidR="00805EB4" w:rsidRPr="004C66D9" w:rsidRDefault="00805EB4"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764761BD"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B7D83BA" w14:textId="77777777" w:rsidR="00805EB4" w:rsidRPr="004C66D9" w:rsidRDefault="00805EB4"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093337FD" w14:textId="77777777" w:rsidR="00805EB4" w:rsidRPr="004C66D9" w:rsidRDefault="00805EB4"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0CF787FB" w14:textId="77777777" w:rsidR="00805EB4" w:rsidRPr="004C66D9" w:rsidRDefault="00805EB4"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F285BF6" w14:textId="77777777" w:rsidR="00805EB4" w:rsidRPr="004C66D9" w:rsidRDefault="00805EB4" w:rsidP="00E72162">
            <w:pPr>
              <w:rPr>
                <w:rFonts w:cstheme="minorHAnsi"/>
                <w:sz w:val="22"/>
                <w:szCs w:val="22"/>
              </w:rPr>
            </w:pPr>
          </w:p>
        </w:tc>
      </w:tr>
      <w:tr w:rsidR="00805EB4" w:rsidRPr="004C66D9" w14:paraId="714A4080" w14:textId="77777777" w:rsidTr="00E72162">
        <w:trPr>
          <w:trHeight w:val="300"/>
          <w:jc w:val="center"/>
        </w:trPr>
        <w:tc>
          <w:tcPr>
            <w:tcW w:w="2460" w:type="dxa"/>
            <w:tcBorders>
              <w:top w:val="nil"/>
              <w:left w:val="nil"/>
              <w:bottom w:val="nil"/>
              <w:right w:val="nil"/>
            </w:tcBorders>
            <w:shd w:val="clear" w:color="auto" w:fill="auto"/>
            <w:vAlign w:val="center"/>
            <w:hideMark/>
          </w:tcPr>
          <w:p w14:paraId="7160F12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1st Period</w:t>
            </w:r>
          </w:p>
        </w:tc>
        <w:tc>
          <w:tcPr>
            <w:tcW w:w="1060" w:type="dxa"/>
            <w:tcBorders>
              <w:top w:val="nil"/>
              <w:left w:val="nil"/>
              <w:bottom w:val="nil"/>
              <w:right w:val="nil"/>
            </w:tcBorders>
            <w:shd w:val="clear" w:color="auto" w:fill="auto"/>
            <w:vAlign w:val="center"/>
            <w:hideMark/>
          </w:tcPr>
          <w:p w14:paraId="2F0F4EB7"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0.07</w:t>
            </w:r>
          </w:p>
        </w:tc>
        <w:tc>
          <w:tcPr>
            <w:tcW w:w="1340" w:type="dxa"/>
            <w:tcBorders>
              <w:top w:val="nil"/>
              <w:left w:val="nil"/>
              <w:bottom w:val="nil"/>
              <w:right w:val="nil"/>
            </w:tcBorders>
            <w:shd w:val="clear" w:color="auto" w:fill="auto"/>
            <w:vAlign w:val="center"/>
            <w:hideMark/>
          </w:tcPr>
          <w:p w14:paraId="794B802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vAlign w:val="center"/>
            <w:hideMark/>
          </w:tcPr>
          <w:p w14:paraId="607FF816"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0.39</w:t>
            </w:r>
          </w:p>
        </w:tc>
        <w:tc>
          <w:tcPr>
            <w:tcW w:w="1180" w:type="dxa"/>
            <w:tcBorders>
              <w:top w:val="nil"/>
              <w:left w:val="nil"/>
              <w:bottom w:val="nil"/>
              <w:right w:val="nil"/>
            </w:tcBorders>
            <w:shd w:val="clear" w:color="auto" w:fill="auto"/>
            <w:vAlign w:val="center"/>
            <w:hideMark/>
          </w:tcPr>
          <w:p w14:paraId="285D4C8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0.08</w:t>
            </w:r>
          </w:p>
        </w:tc>
        <w:tc>
          <w:tcPr>
            <w:tcW w:w="940" w:type="dxa"/>
            <w:tcBorders>
              <w:top w:val="nil"/>
              <w:left w:val="nil"/>
              <w:bottom w:val="nil"/>
              <w:right w:val="nil"/>
            </w:tcBorders>
            <w:shd w:val="clear" w:color="auto" w:fill="auto"/>
            <w:noWrap/>
            <w:vAlign w:val="bottom"/>
            <w:hideMark/>
          </w:tcPr>
          <w:p w14:paraId="1E4D4CB5"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nil"/>
              <w:right w:val="nil"/>
            </w:tcBorders>
            <w:shd w:val="clear" w:color="auto" w:fill="auto"/>
            <w:noWrap/>
            <w:vAlign w:val="bottom"/>
            <w:hideMark/>
          </w:tcPr>
          <w:p w14:paraId="16846CAF"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0.00</w:t>
            </w:r>
          </w:p>
        </w:tc>
      </w:tr>
      <w:tr w:rsidR="00805EB4" w:rsidRPr="004C66D9" w14:paraId="60CC94AD" w14:textId="77777777" w:rsidTr="00E72162">
        <w:trPr>
          <w:trHeight w:val="300"/>
          <w:jc w:val="center"/>
        </w:trPr>
        <w:tc>
          <w:tcPr>
            <w:tcW w:w="2460" w:type="dxa"/>
            <w:tcBorders>
              <w:top w:val="nil"/>
              <w:left w:val="nil"/>
              <w:bottom w:val="single" w:sz="4" w:space="0" w:color="auto"/>
              <w:right w:val="nil"/>
            </w:tcBorders>
            <w:shd w:val="clear" w:color="auto" w:fill="auto"/>
            <w:vAlign w:val="center"/>
            <w:hideMark/>
          </w:tcPr>
          <w:p w14:paraId="489960E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2nd Period</w:t>
            </w:r>
          </w:p>
        </w:tc>
        <w:tc>
          <w:tcPr>
            <w:tcW w:w="1060" w:type="dxa"/>
            <w:tcBorders>
              <w:top w:val="nil"/>
              <w:left w:val="nil"/>
              <w:bottom w:val="single" w:sz="4" w:space="0" w:color="auto"/>
              <w:right w:val="nil"/>
            </w:tcBorders>
            <w:shd w:val="clear" w:color="auto" w:fill="auto"/>
            <w:vAlign w:val="center"/>
            <w:hideMark/>
          </w:tcPr>
          <w:p w14:paraId="3F27D8EF"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0.13</w:t>
            </w:r>
          </w:p>
        </w:tc>
        <w:tc>
          <w:tcPr>
            <w:tcW w:w="1340" w:type="dxa"/>
            <w:tcBorders>
              <w:top w:val="nil"/>
              <w:left w:val="nil"/>
              <w:bottom w:val="single" w:sz="4" w:space="0" w:color="auto"/>
              <w:right w:val="nil"/>
            </w:tcBorders>
            <w:shd w:val="clear" w:color="auto" w:fill="auto"/>
            <w:vAlign w:val="center"/>
            <w:hideMark/>
          </w:tcPr>
          <w:p w14:paraId="76BA2030"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0.05</w:t>
            </w:r>
          </w:p>
        </w:tc>
        <w:tc>
          <w:tcPr>
            <w:tcW w:w="1020" w:type="dxa"/>
            <w:tcBorders>
              <w:top w:val="nil"/>
              <w:left w:val="nil"/>
              <w:bottom w:val="single" w:sz="4" w:space="0" w:color="auto"/>
              <w:right w:val="nil"/>
            </w:tcBorders>
            <w:shd w:val="clear" w:color="auto" w:fill="auto"/>
            <w:vAlign w:val="center"/>
            <w:hideMark/>
          </w:tcPr>
          <w:p w14:paraId="5D71C9B2" w14:textId="77777777" w:rsidR="00805EB4" w:rsidRPr="00636AEF" w:rsidRDefault="00805EB4" w:rsidP="00E72162">
            <w:pPr>
              <w:jc w:val="right"/>
              <w:rPr>
                <w:rFonts w:cstheme="minorHAnsi"/>
                <w:b/>
                <w:bCs/>
                <w:i/>
                <w:color w:val="000000"/>
                <w:sz w:val="22"/>
                <w:szCs w:val="22"/>
              </w:rPr>
            </w:pPr>
            <w:r w:rsidRPr="00636AEF">
              <w:rPr>
                <w:rFonts w:cstheme="minorHAnsi"/>
                <w:b/>
                <w:bCs/>
                <w:i/>
                <w:color w:val="000000"/>
                <w:sz w:val="22"/>
                <w:szCs w:val="22"/>
              </w:rPr>
              <w:t>0.58</w:t>
            </w:r>
          </w:p>
        </w:tc>
        <w:tc>
          <w:tcPr>
            <w:tcW w:w="1180" w:type="dxa"/>
            <w:tcBorders>
              <w:top w:val="nil"/>
              <w:left w:val="nil"/>
              <w:bottom w:val="single" w:sz="4" w:space="0" w:color="auto"/>
              <w:right w:val="nil"/>
            </w:tcBorders>
            <w:shd w:val="clear" w:color="auto" w:fill="auto"/>
            <w:vAlign w:val="center"/>
            <w:hideMark/>
          </w:tcPr>
          <w:p w14:paraId="7153A008"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0.16</w:t>
            </w:r>
          </w:p>
        </w:tc>
        <w:tc>
          <w:tcPr>
            <w:tcW w:w="940" w:type="dxa"/>
            <w:tcBorders>
              <w:top w:val="nil"/>
              <w:left w:val="nil"/>
              <w:bottom w:val="single" w:sz="4" w:space="0" w:color="auto"/>
              <w:right w:val="nil"/>
            </w:tcBorders>
            <w:shd w:val="clear" w:color="auto" w:fill="auto"/>
            <w:noWrap/>
            <w:vAlign w:val="bottom"/>
            <w:hideMark/>
          </w:tcPr>
          <w:p w14:paraId="302F421A"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0.11</w:t>
            </w:r>
          </w:p>
        </w:tc>
        <w:tc>
          <w:tcPr>
            <w:tcW w:w="1020" w:type="dxa"/>
            <w:tcBorders>
              <w:top w:val="nil"/>
              <w:left w:val="nil"/>
              <w:bottom w:val="single" w:sz="4" w:space="0" w:color="auto"/>
              <w:right w:val="nil"/>
            </w:tcBorders>
            <w:shd w:val="clear" w:color="auto" w:fill="auto"/>
            <w:noWrap/>
            <w:vAlign w:val="bottom"/>
            <w:hideMark/>
          </w:tcPr>
          <w:p w14:paraId="2007A834" w14:textId="77777777" w:rsidR="00805EB4" w:rsidRPr="004C66D9" w:rsidRDefault="00805EB4" w:rsidP="00E72162">
            <w:pPr>
              <w:jc w:val="right"/>
              <w:rPr>
                <w:rFonts w:cstheme="minorHAnsi"/>
                <w:color w:val="000000"/>
                <w:sz w:val="22"/>
                <w:szCs w:val="22"/>
              </w:rPr>
            </w:pPr>
            <w:r w:rsidRPr="004C66D9">
              <w:rPr>
                <w:rFonts w:cstheme="minorHAnsi"/>
                <w:color w:val="000000"/>
                <w:sz w:val="22"/>
                <w:szCs w:val="22"/>
              </w:rPr>
              <w:t>-0.34</w:t>
            </w:r>
          </w:p>
        </w:tc>
      </w:tr>
    </w:tbl>
    <w:p w14:paraId="7A9933FB" w14:textId="77777777" w:rsidR="00E847F0" w:rsidRPr="004C66D9" w:rsidRDefault="00E847F0" w:rsidP="00E847F0">
      <w:pPr>
        <w:rPr>
          <w:rFonts w:cstheme="minorHAnsi"/>
          <w:sz w:val="22"/>
          <w:szCs w:val="22"/>
        </w:rPr>
      </w:pPr>
    </w:p>
    <w:p w14:paraId="626C2D13" w14:textId="77777777" w:rsidR="00E847F0" w:rsidRPr="004C66D9" w:rsidRDefault="00E847F0" w:rsidP="00E847F0">
      <w:pPr>
        <w:jc w:val="center"/>
        <w:rPr>
          <w:rFonts w:cstheme="minorHAnsi"/>
          <w:sz w:val="22"/>
          <w:szCs w:val="22"/>
        </w:rPr>
      </w:pPr>
    </w:p>
    <w:p w14:paraId="6B0A2CB5" w14:textId="77777777" w:rsidR="00E847F0" w:rsidRDefault="00E847F0" w:rsidP="00E847F0">
      <w:pPr>
        <w:rPr>
          <w:rFonts w:cstheme="minorHAnsi"/>
          <w:sz w:val="22"/>
          <w:szCs w:val="22"/>
          <w:u w:val="single"/>
        </w:rPr>
      </w:pPr>
      <w:r>
        <w:rPr>
          <w:rFonts w:cstheme="minorHAnsi"/>
          <w:sz w:val="22"/>
          <w:szCs w:val="22"/>
          <w:u w:val="single"/>
        </w:rPr>
        <w:br w:type="page"/>
      </w:r>
    </w:p>
    <w:p w14:paraId="79412056" w14:textId="743E7B0E" w:rsidR="00C5217E" w:rsidRPr="00000D4B" w:rsidRDefault="00E847F0" w:rsidP="00F7725C">
      <w:pPr>
        <w:ind w:firstLine="18"/>
        <w:jc w:val="center"/>
        <w:rPr>
          <w:rFonts w:cstheme="minorHAnsi"/>
          <w:b/>
          <w:bCs/>
          <w:color w:val="6A7F0F"/>
          <w:sz w:val="22"/>
          <w:szCs w:val="22"/>
        </w:rPr>
      </w:pPr>
      <w:bookmarkStart w:id="136" w:name="Appendix6_Table_A65e"/>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.5e: MHSIP Survey Domains and Satisfaction Scores </w:t>
      </w:r>
      <w:r w:rsidR="00C5217E" w:rsidRPr="00000D4B">
        <w:rPr>
          <w:rFonts w:cstheme="minorHAnsi"/>
          <w:b/>
          <w:bCs/>
          <w:color w:val="6A7F0F"/>
          <w:sz w:val="22"/>
          <w:szCs w:val="22"/>
        </w:rPr>
        <w:t>–</w:t>
      </w:r>
      <w:r w:rsidRPr="00000D4B">
        <w:rPr>
          <w:rFonts w:cstheme="minorHAnsi"/>
          <w:b/>
          <w:bCs/>
          <w:color w:val="6A7F0F"/>
          <w:sz w:val="22"/>
          <w:szCs w:val="22"/>
        </w:rPr>
        <w:t xml:space="preserve"> </w:t>
      </w:r>
    </w:p>
    <w:p w14:paraId="006210CC" w14:textId="042E24A9" w:rsidR="00E847F0" w:rsidRPr="00000D4B" w:rsidRDefault="00E847F0" w:rsidP="00F7725C">
      <w:pPr>
        <w:ind w:firstLine="18"/>
        <w:jc w:val="center"/>
        <w:rPr>
          <w:rFonts w:cstheme="minorHAnsi"/>
          <w:b/>
          <w:bCs/>
          <w:color w:val="6A7F0F"/>
          <w:sz w:val="22"/>
          <w:szCs w:val="22"/>
        </w:rPr>
      </w:pPr>
      <w:r w:rsidRPr="00000D4B">
        <w:rPr>
          <w:rFonts w:cstheme="minorHAnsi"/>
          <w:b/>
          <w:bCs/>
          <w:color w:val="6A7F0F"/>
          <w:sz w:val="22"/>
          <w:szCs w:val="22"/>
        </w:rPr>
        <w:t>Adult Outpatient and Residential Services Overall and by Place of Residence</w:t>
      </w:r>
    </w:p>
    <w:bookmarkEnd w:id="136"/>
    <w:p w14:paraId="4D2B0B18" w14:textId="77777777" w:rsidR="00E847F0" w:rsidRPr="004C66D9" w:rsidRDefault="00E847F0" w:rsidP="00E847F0">
      <w:pPr>
        <w:ind w:left="1152" w:hanging="1152"/>
        <w:jc w:val="center"/>
        <w:rPr>
          <w:rFonts w:cstheme="minorHAnsi"/>
          <w:sz w:val="22"/>
          <w:szCs w:val="22"/>
        </w:rPr>
      </w:pPr>
    </w:p>
    <w:tbl>
      <w:tblPr>
        <w:tblW w:w="8860" w:type="dxa"/>
        <w:jc w:val="center"/>
        <w:tblLook w:val="04A0" w:firstRow="1" w:lastRow="0" w:firstColumn="1" w:lastColumn="0" w:noHBand="0" w:noVBand="1"/>
      </w:tblPr>
      <w:tblGrid>
        <w:gridCol w:w="2200"/>
        <w:gridCol w:w="940"/>
        <w:gridCol w:w="1340"/>
        <w:gridCol w:w="1020"/>
        <w:gridCol w:w="1284"/>
        <w:gridCol w:w="940"/>
        <w:gridCol w:w="1284"/>
      </w:tblGrid>
      <w:tr w:rsidR="00F7725C" w:rsidRPr="004C66D9" w14:paraId="3786442C" w14:textId="77777777" w:rsidTr="00E72162">
        <w:trPr>
          <w:trHeight w:val="300"/>
          <w:jc w:val="center"/>
        </w:trPr>
        <w:tc>
          <w:tcPr>
            <w:tcW w:w="2200" w:type="dxa"/>
            <w:tcBorders>
              <w:top w:val="nil"/>
              <w:left w:val="nil"/>
              <w:bottom w:val="nil"/>
              <w:right w:val="nil"/>
            </w:tcBorders>
            <w:shd w:val="clear" w:color="auto" w:fill="auto"/>
            <w:noWrap/>
            <w:vAlign w:val="bottom"/>
            <w:hideMark/>
          </w:tcPr>
          <w:p w14:paraId="7BF3DBA6" w14:textId="77777777" w:rsidR="00F7725C" w:rsidRPr="004C66D9" w:rsidRDefault="00F7725C" w:rsidP="00E72162">
            <w:pPr>
              <w:rPr>
                <w:rFonts w:cstheme="minorHAnsi"/>
                <w:sz w:val="22"/>
                <w:szCs w:val="22"/>
              </w:rPr>
            </w:pPr>
          </w:p>
        </w:tc>
        <w:tc>
          <w:tcPr>
            <w:tcW w:w="2280" w:type="dxa"/>
            <w:gridSpan w:val="2"/>
            <w:tcBorders>
              <w:top w:val="nil"/>
              <w:left w:val="nil"/>
              <w:bottom w:val="nil"/>
              <w:right w:val="nil"/>
            </w:tcBorders>
            <w:shd w:val="clear" w:color="auto" w:fill="auto"/>
            <w:noWrap/>
            <w:vAlign w:val="bottom"/>
            <w:hideMark/>
          </w:tcPr>
          <w:p w14:paraId="553E5847"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Overall</w:t>
            </w:r>
          </w:p>
        </w:tc>
        <w:tc>
          <w:tcPr>
            <w:tcW w:w="2200" w:type="dxa"/>
            <w:gridSpan w:val="2"/>
            <w:tcBorders>
              <w:top w:val="nil"/>
              <w:left w:val="nil"/>
              <w:bottom w:val="nil"/>
              <w:right w:val="nil"/>
            </w:tcBorders>
            <w:shd w:val="clear" w:color="auto" w:fill="auto"/>
            <w:noWrap/>
            <w:vAlign w:val="bottom"/>
            <w:hideMark/>
          </w:tcPr>
          <w:p w14:paraId="53CD8810"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Rural</w:t>
            </w:r>
          </w:p>
        </w:tc>
        <w:tc>
          <w:tcPr>
            <w:tcW w:w="2180" w:type="dxa"/>
            <w:gridSpan w:val="2"/>
            <w:tcBorders>
              <w:top w:val="nil"/>
              <w:left w:val="nil"/>
              <w:bottom w:val="nil"/>
              <w:right w:val="nil"/>
            </w:tcBorders>
            <w:shd w:val="clear" w:color="auto" w:fill="auto"/>
            <w:noWrap/>
            <w:vAlign w:val="bottom"/>
            <w:hideMark/>
          </w:tcPr>
          <w:p w14:paraId="0EE9B9B6"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Urban</w:t>
            </w:r>
          </w:p>
        </w:tc>
      </w:tr>
      <w:tr w:rsidR="00F7725C" w:rsidRPr="004C66D9" w14:paraId="17652800" w14:textId="77777777" w:rsidTr="00E72162">
        <w:trPr>
          <w:trHeight w:val="300"/>
          <w:jc w:val="center"/>
        </w:trPr>
        <w:tc>
          <w:tcPr>
            <w:tcW w:w="2200" w:type="dxa"/>
            <w:tcBorders>
              <w:top w:val="nil"/>
              <w:left w:val="nil"/>
              <w:bottom w:val="single" w:sz="4" w:space="0" w:color="auto"/>
              <w:right w:val="nil"/>
            </w:tcBorders>
            <w:shd w:val="clear" w:color="auto" w:fill="auto"/>
            <w:vAlign w:val="bottom"/>
            <w:hideMark/>
          </w:tcPr>
          <w:p w14:paraId="34F229A5"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MHSIP Domain</w:t>
            </w:r>
          </w:p>
        </w:tc>
        <w:tc>
          <w:tcPr>
            <w:tcW w:w="940" w:type="dxa"/>
            <w:tcBorders>
              <w:top w:val="nil"/>
              <w:left w:val="nil"/>
              <w:bottom w:val="single" w:sz="4" w:space="0" w:color="auto"/>
              <w:right w:val="nil"/>
            </w:tcBorders>
            <w:shd w:val="clear" w:color="auto" w:fill="auto"/>
            <w:vAlign w:val="bottom"/>
            <w:hideMark/>
          </w:tcPr>
          <w:p w14:paraId="49347ABA"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340" w:type="dxa"/>
            <w:tcBorders>
              <w:top w:val="nil"/>
              <w:left w:val="nil"/>
              <w:bottom w:val="single" w:sz="4" w:space="0" w:color="auto"/>
              <w:right w:val="nil"/>
            </w:tcBorders>
            <w:shd w:val="clear" w:color="auto" w:fill="auto"/>
            <w:vAlign w:val="bottom"/>
            <w:hideMark/>
          </w:tcPr>
          <w:p w14:paraId="7D551EF6"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c>
          <w:tcPr>
            <w:tcW w:w="1020" w:type="dxa"/>
            <w:tcBorders>
              <w:top w:val="nil"/>
              <w:left w:val="nil"/>
              <w:bottom w:val="single" w:sz="4" w:space="0" w:color="auto"/>
              <w:right w:val="nil"/>
            </w:tcBorders>
            <w:shd w:val="clear" w:color="auto" w:fill="auto"/>
            <w:vAlign w:val="bottom"/>
            <w:hideMark/>
          </w:tcPr>
          <w:p w14:paraId="4591CB10"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180" w:type="dxa"/>
            <w:tcBorders>
              <w:top w:val="nil"/>
              <w:left w:val="nil"/>
              <w:bottom w:val="single" w:sz="4" w:space="0" w:color="auto"/>
              <w:right w:val="nil"/>
            </w:tcBorders>
            <w:shd w:val="clear" w:color="auto" w:fill="auto"/>
            <w:vAlign w:val="bottom"/>
            <w:hideMark/>
          </w:tcPr>
          <w:p w14:paraId="0527FCDB"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c>
          <w:tcPr>
            <w:tcW w:w="940" w:type="dxa"/>
            <w:tcBorders>
              <w:top w:val="nil"/>
              <w:left w:val="nil"/>
              <w:bottom w:val="single" w:sz="4" w:space="0" w:color="auto"/>
              <w:right w:val="nil"/>
            </w:tcBorders>
            <w:shd w:val="clear" w:color="auto" w:fill="auto"/>
            <w:vAlign w:val="bottom"/>
            <w:hideMark/>
          </w:tcPr>
          <w:p w14:paraId="6A1C2171"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240" w:type="dxa"/>
            <w:tcBorders>
              <w:top w:val="nil"/>
              <w:left w:val="nil"/>
              <w:bottom w:val="single" w:sz="4" w:space="0" w:color="auto"/>
              <w:right w:val="nil"/>
            </w:tcBorders>
            <w:shd w:val="clear" w:color="auto" w:fill="auto"/>
            <w:vAlign w:val="bottom"/>
            <w:hideMark/>
          </w:tcPr>
          <w:p w14:paraId="543BDB9E"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r>
      <w:tr w:rsidR="00F7725C" w:rsidRPr="004C66D9" w14:paraId="5A07F34E" w14:textId="77777777" w:rsidTr="00E72162">
        <w:trPr>
          <w:trHeight w:val="360"/>
          <w:jc w:val="center"/>
        </w:trPr>
        <w:tc>
          <w:tcPr>
            <w:tcW w:w="2200" w:type="dxa"/>
            <w:tcBorders>
              <w:top w:val="nil"/>
              <w:left w:val="nil"/>
              <w:bottom w:val="nil"/>
              <w:right w:val="nil"/>
            </w:tcBorders>
            <w:shd w:val="clear" w:color="auto" w:fill="auto"/>
            <w:vAlign w:val="center"/>
            <w:hideMark/>
          </w:tcPr>
          <w:p w14:paraId="1EBC352F"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Access to Services</w:t>
            </w:r>
          </w:p>
        </w:tc>
        <w:tc>
          <w:tcPr>
            <w:tcW w:w="940" w:type="dxa"/>
            <w:tcBorders>
              <w:top w:val="nil"/>
              <w:left w:val="nil"/>
              <w:bottom w:val="nil"/>
              <w:right w:val="nil"/>
            </w:tcBorders>
            <w:shd w:val="clear" w:color="auto" w:fill="auto"/>
            <w:noWrap/>
            <w:vAlign w:val="bottom"/>
            <w:hideMark/>
          </w:tcPr>
          <w:p w14:paraId="355113DB"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027392DA"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6D563F4" w14:textId="77777777" w:rsidR="00F7725C" w:rsidRPr="004C66D9" w:rsidRDefault="00F7725C"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6368484E"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32AABFD0" w14:textId="77777777" w:rsidR="00F7725C" w:rsidRPr="004C66D9" w:rsidRDefault="00F7725C" w:rsidP="00E72162">
            <w:pPr>
              <w:rPr>
                <w:rFonts w:cstheme="minorHAnsi"/>
                <w:sz w:val="22"/>
                <w:szCs w:val="22"/>
              </w:rPr>
            </w:pPr>
          </w:p>
        </w:tc>
        <w:tc>
          <w:tcPr>
            <w:tcW w:w="1240" w:type="dxa"/>
            <w:tcBorders>
              <w:top w:val="nil"/>
              <w:left w:val="nil"/>
              <w:bottom w:val="nil"/>
              <w:right w:val="nil"/>
            </w:tcBorders>
            <w:shd w:val="clear" w:color="auto" w:fill="auto"/>
            <w:noWrap/>
            <w:vAlign w:val="bottom"/>
            <w:hideMark/>
          </w:tcPr>
          <w:p w14:paraId="5B8D627B" w14:textId="77777777" w:rsidR="00F7725C" w:rsidRPr="004C66D9" w:rsidRDefault="00F7725C" w:rsidP="00E72162">
            <w:pPr>
              <w:rPr>
                <w:rFonts w:cstheme="minorHAnsi"/>
                <w:sz w:val="22"/>
                <w:szCs w:val="22"/>
              </w:rPr>
            </w:pPr>
          </w:p>
        </w:tc>
      </w:tr>
      <w:tr w:rsidR="00F7725C" w:rsidRPr="004C66D9" w14:paraId="4F0777D6" w14:textId="77777777" w:rsidTr="00E72162">
        <w:trPr>
          <w:trHeight w:val="330"/>
          <w:jc w:val="center"/>
        </w:trPr>
        <w:tc>
          <w:tcPr>
            <w:tcW w:w="2200" w:type="dxa"/>
            <w:tcBorders>
              <w:top w:val="nil"/>
              <w:left w:val="nil"/>
              <w:bottom w:val="nil"/>
              <w:right w:val="nil"/>
            </w:tcBorders>
            <w:shd w:val="clear" w:color="auto" w:fill="auto"/>
            <w:vAlign w:val="center"/>
            <w:hideMark/>
          </w:tcPr>
          <w:p w14:paraId="7E0DE36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5D8FD9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208585B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3D677AB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0.26</w:t>
            </w:r>
          </w:p>
        </w:tc>
        <w:tc>
          <w:tcPr>
            <w:tcW w:w="1180" w:type="dxa"/>
            <w:tcBorders>
              <w:top w:val="nil"/>
              <w:left w:val="nil"/>
              <w:bottom w:val="nil"/>
              <w:right w:val="nil"/>
            </w:tcBorders>
            <w:shd w:val="clear" w:color="auto" w:fill="auto"/>
            <w:vAlign w:val="center"/>
            <w:hideMark/>
          </w:tcPr>
          <w:p w14:paraId="45DAE7DD"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0.21</w:t>
            </w:r>
          </w:p>
        </w:tc>
        <w:tc>
          <w:tcPr>
            <w:tcW w:w="940" w:type="dxa"/>
            <w:tcBorders>
              <w:top w:val="nil"/>
              <w:left w:val="nil"/>
              <w:bottom w:val="nil"/>
              <w:right w:val="nil"/>
            </w:tcBorders>
            <w:shd w:val="clear" w:color="auto" w:fill="auto"/>
            <w:vAlign w:val="center"/>
            <w:hideMark/>
          </w:tcPr>
          <w:p w14:paraId="79FDE40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240" w:type="dxa"/>
            <w:tcBorders>
              <w:top w:val="nil"/>
              <w:left w:val="nil"/>
              <w:bottom w:val="nil"/>
              <w:right w:val="nil"/>
            </w:tcBorders>
            <w:shd w:val="clear" w:color="auto" w:fill="auto"/>
            <w:vAlign w:val="center"/>
            <w:hideMark/>
          </w:tcPr>
          <w:p w14:paraId="1C2192B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r>
      <w:tr w:rsidR="00F7725C" w:rsidRPr="004C66D9" w14:paraId="7585E4E7" w14:textId="77777777" w:rsidTr="00E72162">
        <w:trPr>
          <w:trHeight w:val="330"/>
          <w:jc w:val="center"/>
        </w:trPr>
        <w:tc>
          <w:tcPr>
            <w:tcW w:w="2200" w:type="dxa"/>
            <w:tcBorders>
              <w:top w:val="nil"/>
              <w:left w:val="nil"/>
              <w:bottom w:val="nil"/>
              <w:right w:val="nil"/>
            </w:tcBorders>
            <w:shd w:val="clear" w:color="auto" w:fill="auto"/>
            <w:vAlign w:val="center"/>
            <w:hideMark/>
          </w:tcPr>
          <w:p w14:paraId="6C8D2D6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7F13880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0.19</w:t>
            </w:r>
          </w:p>
        </w:tc>
        <w:tc>
          <w:tcPr>
            <w:tcW w:w="1340" w:type="dxa"/>
            <w:tcBorders>
              <w:top w:val="nil"/>
              <w:left w:val="nil"/>
              <w:bottom w:val="nil"/>
              <w:right w:val="nil"/>
            </w:tcBorders>
            <w:shd w:val="clear" w:color="auto" w:fill="auto"/>
            <w:vAlign w:val="center"/>
            <w:hideMark/>
          </w:tcPr>
          <w:p w14:paraId="2B567CF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1020" w:type="dxa"/>
            <w:tcBorders>
              <w:top w:val="nil"/>
              <w:left w:val="nil"/>
              <w:bottom w:val="nil"/>
              <w:right w:val="nil"/>
            </w:tcBorders>
            <w:shd w:val="clear" w:color="auto" w:fill="auto"/>
            <w:vAlign w:val="center"/>
            <w:hideMark/>
          </w:tcPr>
          <w:p w14:paraId="3005C6E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0.22</w:t>
            </w:r>
          </w:p>
        </w:tc>
        <w:tc>
          <w:tcPr>
            <w:tcW w:w="1180" w:type="dxa"/>
            <w:tcBorders>
              <w:top w:val="nil"/>
              <w:left w:val="nil"/>
              <w:bottom w:val="nil"/>
              <w:right w:val="nil"/>
            </w:tcBorders>
            <w:shd w:val="clear" w:color="auto" w:fill="auto"/>
            <w:vAlign w:val="center"/>
            <w:hideMark/>
          </w:tcPr>
          <w:p w14:paraId="68AC99A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0.15</w:t>
            </w:r>
          </w:p>
        </w:tc>
        <w:tc>
          <w:tcPr>
            <w:tcW w:w="940" w:type="dxa"/>
            <w:tcBorders>
              <w:top w:val="nil"/>
              <w:left w:val="nil"/>
              <w:bottom w:val="nil"/>
              <w:right w:val="nil"/>
            </w:tcBorders>
            <w:shd w:val="clear" w:color="auto" w:fill="auto"/>
            <w:vAlign w:val="center"/>
            <w:hideMark/>
          </w:tcPr>
          <w:p w14:paraId="40909B8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0.19</w:t>
            </w:r>
          </w:p>
        </w:tc>
        <w:tc>
          <w:tcPr>
            <w:tcW w:w="1240" w:type="dxa"/>
            <w:tcBorders>
              <w:top w:val="nil"/>
              <w:left w:val="nil"/>
              <w:bottom w:val="nil"/>
              <w:right w:val="nil"/>
            </w:tcBorders>
            <w:shd w:val="clear" w:color="auto" w:fill="auto"/>
            <w:vAlign w:val="center"/>
            <w:hideMark/>
          </w:tcPr>
          <w:p w14:paraId="06AB526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16452F42" w14:textId="77777777" w:rsidTr="00E72162">
        <w:trPr>
          <w:trHeight w:val="390"/>
          <w:jc w:val="center"/>
        </w:trPr>
        <w:tc>
          <w:tcPr>
            <w:tcW w:w="2200" w:type="dxa"/>
            <w:tcBorders>
              <w:top w:val="nil"/>
              <w:left w:val="nil"/>
              <w:bottom w:val="nil"/>
              <w:right w:val="nil"/>
            </w:tcBorders>
            <w:shd w:val="clear" w:color="auto" w:fill="auto"/>
            <w:vAlign w:val="center"/>
            <w:hideMark/>
          </w:tcPr>
          <w:p w14:paraId="2CAB72CC"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Social Connectedness</w:t>
            </w:r>
          </w:p>
        </w:tc>
        <w:tc>
          <w:tcPr>
            <w:tcW w:w="940" w:type="dxa"/>
            <w:tcBorders>
              <w:top w:val="nil"/>
              <w:left w:val="nil"/>
              <w:bottom w:val="nil"/>
              <w:right w:val="nil"/>
            </w:tcBorders>
            <w:shd w:val="clear" w:color="auto" w:fill="auto"/>
            <w:noWrap/>
            <w:vAlign w:val="bottom"/>
            <w:hideMark/>
          </w:tcPr>
          <w:p w14:paraId="485FBFC5"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C4CC33B"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47EA8008" w14:textId="77777777" w:rsidR="00F7725C" w:rsidRPr="004C66D9" w:rsidRDefault="00F7725C" w:rsidP="00E72162">
            <w:pPr>
              <w:rPr>
                <w:rFonts w:cstheme="minorHAnsi"/>
                <w:sz w:val="22"/>
                <w:szCs w:val="22"/>
              </w:rPr>
            </w:pPr>
          </w:p>
        </w:tc>
        <w:tc>
          <w:tcPr>
            <w:tcW w:w="1180" w:type="dxa"/>
            <w:tcBorders>
              <w:top w:val="nil"/>
              <w:left w:val="nil"/>
              <w:bottom w:val="nil"/>
              <w:right w:val="nil"/>
            </w:tcBorders>
            <w:shd w:val="clear" w:color="auto" w:fill="auto"/>
            <w:vAlign w:val="center"/>
            <w:hideMark/>
          </w:tcPr>
          <w:p w14:paraId="0A3E8555"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1B8DB9DD"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27201EAA" w14:textId="77777777" w:rsidR="00F7725C" w:rsidRPr="004C66D9" w:rsidRDefault="00F7725C" w:rsidP="00E72162">
            <w:pPr>
              <w:rPr>
                <w:rFonts w:cstheme="minorHAnsi"/>
                <w:sz w:val="22"/>
                <w:szCs w:val="22"/>
              </w:rPr>
            </w:pPr>
          </w:p>
        </w:tc>
      </w:tr>
      <w:tr w:rsidR="00F7725C" w:rsidRPr="004C66D9" w14:paraId="6EDE239A" w14:textId="77777777" w:rsidTr="00E72162">
        <w:trPr>
          <w:trHeight w:val="345"/>
          <w:jc w:val="center"/>
        </w:trPr>
        <w:tc>
          <w:tcPr>
            <w:tcW w:w="2200" w:type="dxa"/>
            <w:tcBorders>
              <w:top w:val="nil"/>
              <w:left w:val="nil"/>
              <w:bottom w:val="nil"/>
              <w:right w:val="nil"/>
            </w:tcBorders>
            <w:shd w:val="clear" w:color="auto" w:fill="auto"/>
            <w:vAlign w:val="center"/>
            <w:hideMark/>
          </w:tcPr>
          <w:p w14:paraId="7732C61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1E6A61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-0.17</w:t>
            </w:r>
          </w:p>
        </w:tc>
        <w:tc>
          <w:tcPr>
            <w:tcW w:w="1340" w:type="dxa"/>
            <w:tcBorders>
              <w:top w:val="nil"/>
              <w:left w:val="nil"/>
              <w:bottom w:val="nil"/>
              <w:right w:val="nil"/>
            </w:tcBorders>
            <w:shd w:val="clear" w:color="auto" w:fill="auto"/>
            <w:vAlign w:val="center"/>
            <w:hideMark/>
          </w:tcPr>
          <w:p w14:paraId="387EA7A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6DF3AAA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c>
          <w:tcPr>
            <w:tcW w:w="1180" w:type="dxa"/>
            <w:tcBorders>
              <w:top w:val="nil"/>
              <w:left w:val="nil"/>
              <w:bottom w:val="nil"/>
              <w:right w:val="nil"/>
            </w:tcBorders>
            <w:shd w:val="clear" w:color="auto" w:fill="auto"/>
            <w:vAlign w:val="center"/>
            <w:hideMark/>
          </w:tcPr>
          <w:p w14:paraId="37E5DC5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vAlign w:val="center"/>
            <w:hideMark/>
          </w:tcPr>
          <w:p w14:paraId="08421D1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-0.27</w:t>
            </w:r>
          </w:p>
        </w:tc>
        <w:tc>
          <w:tcPr>
            <w:tcW w:w="1240" w:type="dxa"/>
            <w:tcBorders>
              <w:top w:val="nil"/>
              <w:left w:val="nil"/>
              <w:bottom w:val="nil"/>
              <w:right w:val="nil"/>
            </w:tcBorders>
            <w:shd w:val="clear" w:color="auto" w:fill="auto"/>
            <w:vAlign w:val="center"/>
            <w:hideMark/>
          </w:tcPr>
          <w:p w14:paraId="6B63CDE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r>
      <w:tr w:rsidR="00F7725C" w:rsidRPr="004C66D9" w14:paraId="2968890E" w14:textId="77777777" w:rsidTr="00E72162">
        <w:trPr>
          <w:trHeight w:val="345"/>
          <w:jc w:val="center"/>
        </w:trPr>
        <w:tc>
          <w:tcPr>
            <w:tcW w:w="2200" w:type="dxa"/>
            <w:tcBorders>
              <w:top w:val="nil"/>
              <w:left w:val="nil"/>
              <w:bottom w:val="nil"/>
              <w:right w:val="nil"/>
            </w:tcBorders>
            <w:shd w:val="clear" w:color="auto" w:fill="auto"/>
            <w:vAlign w:val="center"/>
            <w:hideMark/>
          </w:tcPr>
          <w:p w14:paraId="5B08B65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7847268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340" w:type="dxa"/>
            <w:tcBorders>
              <w:top w:val="nil"/>
              <w:left w:val="nil"/>
              <w:bottom w:val="nil"/>
              <w:right w:val="nil"/>
            </w:tcBorders>
            <w:shd w:val="clear" w:color="auto" w:fill="auto"/>
            <w:vAlign w:val="center"/>
            <w:hideMark/>
          </w:tcPr>
          <w:p w14:paraId="5C9CFDF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0DC834D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1180" w:type="dxa"/>
            <w:tcBorders>
              <w:top w:val="nil"/>
              <w:left w:val="nil"/>
              <w:bottom w:val="nil"/>
              <w:right w:val="nil"/>
            </w:tcBorders>
            <w:shd w:val="clear" w:color="auto" w:fill="auto"/>
            <w:vAlign w:val="center"/>
            <w:hideMark/>
          </w:tcPr>
          <w:p w14:paraId="54A0E25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940" w:type="dxa"/>
            <w:tcBorders>
              <w:top w:val="nil"/>
              <w:left w:val="nil"/>
              <w:bottom w:val="nil"/>
              <w:right w:val="nil"/>
            </w:tcBorders>
            <w:shd w:val="clear" w:color="auto" w:fill="auto"/>
            <w:vAlign w:val="center"/>
            <w:hideMark/>
          </w:tcPr>
          <w:p w14:paraId="3B181E9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240" w:type="dxa"/>
            <w:tcBorders>
              <w:top w:val="nil"/>
              <w:left w:val="nil"/>
              <w:bottom w:val="nil"/>
              <w:right w:val="nil"/>
            </w:tcBorders>
            <w:shd w:val="clear" w:color="auto" w:fill="auto"/>
            <w:vAlign w:val="center"/>
            <w:hideMark/>
          </w:tcPr>
          <w:p w14:paraId="275956E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63F1F517" w14:textId="77777777" w:rsidTr="00E72162">
        <w:trPr>
          <w:trHeight w:val="345"/>
          <w:jc w:val="center"/>
        </w:trPr>
        <w:tc>
          <w:tcPr>
            <w:tcW w:w="2200" w:type="dxa"/>
            <w:tcBorders>
              <w:top w:val="nil"/>
              <w:left w:val="nil"/>
              <w:bottom w:val="nil"/>
              <w:right w:val="nil"/>
            </w:tcBorders>
            <w:shd w:val="clear" w:color="auto" w:fill="auto"/>
            <w:vAlign w:val="center"/>
            <w:hideMark/>
          </w:tcPr>
          <w:p w14:paraId="2A5EB873"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General Satisfaction</w:t>
            </w:r>
          </w:p>
        </w:tc>
        <w:tc>
          <w:tcPr>
            <w:tcW w:w="940" w:type="dxa"/>
            <w:tcBorders>
              <w:top w:val="nil"/>
              <w:left w:val="nil"/>
              <w:bottom w:val="nil"/>
              <w:right w:val="nil"/>
            </w:tcBorders>
            <w:shd w:val="clear" w:color="auto" w:fill="auto"/>
            <w:noWrap/>
            <w:vAlign w:val="bottom"/>
            <w:hideMark/>
          </w:tcPr>
          <w:p w14:paraId="0ED6EFDE"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66BCD430"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5252CA5" w14:textId="77777777" w:rsidR="00F7725C" w:rsidRPr="004C66D9" w:rsidRDefault="00F7725C" w:rsidP="00E72162">
            <w:pPr>
              <w:rPr>
                <w:rFonts w:cstheme="minorHAnsi"/>
                <w:sz w:val="22"/>
                <w:szCs w:val="22"/>
              </w:rPr>
            </w:pPr>
          </w:p>
        </w:tc>
        <w:tc>
          <w:tcPr>
            <w:tcW w:w="1180" w:type="dxa"/>
            <w:tcBorders>
              <w:top w:val="nil"/>
              <w:left w:val="nil"/>
              <w:bottom w:val="nil"/>
              <w:right w:val="nil"/>
            </w:tcBorders>
            <w:shd w:val="clear" w:color="auto" w:fill="auto"/>
            <w:vAlign w:val="center"/>
            <w:hideMark/>
          </w:tcPr>
          <w:p w14:paraId="2E2EB5C5"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51001BE9"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0C3B8F37" w14:textId="77777777" w:rsidR="00F7725C" w:rsidRPr="004C66D9" w:rsidRDefault="00F7725C" w:rsidP="00E72162">
            <w:pPr>
              <w:rPr>
                <w:rFonts w:cstheme="minorHAnsi"/>
                <w:sz w:val="22"/>
                <w:szCs w:val="22"/>
              </w:rPr>
            </w:pPr>
          </w:p>
        </w:tc>
      </w:tr>
      <w:tr w:rsidR="00F7725C" w:rsidRPr="004C66D9" w14:paraId="1A2A7120" w14:textId="77777777" w:rsidTr="00E72162">
        <w:trPr>
          <w:trHeight w:val="345"/>
          <w:jc w:val="center"/>
        </w:trPr>
        <w:tc>
          <w:tcPr>
            <w:tcW w:w="2200" w:type="dxa"/>
            <w:tcBorders>
              <w:top w:val="nil"/>
              <w:left w:val="nil"/>
              <w:bottom w:val="nil"/>
              <w:right w:val="nil"/>
            </w:tcBorders>
            <w:shd w:val="clear" w:color="auto" w:fill="auto"/>
            <w:vAlign w:val="center"/>
            <w:hideMark/>
          </w:tcPr>
          <w:p w14:paraId="5454517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41C6217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68FEA6E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020" w:type="dxa"/>
            <w:tcBorders>
              <w:top w:val="nil"/>
              <w:left w:val="nil"/>
              <w:bottom w:val="nil"/>
              <w:right w:val="nil"/>
            </w:tcBorders>
            <w:shd w:val="clear" w:color="auto" w:fill="auto"/>
            <w:vAlign w:val="center"/>
            <w:hideMark/>
          </w:tcPr>
          <w:p w14:paraId="0C55A92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c>
          <w:tcPr>
            <w:tcW w:w="1180" w:type="dxa"/>
            <w:tcBorders>
              <w:top w:val="nil"/>
              <w:left w:val="nil"/>
              <w:bottom w:val="nil"/>
              <w:right w:val="nil"/>
            </w:tcBorders>
            <w:shd w:val="clear" w:color="auto" w:fill="auto"/>
            <w:vAlign w:val="center"/>
            <w:hideMark/>
          </w:tcPr>
          <w:p w14:paraId="4D46668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940" w:type="dxa"/>
            <w:tcBorders>
              <w:top w:val="nil"/>
              <w:left w:val="nil"/>
              <w:bottom w:val="nil"/>
              <w:right w:val="nil"/>
            </w:tcBorders>
            <w:shd w:val="clear" w:color="auto" w:fill="auto"/>
            <w:vAlign w:val="center"/>
            <w:hideMark/>
          </w:tcPr>
          <w:p w14:paraId="20D909F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-0.20</w:t>
            </w:r>
          </w:p>
        </w:tc>
        <w:tc>
          <w:tcPr>
            <w:tcW w:w="1240" w:type="dxa"/>
            <w:tcBorders>
              <w:top w:val="nil"/>
              <w:left w:val="nil"/>
              <w:bottom w:val="nil"/>
              <w:right w:val="nil"/>
            </w:tcBorders>
            <w:shd w:val="clear" w:color="auto" w:fill="auto"/>
            <w:vAlign w:val="center"/>
            <w:hideMark/>
          </w:tcPr>
          <w:p w14:paraId="415FFAE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r>
      <w:tr w:rsidR="00F7725C" w:rsidRPr="004C66D9" w14:paraId="012A5EA0" w14:textId="77777777" w:rsidTr="00E72162">
        <w:trPr>
          <w:trHeight w:val="345"/>
          <w:jc w:val="center"/>
        </w:trPr>
        <w:tc>
          <w:tcPr>
            <w:tcW w:w="2200" w:type="dxa"/>
            <w:tcBorders>
              <w:top w:val="nil"/>
              <w:left w:val="nil"/>
              <w:bottom w:val="nil"/>
              <w:right w:val="nil"/>
            </w:tcBorders>
            <w:shd w:val="clear" w:color="auto" w:fill="auto"/>
            <w:vAlign w:val="center"/>
            <w:hideMark/>
          </w:tcPr>
          <w:p w14:paraId="6942AB5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3DB43D3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469C3BB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72AAECA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0.25</w:t>
            </w:r>
          </w:p>
        </w:tc>
        <w:tc>
          <w:tcPr>
            <w:tcW w:w="1180" w:type="dxa"/>
            <w:tcBorders>
              <w:top w:val="nil"/>
              <w:left w:val="nil"/>
              <w:bottom w:val="nil"/>
              <w:right w:val="nil"/>
            </w:tcBorders>
            <w:shd w:val="clear" w:color="auto" w:fill="auto"/>
            <w:vAlign w:val="center"/>
            <w:hideMark/>
          </w:tcPr>
          <w:p w14:paraId="2245F6C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940" w:type="dxa"/>
            <w:tcBorders>
              <w:top w:val="nil"/>
              <w:left w:val="nil"/>
              <w:bottom w:val="nil"/>
              <w:right w:val="nil"/>
            </w:tcBorders>
            <w:shd w:val="clear" w:color="auto" w:fill="auto"/>
            <w:vAlign w:val="center"/>
            <w:hideMark/>
          </w:tcPr>
          <w:p w14:paraId="7119BD0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-0.09</w:t>
            </w:r>
          </w:p>
        </w:tc>
        <w:tc>
          <w:tcPr>
            <w:tcW w:w="1240" w:type="dxa"/>
            <w:tcBorders>
              <w:top w:val="nil"/>
              <w:left w:val="nil"/>
              <w:bottom w:val="nil"/>
              <w:right w:val="nil"/>
            </w:tcBorders>
            <w:shd w:val="clear" w:color="auto" w:fill="auto"/>
            <w:vAlign w:val="center"/>
            <w:hideMark/>
          </w:tcPr>
          <w:p w14:paraId="0376D73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r>
      <w:tr w:rsidR="00F7725C" w:rsidRPr="004C66D9" w14:paraId="7788C3BA" w14:textId="77777777" w:rsidTr="00E72162">
        <w:trPr>
          <w:trHeight w:val="360"/>
          <w:jc w:val="center"/>
        </w:trPr>
        <w:tc>
          <w:tcPr>
            <w:tcW w:w="2200" w:type="dxa"/>
            <w:tcBorders>
              <w:top w:val="nil"/>
              <w:left w:val="nil"/>
              <w:bottom w:val="nil"/>
              <w:right w:val="nil"/>
            </w:tcBorders>
            <w:shd w:val="clear" w:color="auto" w:fill="auto"/>
            <w:vAlign w:val="center"/>
            <w:hideMark/>
          </w:tcPr>
          <w:p w14:paraId="517CE236"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Daily Functioning</w:t>
            </w:r>
          </w:p>
        </w:tc>
        <w:tc>
          <w:tcPr>
            <w:tcW w:w="940" w:type="dxa"/>
            <w:tcBorders>
              <w:top w:val="nil"/>
              <w:left w:val="nil"/>
              <w:bottom w:val="nil"/>
              <w:right w:val="nil"/>
            </w:tcBorders>
            <w:shd w:val="clear" w:color="auto" w:fill="auto"/>
            <w:noWrap/>
            <w:vAlign w:val="bottom"/>
            <w:hideMark/>
          </w:tcPr>
          <w:p w14:paraId="3EFF1366"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5A9816EE"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7B4915D"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05395BA7"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047DD85C"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6AE1E7DC" w14:textId="77777777" w:rsidR="00F7725C" w:rsidRPr="004C66D9" w:rsidRDefault="00F7725C" w:rsidP="00E72162">
            <w:pPr>
              <w:rPr>
                <w:rFonts w:cstheme="minorHAnsi"/>
                <w:sz w:val="22"/>
                <w:szCs w:val="22"/>
              </w:rPr>
            </w:pPr>
          </w:p>
        </w:tc>
      </w:tr>
      <w:tr w:rsidR="00F7725C" w:rsidRPr="004C66D9" w14:paraId="0F398E9F" w14:textId="77777777" w:rsidTr="00E72162">
        <w:trPr>
          <w:trHeight w:val="360"/>
          <w:jc w:val="center"/>
        </w:trPr>
        <w:tc>
          <w:tcPr>
            <w:tcW w:w="2200" w:type="dxa"/>
            <w:tcBorders>
              <w:top w:val="nil"/>
              <w:left w:val="nil"/>
              <w:bottom w:val="nil"/>
              <w:right w:val="nil"/>
            </w:tcBorders>
            <w:shd w:val="clear" w:color="auto" w:fill="auto"/>
            <w:vAlign w:val="center"/>
            <w:hideMark/>
          </w:tcPr>
          <w:p w14:paraId="54C9AA7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579E30E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-0.16</w:t>
            </w:r>
          </w:p>
        </w:tc>
        <w:tc>
          <w:tcPr>
            <w:tcW w:w="1340" w:type="dxa"/>
            <w:tcBorders>
              <w:top w:val="nil"/>
              <w:left w:val="nil"/>
              <w:bottom w:val="nil"/>
              <w:right w:val="nil"/>
            </w:tcBorders>
            <w:shd w:val="clear" w:color="auto" w:fill="auto"/>
            <w:vAlign w:val="center"/>
            <w:hideMark/>
          </w:tcPr>
          <w:p w14:paraId="6AC6462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c>
          <w:tcPr>
            <w:tcW w:w="1020" w:type="dxa"/>
            <w:tcBorders>
              <w:top w:val="nil"/>
              <w:left w:val="nil"/>
              <w:bottom w:val="nil"/>
              <w:right w:val="nil"/>
            </w:tcBorders>
            <w:shd w:val="clear" w:color="auto" w:fill="auto"/>
            <w:vAlign w:val="center"/>
            <w:hideMark/>
          </w:tcPr>
          <w:p w14:paraId="537D861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180" w:type="dxa"/>
            <w:tcBorders>
              <w:top w:val="nil"/>
              <w:left w:val="nil"/>
              <w:bottom w:val="nil"/>
              <w:right w:val="nil"/>
            </w:tcBorders>
            <w:shd w:val="clear" w:color="auto" w:fill="auto"/>
            <w:vAlign w:val="center"/>
            <w:hideMark/>
          </w:tcPr>
          <w:p w14:paraId="118E881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vAlign w:val="center"/>
            <w:hideMark/>
          </w:tcPr>
          <w:p w14:paraId="24086CE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-0.22</w:t>
            </w:r>
          </w:p>
        </w:tc>
        <w:tc>
          <w:tcPr>
            <w:tcW w:w="1240" w:type="dxa"/>
            <w:tcBorders>
              <w:top w:val="nil"/>
              <w:left w:val="nil"/>
              <w:bottom w:val="nil"/>
              <w:right w:val="nil"/>
            </w:tcBorders>
            <w:shd w:val="clear" w:color="auto" w:fill="auto"/>
            <w:vAlign w:val="center"/>
            <w:hideMark/>
          </w:tcPr>
          <w:p w14:paraId="7246550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r>
      <w:tr w:rsidR="00F7725C" w:rsidRPr="004C66D9" w14:paraId="3B130B68" w14:textId="77777777" w:rsidTr="00E72162">
        <w:trPr>
          <w:trHeight w:val="360"/>
          <w:jc w:val="center"/>
        </w:trPr>
        <w:tc>
          <w:tcPr>
            <w:tcW w:w="2200" w:type="dxa"/>
            <w:tcBorders>
              <w:top w:val="nil"/>
              <w:left w:val="nil"/>
              <w:bottom w:val="nil"/>
              <w:right w:val="nil"/>
            </w:tcBorders>
            <w:shd w:val="clear" w:color="auto" w:fill="auto"/>
            <w:vAlign w:val="center"/>
            <w:hideMark/>
          </w:tcPr>
          <w:p w14:paraId="2E21148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461E0D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0A058F7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vAlign w:val="center"/>
            <w:hideMark/>
          </w:tcPr>
          <w:p w14:paraId="125D1E4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180" w:type="dxa"/>
            <w:tcBorders>
              <w:top w:val="nil"/>
              <w:left w:val="nil"/>
              <w:bottom w:val="nil"/>
              <w:right w:val="nil"/>
            </w:tcBorders>
            <w:shd w:val="clear" w:color="auto" w:fill="auto"/>
            <w:vAlign w:val="center"/>
            <w:hideMark/>
          </w:tcPr>
          <w:p w14:paraId="195F21B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vAlign w:val="center"/>
            <w:hideMark/>
          </w:tcPr>
          <w:p w14:paraId="719C815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c>
          <w:tcPr>
            <w:tcW w:w="1240" w:type="dxa"/>
            <w:tcBorders>
              <w:top w:val="nil"/>
              <w:left w:val="nil"/>
              <w:bottom w:val="nil"/>
              <w:right w:val="nil"/>
            </w:tcBorders>
            <w:shd w:val="clear" w:color="auto" w:fill="auto"/>
            <w:vAlign w:val="center"/>
            <w:hideMark/>
          </w:tcPr>
          <w:p w14:paraId="1C1A614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r>
      <w:tr w:rsidR="00F7725C" w:rsidRPr="004C66D9" w14:paraId="7D18CEA4" w14:textId="77777777" w:rsidTr="00E72162">
        <w:trPr>
          <w:trHeight w:val="330"/>
          <w:jc w:val="center"/>
        </w:trPr>
        <w:tc>
          <w:tcPr>
            <w:tcW w:w="2200" w:type="dxa"/>
            <w:tcBorders>
              <w:top w:val="nil"/>
              <w:left w:val="nil"/>
              <w:bottom w:val="nil"/>
              <w:right w:val="nil"/>
            </w:tcBorders>
            <w:shd w:val="clear" w:color="auto" w:fill="auto"/>
            <w:vAlign w:val="center"/>
            <w:hideMark/>
          </w:tcPr>
          <w:p w14:paraId="64A95F1C"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Quality</w:t>
            </w:r>
          </w:p>
        </w:tc>
        <w:tc>
          <w:tcPr>
            <w:tcW w:w="940" w:type="dxa"/>
            <w:tcBorders>
              <w:top w:val="nil"/>
              <w:left w:val="nil"/>
              <w:bottom w:val="nil"/>
              <w:right w:val="nil"/>
            </w:tcBorders>
            <w:shd w:val="clear" w:color="auto" w:fill="auto"/>
            <w:noWrap/>
            <w:vAlign w:val="bottom"/>
            <w:hideMark/>
          </w:tcPr>
          <w:p w14:paraId="50B29634"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6E392B58"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2240C2BC"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297B7233"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FD8E870"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3F5A0FB1" w14:textId="77777777" w:rsidR="00F7725C" w:rsidRPr="004C66D9" w:rsidRDefault="00F7725C" w:rsidP="00E72162">
            <w:pPr>
              <w:rPr>
                <w:rFonts w:cstheme="minorHAnsi"/>
                <w:sz w:val="22"/>
                <w:szCs w:val="22"/>
              </w:rPr>
            </w:pPr>
          </w:p>
        </w:tc>
      </w:tr>
      <w:tr w:rsidR="00F7725C" w:rsidRPr="004C66D9" w14:paraId="10B59282" w14:textId="77777777" w:rsidTr="00E72162">
        <w:trPr>
          <w:trHeight w:val="345"/>
          <w:jc w:val="center"/>
        </w:trPr>
        <w:tc>
          <w:tcPr>
            <w:tcW w:w="2200" w:type="dxa"/>
            <w:tcBorders>
              <w:top w:val="nil"/>
              <w:left w:val="nil"/>
              <w:bottom w:val="nil"/>
              <w:right w:val="nil"/>
            </w:tcBorders>
            <w:shd w:val="clear" w:color="auto" w:fill="auto"/>
            <w:vAlign w:val="center"/>
            <w:hideMark/>
          </w:tcPr>
          <w:p w14:paraId="3BBC658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458F16D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340" w:type="dxa"/>
            <w:tcBorders>
              <w:top w:val="nil"/>
              <w:left w:val="nil"/>
              <w:bottom w:val="nil"/>
              <w:right w:val="nil"/>
            </w:tcBorders>
            <w:shd w:val="clear" w:color="auto" w:fill="auto"/>
            <w:vAlign w:val="center"/>
            <w:hideMark/>
          </w:tcPr>
          <w:p w14:paraId="1D6C6EE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vAlign w:val="center"/>
            <w:hideMark/>
          </w:tcPr>
          <w:p w14:paraId="63E684B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180" w:type="dxa"/>
            <w:tcBorders>
              <w:top w:val="nil"/>
              <w:left w:val="nil"/>
              <w:bottom w:val="nil"/>
              <w:right w:val="nil"/>
            </w:tcBorders>
            <w:shd w:val="clear" w:color="auto" w:fill="auto"/>
            <w:vAlign w:val="center"/>
            <w:hideMark/>
          </w:tcPr>
          <w:p w14:paraId="1D7ECF5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940" w:type="dxa"/>
            <w:tcBorders>
              <w:top w:val="nil"/>
              <w:left w:val="nil"/>
              <w:bottom w:val="nil"/>
              <w:right w:val="nil"/>
            </w:tcBorders>
            <w:shd w:val="clear" w:color="auto" w:fill="auto"/>
            <w:vAlign w:val="center"/>
            <w:hideMark/>
          </w:tcPr>
          <w:p w14:paraId="24E58C3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-0.09</w:t>
            </w:r>
          </w:p>
        </w:tc>
        <w:tc>
          <w:tcPr>
            <w:tcW w:w="1240" w:type="dxa"/>
            <w:tcBorders>
              <w:top w:val="nil"/>
              <w:left w:val="nil"/>
              <w:bottom w:val="nil"/>
              <w:right w:val="nil"/>
            </w:tcBorders>
            <w:shd w:val="clear" w:color="auto" w:fill="auto"/>
            <w:vAlign w:val="center"/>
            <w:hideMark/>
          </w:tcPr>
          <w:p w14:paraId="154199C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r>
      <w:tr w:rsidR="00F7725C" w:rsidRPr="004C66D9" w14:paraId="7BE9231E" w14:textId="77777777" w:rsidTr="00E72162">
        <w:trPr>
          <w:trHeight w:val="345"/>
          <w:jc w:val="center"/>
        </w:trPr>
        <w:tc>
          <w:tcPr>
            <w:tcW w:w="2200" w:type="dxa"/>
            <w:tcBorders>
              <w:top w:val="nil"/>
              <w:left w:val="nil"/>
              <w:bottom w:val="nil"/>
              <w:right w:val="nil"/>
            </w:tcBorders>
            <w:shd w:val="clear" w:color="auto" w:fill="auto"/>
            <w:vAlign w:val="center"/>
            <w:hideMark/>
          </w:tcPr>
          <w:p w14:paraId="20C23A9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564DFFD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340" w:type="dxa"/>
            <w:tcBorders>
              <w:top w:val="nil"/>
              <w:left w:val="nil"/>
              <w:bottom w:val="nil"/>
              <w:right w:val="nil"/>
            </w:tcBorders>
            <w:shd w:val="clear" w:color="auto" w:fill="auto"/>
            <w:vAlign w:val="center"/>
            <w:hideMark/>
          </w:tcPr>
          <w:p w14:paraId="095C4D7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vAlign w:val="center"/>
            <w:hideMark/>
          </w:tcPr>
          <w:p w14:paraId="3514CC3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0.14</w:t>
            </w:r>
          </w:p>
        </w:tc>
        <w:tc>
          <w:tcPr>
            <w:tcW w:w="1180" w:type="dxa"/>
            <w:tcBorders>
              <w:top w:val="nil"/>
              <w:left w:val="nil"/>
              <w:bottom w:val="nil"/>
              <w:right w:val="nil"/>
            </w:tcBorders>
            <w:shd w:val="clear" w:color="auto" w:fill="auto"/>
            <w:vAlign w:val="center"/>
            <w:hideMark/>
          </w:tcPr>
          <w:p w14:paraId="79EA0DD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c>
          <w:tcPr>
            <w:tcW w:w="940" w:type="dxa"/>
            <w:tcBorders>
              <w:top w:val="nil"/>
              <w:left w:val="nil"/>
              <w:bottom w:val="nil"/>
              <w:right w:val="nil"/>
            </w:tcBorders>
            <w:shd w:val="clear" w:color="auto" w:fill="auto"/>
            <w:vAlign w:val="center"/>
            <w:hideMark/>
          </w:tcPr>
          <w:p w14:paraId="23232C4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240" w:type="dxa"/>
            <w:tcBorders>
              <w:top w:val="nil"/>
              <w:left w:val="nil"/>
              <w:bottom w:val="nil"/>
              <w:right w:val="nil"/>
            </w:tcBorders>
            <w:shd w:val="clear" w:color="auto" w:fill="auto"/>
            <w:vAlign w:val="center"/>
            <w:hideMark/>
          </w:tcPr>
          <w:p w14:paraId="176795C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r>
      <w:tr w:rsidR="00F7725C" w:rsidRPr="004C66D9" w14:paraId="783C4777" w14:textId="77777777" w:rsidTr="00E72162">
        <w:trPr>
          <w:trHeight w:val="390"/>
          <w:jc w:val="center"/>
        </w:trPr>
        <w:tc>
          <w:tcPr>
            <w:tcW w:w="2200" w:type="dxa"/>
            <w:tcBorders>
              <w:top w:val="nil"/>
              <w:left w:val="nil"/>
              <w:bottom w:val="nil"/>
              <w:right w:val="nil"/>
            </w:tcBorders>
            <w:shd w:val="clear" w:color="auto" w:fill="auto"/>
            <w:vAlign w:val="center"/>
            <w:hideMark/>
          </w:tcPr>
          <w:p w14:paraId="39F52877"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Treatment Outcomes</w:t>
            </w:r>
          </w:p>
        </w:tc>
        <w:tc>
          <w:tcPr>
            <w:tcW w:w="940" w:type="dxa"/>
            <w:tcBorders>
              <w:top w:val="nil"/>
              <w:left w:val="nil"/>
              <w:bottom w:val="nil"/>
              <w:right w:val="nil"/>
            </w:tcBorders>
            <w:shd w:val="clear" w:color="auto" w:fill="auto"/>
            <w:noWrap/>
            <w:vAlign w:val="bottom"/>
            <w:hideMark/>
          </w:tcPr>
          <w:p w14:paraId="0D1E2CBC"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59A6D10E"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6FAEFF18"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277D22F9"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06B369A0"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2BE7D753" w14:textId="77777777" w:rsidR="00F7725C" w:rsidRPr="004C66D9" w:rsidRDefault="00F7725C" w:rsidP="00E72162">
            <w:pPr>
              <w:rPr>
                <w:rFonts w:cstheme="minorHAnsi"/>
                <w:sz w:val="22"/>
                <w:szCs w:val="22"/>
              </w:rPr>
            </w:pPr>
          </w:p>
        </w:tc>
      </w:tr>
      <w:tr w:rsidR="00F7725C" w:rsidRPr="004C66D9" w14:paraId="711EEAC3" w14:textId="77777777" w:rsidTr="00E72162">
        <w:trPr>
          <w:trHeight w:val="345"/>
          <w:jc w:val="center"/>
        </w:trPr>
        <w:tc>
          <w:tcPr>
            <w:tcW w:w="2200" w:type="dxa"/>
            <w:tcBorders>
              <w:top w:val="nil"/>
              <w:left w:val="nil"/>
              <w:bottom w:val="nil"/>
              <w:right w:val="nil"/>
            </w:tcBorders>
            <w:shd w:val="clear" w:color="auto" w:fill="auto"/>
            <w:vAlign w:val="center"/>
            <w:hideMark/>
          </w:tcPr>
          <w:p w14:paraId="3B8EA8E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6AF2656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c>
          <w:tcPr>
            <w:tcW w:w="1340" w:type="dxa"/>
            <w:tcBorders>
              <w:top w:val="nil"/>
              <w:left w:val="nil"/>
              <w:bottom w:val="nil"/>
              <w:right w:val="nil"/>
            </w:tcBorders>
            <w:shd w:val="clear" w:color="auto" w:fill="auto"/>
            <w:vAlign w:val="center"/>
            <w:hideMark/>
          </w:tcPr>
          <w:p w14:paraId="702834A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51797CD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0.20</w:t>
            </w:r>
          </w:p>
        </w:tc>
        <w:tc>
          <w:tcPr>
            <w:tcW w:w="1180" w:type="dxa"/>
            <w:tcBorders>
              <w:top w:val="nil"/>
              <w:left w:val="nil"/>
              <w:bottom w:val="nil"/>
              <w:right w:val="nil"/>
            </w:tcBorders>
            <w:shd w:val="clear" w:color="auto" w:fill="auto"/>
            <w:vAlign w:val="center"/>
            <w:hideMark/>
          </w:tcPr>
          <w:p w14:paraId="3CB6C2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940" w:type="dxa"/>
            <w:tcBorders>
              <w:top w:val="nil"/>
              <w:left w:val="nil"/>
              <w:bottom w:val="nil"/>
              <w:right w:val="nil"/>
            </w:tcBorders>
            <w:shd w:val="clear" w:color="auto" w:fill="auto"/>
            <w:vAlign w:val="center"/>
            <w:hideMark/>
          </w:tcPr>
          <w:p w14:paraId="4A5D3BD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-0.35</w:t>
            </w:r>
          </w:p>
        </w:tc>
        <w:tc>
          <w:tcPr>
            <w:tcW w:w="1240" w:type="dxa"/>
            <w:tcBorders>
              <w:top w:val="nil"/>
              <w:left w:val="nil"/>
              <w:bottom w:val="nil"/>
              <w:right w:val="nil"/>
            </w:tcBorders>
            <w:shd w:val="clear" w:color="auto" w:fill="auto"/>
            <w:vAlign w:val="center"/>
            <w:hideMark/>
          </w:tcPr>
          <w:p w14:paraId="75CDBE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r>
      <w:tr w:rsidR="00F7725C" w:rsidRPr="004C66D9" w14:paraId="7200FE33" w14:textId="77777777" w:rsidTr="00E72162">
        <w:trPr>
          <w:trHeight w:val="330"/>
          <w:jc w:val="center"/>
        </w:trPr>
        <w:tc>
          <w:tcPr>
            <w:tcW w:w="2200" w:type="dxa"/>
            <w:tcBorders>
              <w:top w:val="nil"/>
              <w:left w:val="nil"/>
              <w:bottom w:val="nil"/>
              <w:right w:val="nil"/>
            </w:tcBorders>
            <w:shd w:val="clear" w:color="auto" w:fill="auto"/>
            <w:vAlign w:val="center"/>
            <w:hideMark/>
          </w:tcPr>
          <w:p w14:paraId="4A211E9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739E97E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2635B8E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nil"/>
              <w:right w:val="nil"/>
            </w:tcBorders>
            <w:shd w:val="clear" w:color="auto" w:fill="auto"/>
            <w:vAlign w:val="center"/>
            <w:hideMark/>
          </w:tcPr>
          <w:p w14:paraId="760457C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0.33</w:t>
            </w:r>
          </w:p>
        </w:tc>
        <w:tc>
          <w:tcPr>
            <w:tcW w:w="1180" w:type="dxa"/>
            <w:tcBorders>
              <w:top w:val="nil"/>
              <w:left w:val="nil"/>
              <w:bottom w:val="nil"/>
              <w:right w:val="nil"/>
            </w:tcBorders>
            <w:shd w:val="clear" w:color="auto" w:fill="auto"/>
            <w:vAlign w:val="center"/>
            <w:hideMark/>
          </w:tcPr>
          <w:p w14:paraId="1FA94F6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0.13</w:t>
            </w:r>
          </w:p>
        </w:tc>
        <w:tc>
          <w:tcPr>
            <w:tcW w:w="940" w:type="dxa"/>
            <w:tcBorders>
              <w:top w:val="nil"/>
              <w:left w:val="nil"/>
              <w:bottom w:val="nil"/>
              <w:right w:val="nil"/>
            </w:tcBorders>
            <w:shd w:val="clear" w:color="auto" w:fill="auto"/>
            <w:vAlign w:val="center"/>
            <w:hideMark/>
          </w:tcPr>
          <w:p w14:paraId="3D580D0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-0.14</w:t>
            </w:r>
          </w:p>
        </w:tc>
        <w:tc>
          <w:tcPr>
            <w:tcW w:w="1240" w:type="dxa"/>
            <w:tcBorders>
              <w:top w:val="nil"/>
              <w:left w:val="nil"/>
              <w:bottom w:val="nil"/>
              <w:right w:val="nil"/>
            </w:tcBorders>
            <w:shd w:val="clear" w:color="auto" w:fill="auto"/>
            <w:vAlign w:val="center"/>
            <w:hideMark/>
          </w:tcPr>
          <w:p w14:paraId="75F924A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r>
      <w:tr w:rsidR="00F7725C" w:rsidRPr="004C66D9" w14:paraId="6EFE6A02" w14:textId="77777777" w:rsidTr="00E72162">
        <w:trPr>
          <w:trHeight w:val="360"/>
          <w:jc w:val="center"/>
        </w:trPr>
        <w:tc>
          <w:tcPr>
            <w:tcW w:w="2200" w:type="dxa"/>
            <w:tcBorders>
              <w:top w:val="nil"/>
              <w:left w:val="nil"/>
              <w:bottom w:val="nil"/>
              <w:right w:val="nil"/>
            </w:tcBorders>
            <w:shd w:val="clear" w:color="auto" w:fill="auto"/>
            <w:vAlign w:val="center"/>
            <w:hideMark/>
          </w:tcPr>
          <w:p w14:paraId="2B24E663"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Participation</w:t>
            </w:r>
          </w:p>
        </w:tc>
        <w:tc>
          <w:tcPr>
            <w:tcW w:w="940" w:type="dxa"/>
            <w:tcBorders>
              <w:top w:val="nil"/>
              <w:left w:val="nil"/>
              <w:bottom w:val="nil"/>
              <w:right w:val="nil"/>
            </w:tcBorders>
            <w:shd w:val="clear" w:color="auto" w:fill="auto"/>
            <w:noWrap/>
            <w:vAlign w:val="bottom"/>
            <w:hideMark/>
          </w:tcPr>
          <w:p w14:paraId="41A7212E"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43B0CAE9"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70652761"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73A4B32A"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107A4713"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3E055E46" w14:textId="77777777" w:rsidR="00F7725C" w:rsidRPr="004C66D9" w:rsidRDefault="00F7725C" w:rsidP="00E72162">
            <w:pPr>
              <w:rPr>
                <w:rFonts w:cstheme="minorHAnsi"/>
                <w:sz w:val="22"/>
                <w:szCs w:val="22"/>
              </w:rPr>
            </w:pPr>
          </w:p>
        </w:tc>
      </w:tr>
      <w:tr w:rsidR="00F7725C" w:rsidRPr="004C66D9" w14:paraId="66E52E99" w14:textId="77777777" w:rsidTr="00E72162">
        <w:trPr>
          <w:trHeight w:val="345"/>
          <w:jc w:val="center"/>
        </w:trPr>
        <w:tc>
          <w:tcPr>
            <w:tcW w:w="2200" w:type="dxa"/>
            <w:tcBorders>
              <w:top w:val="nil"/>
              <w:left w:val="nil"/>
              <w:bottom w:val="nil"/>
              <w:right w:val="nil"/>
            </w:tcBorders>
            <w:shd w:val="clear" w:color="auto" w:fill="auto"/>
            <w:vAlign w:val="center"/>
            <w:hideMark/>
          </w:tcPr>
          <w:p w14:paraId="3135D2F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8EB8B3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7F48F1B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2C6D8B17"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0.47</w:t>
            </w:r>
          </w:p>
        </w:tc>
        <w:tc>
          <w:tcPr>
            <w:tcW w:w="1180" w:type="dxa"/>
            <w:tcBorders>
              <w:top w:val="nil"/>
              <w:left w:val="nil"/>
              <w:bottom w:val="nil"/>
              <w:right w:val="nil"/>
            </w:tcBorders>
            <w:shd w:val="clear" w:color="auto" w:fill="auto"/>
            <w:vAlign w:val="center"/>
            <w:hideMark/>
          </w:tcPr>
          <w:p w14:paraId="017DBF3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0.20</w:t>
            </w:r>
          </w:p>
        </w:tc>
        <w:tc>
          <w:tcPr>
            <w:tcW w:w="940" w:type="dxa"/>
            <w:tcBorders>
              <w:top w:val="nil"/>
              <w:left w:val="nil"/>
              <w:bottom w:val="nil"/>
              <w:right w:val="nil"/>
            </w:tcBorders>
            <w:shd w:val="clear" w:color="auto" w:fill="auto"/>
            <w:vAlign w:val="center"/>
            <w:hideMark/>
          </w:tcPr>
          <w:p w14:paraId="501D238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-0.26</w:t>
            </w:r>
          </w:p>
        </w:tc>
        <w:tc>
          <w:tcPr>
            <w:tcW w:w="1240" w:type="dxa"/>
            <w:tcBorders>
              <w:top w:val="nil"/>
              <w:left w:val="nil"/>
              <w:bottom w:val="nil"/>
              <w:right w:val="nil"/>
            </w:tcBorders>
            <w:shd w:val="clear" w:color="auto" w:fill="auto"/>
            <w:vAlign w:val="center"/>
            <w:hideMark/>
          </w:tcPr>
          <w:p w14:paraId="08E8D2A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-0.14</w:t>
            </w:r>
          </w:p>
        </w:tc>
      </w:tr>
      <w:tr w:rsidR="00F7725C" w:rsidRPr="004C66D9" w14:paraId="16835138" w14:textId="77777777" w:rsidTr="00E72162">
        <w:trPr>
          <w:trHeight w:val="345"/>
          <w:jc w:val="center"/>
        </w:trPr>
        <w:tc>
          <w:tcPr>
            <w:tcW w:w="2200" w:type="dxa"/>
            <w:tcBorders>
              <w:top w:val="nil"/>
              <w:left w:val="nil"/>
              <w:bottom w:val="single" w:sz="4" w:space="0" w:color="auto"/>
              <w:right w:val="nil"/>
            </w:tcBorders>
            <w:shd w:val="clear" w:color="auto" w:fill="auto"/>
            <w:vAlign w:val="center"/>
            <w:hideMark/>
          </w:tcPr>
          <w:p w14:paraId="013981B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single" w:sz="4" w:space="0" w:color="auto"/>
              <w:right w:val="nil"/>
            </w:tcBorders>
            <w:shd w:val="clear" w:color="auto" w:fill="auto"/>
            <w:vAlign w:val="center"/>
            <w:hideMark/>
          </w:tcPr>
          <w:p w14:paraId="1631428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c>
          <w:tcPr>
            <w:tcW w:w="1340" w:type="dxa"/>
            <w:tcBorders>
              <w:top w:val="nil"/>
              <w:left w:val="nil"/>
              <w:bottom w:val="single" w:sz="4" w:space="0" w:color="auto"/>
              <w:right w:val="nil"/>
            </w:tcBorders>
            <w:shd w:val="clear" w:color="auto" w:fill="auto"/>
            <w:vAlign w:val="center"/>
            <w:hideMark/>
          </w:tcPr>
          <w:p w14:paraId="7AD2567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020" w:type="dxa"/>
            <w:tcBorders>
              <w:top w:val="nil"/>
              <w:left w:val="nil"/>
              <w:bottom w:val="single" w:sz="4" w:space="0" w:color="auto"/>
              <w:right w:val="nil"/>
            </w:tcBorders>
            <w:shd w:val="clear" w:color="auto" w:fill="auto"/>
            <w:vAlign w:val="center"/>
            <w:hideMark/>
          </w:tcPr>
          <w:p w14:paraId="724AF5C4"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0.46</w:t>
            </w:r>
          </w:p>
        </w:tc>
        <w:tc>
          <w:tcPr>
            <w:tcW w:w="1180" w:type="dxa"/>
            <w:tcBorders>
              <w:top w:val="nil"/>
              <w:left w:val="nil"/>
              <w:bottom w:val="single" w:sz="4" w:space="0" w:color="auto"/>
              <w:right w:val="nil"/>
            </w:tcBorders>
            <w:shd w:val="clear" w:color="auto" w:fill="auto"/>
            <w:vAlign w:val="center"/>
            <w:hideMark/>
          </w:tcPr>
          <w:p w14:paraId="40C3582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0.17</w:t>
            </w:r>
          </w:p>
        </w:tc>
        <w:tc>
          <w:tcPr>
            <w:tcW w:w="940" w:type="dxa"/>
            <w:tcBorders>
              <w:top w:val="nil"/>
              <w:left w:val="nil"/>
              <w:bottom w:val="single" w:sz="4" w:space="0" w:color="auto"/>
              <w:right w:val="nil"/>
            </w:tcBorders>
            <w:shd w:val="clear" w:color="auto" w:fill="auto"/>
            <w:vAlign w:val="center"/>
            <w:hideMark/>
          </w:tcPr>
          <w:p w14:paraId="211A15C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-0.17</w:t>
            </w:r>
          </w:p>
        </w:tc>
        <w:tc>
          <w:tcPr>
            <w:tcW w:w="1240" w:type="dxa"/>
            <w:tcBorders>
              <w:top w:val="nil"/>
              <w:left w:val="nil"/>
              <w:bottom w:val="single" w:sz="4" w:space="0" w:color="auto"/>
              <w:right w:val="nil"/>
            </w:tcBorders>
            <w:shd w:val="clear" w:color="auto" w:fill="auto"/>
            <w:vAlign w:val="center"/>
            <w:hideMark/>
          </w:tcPr>
          <w:p w14:paraId="00C1666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-0.09</w:t>
            </w:r>
          </w:p>
        </w:tc>
      </w:tr>
    </w:tbl>
    <w:p w14:paraId="7EFE14F5" w14:textId="77777777" w:rsidR="00E847F0" w:rsidRPr="004C66D9" w:rsidRDefault="00E847F0" w:rsidP="00E847F0">
      <w:pPr>
        <w:rPr>
          <w:rFonts w:cstheme="minorHAnsi"/>
          <w:sz w:val="22"/>
          <w:szCs w:val="22"/>
        </w:rPr>
      </w:pPr>
    </w:p>
    <w:p w14:paraId="7476F5E2" w14:textId="77777777" w:rsidR="00E847F0" w:rsidRPr="004C66D9" w:rsidRDefault="00E847F0" w:rsidP="00E847F0">
      <w:pPr>
        <w:jc w:val="center"/>
        <w:rPr>
          <w:rFonts w:cstheme="minorHAnsi"/>
          <w:sz w:val="22"/>
          <w:szCs w:val="22"/>
        </w:rPr>
      </w:pPr>
    </w:p>
    <w:p w14:paraId="12C3DB1C" w14:textId="77777777" w:rsidR="00E847F0" w:rsidRPr="004C66D9" w:rsidRDefault="00E847F0" w:rsidP="00E847F0">
      <w:pPr>
        <w:jc w:val="center"/>
        <w:rPr>
          <w:rFonts w:cstheme="minorHAnsi"/>
          <w:sz w:val="22"/>
          <w:szCs w:val="22"/>
        </w:rPr>
      </w:pPr>
    </w:p>
    <w:p w14:paraId="7EB98C52" w14:textId="77777777" w:rsidR="00E847F0" w:rsidRDefault="00E847F0" w:rsidP="00E847F0">
      <w:pPr>
        <w:rPr>
          <w:rFonts w:cstheme="minorHAnsi"/>
          <w:sz w:val="22"/>
          <w:szCs w:val="22"/>
        </w:rPr>
      </w:pPr>
      <w:r>
        <w:rPr>
          <w:rFonts w:cstheme="minorHAnsi"/>
          <w:sz w:val="22"/>
          <w:szCs w:val="22"/>
        </w:rPr>
        <w:br w:type="page"/>
      </w:r>
    </w:p>
    <w:p w14:paraId="255466D0" w14:textId="6C2625D4" w:rsidR="00E847F0" w:rsidRPr="00000D4B" w:rsidRDefault="00E847F0" w:rsidP="00E839A9">
      <w:pPr>
        <w:jc w:val="center"/>
        <w:rPr>
          <w:rFonts w:cstheme="minorHAnsi"/>
          <w:b/>
          <w:bCs/>
          <w:color w:val="6A7F0F"/>
          <w:sz w:val="22"/>
          <w:szCs w:val="22"/>
        </w:rPr>
      </w:pPr>
      <w:bookmarkStart w:id="137" w:name="Appendix6_Table_A65f"/>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.5f: Changes in MHSIP Survey Domains and Satisfaction Scores -- Children and Youth Outpatient and Residential Services Overall and by Place of Residence for CCBHC OHP Members</w:t>
      </w:r>
    </w:p>
    <w:bookmarkEnd w:id="137"/>
    <w:p w14:paraId="31F8F2A9" w14:textId="77777777" w:rsidR="00E847F0" w:rsidRPr="004C66D9" w:rsidRDefault="00E847F0" w:rsidP="00E847F0">
      <w:pPr>
        <w:jc w:val="center"/>
        <w:rPr>
          <w:rFonts w:cstheme="minorHAnsi"/>
          <w:sz w:val="22"/>
          <w:szCs w:val="22"/>
        </w:rPr>
      </w:pPr>
    </w:p>
    <w:tbl>
      <w:tblPr>
        <w:tblW w:w="8860" w:type="dxa"/>
        <w:jc w:val="center"/>
        <w:tblLook w:val="04A0" w:firstRow="1" w:lastRow="0" w:firstColumn="1" w:lastColumn="0" w:noHBand="0" w:noVBand="1"/>
      </w:tblPr>
      <w:tblGrid>
        <w:gridCol w:w="2200"/>
        <w:gridCol w:w="940"/>
        <w:gridCol w:w="1340"/>
        <w:gridCol w:w="1020"/>
        <w:gridCol w:w="1284"/>
        <w:gridCol w:w="940"/>
        <w:gridCol w:w="1284"/>
      </w:tblGrid>
      <w:tr w:rsidR="00F7725C" w:rsidRPr="004C66D9" w14:paraId="5C6BA0B2" w14:textId="77777777" w:rsidTr="00E72162">
        <w:trPr>
          <w:trHeight w:val="300"/>
          <w:jc w:val="center"/>
        </w:trPr>
        <w:tc>
          <w:tcPr>
            <w:tcW w:w="2200" w:type="dxa"/>
            <w:tcBorders>
              <w:top w:val="nil"/>
              <w:left w:val="nil"/>
              <w:bottom w:val="nil"/>
              <w:right w:val="nil"/>
            </w:tcBorders>
            <w:shd w:val="clear" w:color="auto" w:fill="auto"/>
            <w:noWrap/>
            <w:vAlign w:val="bottom"/>
            <w:hideMark/>
          </w:tcPr>
          <w:p w14:paraId="0CDA01E7" w14:textId="77777777" w:rsidR="00F7725C" w:rsidRPr="004C66D9" w:rsidRDefault="00F7725C" w:rsidP="00E72162">
            <w:pPr>
              <w:rPr>
                <w:rFonts w:cstheme="minorHAnsi"/>
                <w:sz w:val="22"/>
                <w:szCs w:val="22"/>
              </w:rPr>
            </w:pPr>
          </w:p>
        </w:tc>
        <w:tc>
          <w:tcPr>
            <w:tcW w:w="2280" w:type="dxa"/>
            <w:gridSpan w:val="2"/>
            <w:tcBorders>
              <w:top w:val="nil"/>
              <w:left w:val="nil"/>
              <w:bottom w:val="nil"/>
              <w:right w:val="nil"/>
            </w:tcBorders>
            <w:shd w:val="clear" w:color="auto" w:fill="auto"/>
            <w:noWrap/>
            <w:vAlign w:val="bottom"/>
            <w:hideMark/>
          </w:tcPr>
          <w:p w14:paraId="2287C207"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Overall</w:t>
            </w:r>
          </w:p>
        </w:tc>
        <w:tc>
          <w:tcPr>
            <w:tcW w:w="2200" w:type="dxa"/>
            <w:gridSpan w:val="2"/>
            <w:tcBorders>
              <w:top w:val="nil"/>
              <w:left w:val="nil"/>
              <w:bottom w:val="nil"/>
              <w:right w:val="nil"/>
            </w:tcBorders>
            <w:shd w:val="clear" w:color="auto" w:fill="auto"/>
            <w:noWrap/>
            <w:vAlign w:val="bottom"/>
            <w:hideMark/>
          </w:tcPr>
          <w:p w14:paraId="4D2B487B"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Rural</w:t>
            </w:r>
          </w:p>
        </w:tc>
        <w:tc>
          <w:tcPr>
            <w:tcW w:w="2180" w:type="dxa"/>
            <w:gridSpan w:val="2"/>
            <w:tcBorders>
              <w:top w:val="nil"/>
              <w:left w:val="nil"/>
              <w:bottom w:val="nil"/>
              <w:right w:val="nil"/>
            </w:tcBorders>
            <w:shd w:val="clear" w:color="auto" w:fill="auto"/>
            <w:noWrap/>
            <w:vAlign w:val="bottom"/>
            <w:hideMark/>
          </w:tcPr>
          <w:p w14:paraId="10886A88"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Urban</w:t>
            </w:r>
          </w:p>
        </w:tc>
      </w:tr>
      <w:tr w:rsidR="00F7725C" w:rsidRPr="004C66D9" w14:paraId="1F1EF013" w14:textId="77777777" w:rsidTr="00E72162">
        <w:trPr>
          <w:trHeight w:val="330"/>
          <w:jc w:val="center"/>
        </w:trPr>
        <w:tc>
          <w:tcPr>
            <w:tcW w:w="2200" w:type="dxa"/>
            <w:tcBorders>
              <w:top w:val="nil"/>
              <w:left w:val="nil"/>
              <w:bottom w:val="single" w:sz="4" w:space="0" w:color="auto"/>
              <w:right w:val="nil"/>
            </w:tcBorders>
            <w:shd w:val="clear" w:color="auto" w:fill="auto"/>
            <w:vAlign w:val="bottom"/>
            <w:hideMark/>
          </w:tcPr>
          <w:p w14:paraId="2800BCD5"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MHSIP Domain</w:t>
            </w:r>
          </w:p>
        </w:tc>
        <w:tc>
          <w:tcPr>
            <w:tcW w:w="940" w:type="dxa"/>
            <w:tcBorders>
              <w:top w:val="nil"/>
              <w:left w:val="nil"/>
              <w:bottom w:val="single" w:sz="4" w:space="0" w:color="auto"/>
              <w:right w:val="nil"/>
            </w:tcBorders>
            <w:shd w:val="clear" w:color="auto" w:fill="auto"/>
            <w:vAlign w:val="bottom"/>
            <w:hideMark/>
          </w:tcPr>
          <w:p w14:paraId="3F590DFF"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340" w:type="dxa"/>
            <w:tcBorders>
              <w:top w:val="nil"/>
              <w:left w:val="nil"/>
              <w:bottom w:val="single" w:sz="4" w:space="0" w:color="auto"/>
              <w:right w:val="nil"/>
            </w:tcBorders>
            <w:shd w:val="clear" w:color="auto" w:fill="auto"/>
            <w:vAlign w:val="bottom"/>
            <w:hideMark/>
          </w:tcPr>
          <w:p w14:paraId="567AC893"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c>
          <w:tcPr>
            <w:tcW w:w="1020" w:type="dxa"/>
            <w:tcBorders>
              <w:top w:val="nil"/>
              <w:left w:val="nil"/>
              <w:bottom w:val="single" w:sz="4" w:space="0" w:color="auto"/>
              <w:right w:val="nil"/>
            </w:tcBorders>
            <w:shd w:val="clear" w:color="auto" w:fill="auto"/>
            <w:vAlign w:val="bottom"/>
            <w:hideMark/>
          </w:tcPr>
          <w:p w14:paraId="3F6DA08B"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180" w:type="dxa"/>
            <w:tcBorders>
              <w:top w:val="nil"/>
              <w:left w:val="nil"/>
              <w:bottom w:val="single" w:sz="4" w:space="0" w:color="auto"/>
              <w:right w:val="nil"/>
            </w:tcBorders>
            <w:shd w:val="clear" w:color="auto" w:fill="auto"/>
            <w:vAlign w:val="bottom"/>
            <w:hideMark/>
          </w:tcPr>
          <w:p w14:paraId="6BB4D8F9"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c>
          <w:tcPr>
            <w:tcW w:w="940" w:type="dxa"/>
            <w:tcBorders>
              <w:top w:val="nil"/>
              <w:left w:val="nil"/>
              <w:bottom w:val="single" w:sz="4" w:space="0" w:color="auto"/>
              <w:right w:val="nil"/>
            </w:tcBorders>
            <w:shd w:val="clear" w:color="auto" w:fill="auto"/>
            <w:vAlign w:val="bottom"/>
            <w:hideMark/>
          </w:tcPr>
          <w:p w14:paraId="13F4B88E"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Domain</w:t>
            </w:r>
          </w:p>
        </w:tc>
        <w:tc>
          <w:tcPr>
            <w:tcW w:w="1240" w:type="dxa"/>
            <w:tcBorders>
              <w:top w:val="nil"/>
              <w:left w:val="nil"/>
              <w:bottom w:val="single" w:sz="4" w:space="0" w:color="auto"/>
              <w:right w:val="nil"/>
            </w:tcBorders>
            <w:shd w:val="clear" w:color="auto" w:fill="auto"/>
            <w:vAlign w:val="bottom"/>
            <w:hideMark/>
          </w:tcPr>
          <w:p w14:paraId="2E58C8DF"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Satisfaction</w:t>
            </w:r>
          </w:p>
        </w:tc>
      </w:tr>
      <w:tr w:rsidR="00F7725C" w:rsidRPr="004C66D9" w14:paraId="6729F609" w14:textId="77777777" w:rsidTr="00E72162">
        <w:trPr>
          <w:trHeight w:val="375"/>
          <w:jc w:val="center"/>
        </w:trPr>
        <w:tc>
          <w:tcPr>
            <w:tcW w:w="2200" w:type="dxa"/>
            <w:tcBorders>
              <w:top w:val="nil"/>
              <w:left w:val="nil"/>
              <w:bottom w:val="nil"/>
              <w:right w:val="nil"/>
            </w:tcBorders>
            <w:shd w:val="clear" w:color="auto" w:fill="auto"/>
            <w:vAlign w:val="center"/>
            <w:hideMark/>
          </w:tcPr>
          <w:p w14:paraId="00ECD34F"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Access to Services</w:t>
            </w:r>
          </w:p>
        </w:tc>
        <w:tc>
          <w:tcPr>
            <w:tcW w:w="940" w:type="dxa"/>
            <w:tcBorders>
              <w:top w:val="nil"/>
              <w:left w:val="nil"/>
              <w:bottom w:val="nil"/>
              <w:right w:val="nil"/>
            </w:tcBorders>
            <w:shd w:val="clear" w:color="auto" w:fill="auto"/>
            <w:noWrap/>
            <w:vAlign w:val="bottom"/>
            <w:hideMark/>
          </w:tcPr>
          <w:p w14:paraId="18733F57"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noWrap/>
            <w:vAlign w:val="bottom"/>
            <w:hideMark/>
          </w:tcPr>
          <w:p w14:paraId="1851A495"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F239B0C" w14:textId="77777777" w:rsidR="00F7725C" w:rsidRPr="004C66D9" w:rsidRDefault="00F7725C" w:rsidP="00E72162">
            <w:pPr>
              <w:rPr>
                <w:rFonts w:cstheme="minorHAnsi"/>
                <w:sz w:val="22"/>
                <w:szCs w:val="22"/>
              </w:rPr>
            </w:pPr>
          </w:p>
        </w:tc>
        <w:tc>
          <w:tcPr>
            <w:tcW w:w="1180" w:type="dxa"/>
            <w:tcBorders>
              <w:top w:val="nil"/>
              <w:left w:val="nil"/>
              <w:bottom w:val="nil"/>
              <w:right w:val="nil"/>
            </w:tcBorders>
            <w:shd w:val="clear" w:color="auto" w:fill="auto"/>
            <w:noWrap/>
            <w:vAlign w:val="bottom"/>
            <w:hideMark/>
          </w:tcPr>
          <w:p w14:paraId="63FFCBF3"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7400E64" w14:textId="77777777" w:rsidR="00F7725C" w:rsidRPr="004C66D9" w:rsidRDefault="00F7725C" w:rsidP="00E72162">
            <w:pPr>
              <w:rPr>
                <w:rFonts w:cstheme="minorHAnsi"/>
                <w:sz w:val="22"/>
                <w:szCs w:val="22"/>
              </w:rPr>
            </w:pPr>
          </w:p>
        </w:tc>
        <w:tc>
          <w:tcPr>
            <w:tcW w:w="1240" w:type="dxa"/>
            <w:tcBorders>
              <w:top w:val="nil"/>
              <w:left w:val="nil"/>
              <w:bottom w:val="nil"/>
              <w:right w:val="nil"/>
            </w:tcBorders>
            <w:shd w:val="clear" w:color="auto" w:fill="auto"/>
            <w:noWrap/>
            <w:vAlign w:val="bottom"/>
            <w:hideMark/>
          </w:tcPr>
          <w:p w14:paraId="1F750412" w14:textId="77777777" w:rsidR="00F7725C" w:rsidRPr="004C66D9" w:rsidRDefault="00F7725C" w:rsidP="00E72162">
            <w:pPr>
              <w:rPr>
                <w:rFonts w:cstheme="minorHAnsi"/>
                <w:sz w:val="22"/>
                <w:szCs w:val="22"/>
              </w:rPr>
            </w:pPr>
          </w:p>
        </w:tc>
      </w:tr>
      <w:tr w:rsidR="00F7725C" w:rsidRPr="004C66D9" w14:paraId="01DE71A1" w14:textId="77777777" w:rsidTr="00E72162">
        <w:trPr>
          <w:trHeight w:val="345"/>
          <w:jc w:val="center"/>
        </w:trPr>
        <w:tc>
          <w:tcPr>
            <w:tcW w:w="2200" w:type="dxa"/>
            <w:tcBorders>
              <w:top w:val="nil"/>
              <w:left w:val="nil"/>
              <w:bottom w:val="nil"/>
              <w:right w:val="nil"/>
            </w:tcBorders>
            <w:shd w:val="clear" w:color="auto" w:fill="auto"/>
            <w:vAlign w:val="center"/>
            <w:hideMark/>
          </w:tcPr>
          <w:p w14:paraId="4FD0ACC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1380612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c>
          <w:tcPr>
            <w:tcW w:w="1340" w:type="dxa"/>
            <w:tcBorders>
              <w:top w:val="nil"/>
              <w:left w:val="nil"/>
              <w:bottom w:val="nil"/>
              <w:right w:val="nil"/>
            </w:tcBorders>
            <w:shd w:val="clear" w:color="auto" w:fill="auto"/>
            <w:vAlign w:val="center"/>
            <w:hideMark/>
          </w:tcPr>
          <w:p w14:paraId="3F1AC98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01B18BF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180" w:type="dxa"/>
            <w:tcBorders>
              <w:top w:val="nil"/>
              <w:left w:val="nil"/>
              <w:bottom w:val="nil"/>
              <w:right w:val="nil"/>
            </w:tcBorders>
            <w:shd w:val="clear" w:color="auto" w:fill="auto"/>
            <w:vAlign w:val="center"/>
            <w:hideMark/>
          </w:tcPr>
          <w:p w14:paraId="135379B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940" w:type="dxa"/>
            <w:tcBorders>
              <w:top w:val="nil"/>
              <w:left w:val="nil"/>
              <w:bottom w:val="nil"/>
              <w:right w:val="nil"/>
            </w:tcBorders>
            <w:shd w:val="clear" w:color="auto" w:fill="auto"/>
            <w:vAlign w:val="center"/>
            <w:hideMark/>
          </w:tcPr>
          <w:p w14:paraId="04714C6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0.20</w:t>
            </w:r>
          </w:p>
        </w:tc>
        <w:tc>
          <w:tcPr>
            <w:tcW w:w="1240" w:type="dxa"/>
            <w:tcBorders>
              <w:top w:val="nil"/>
              <w:left w:val="nil"/>
              <w:bottom w:val="nil"/>
              <w:right w:val="nil"/>
            </w:tcBorders>
            <w:shd w:val="clear" w:color="auto" w:fill="auto"/>
            <w:vAlign w:val="center"/>
            <w:hideMark/>
          </w:tcPr>
          <w:p w14:paraId="098D03FB"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0.17</w:t>
            </w:r>
          </w:p>
        </w:tc>
      </w:tr>
      <w:tr w:rsidR="00F7725C" w:rsidRPr="004C66D9" w14:paraId="3E072D19" w14:textId="77777777" w:rsidTr="00E72162">
        <w:trPr>
          <w:trHeight w:val="315"/>
          <w:jc w:val="center"/>
        </w:trPr>
        <w:tc>
          <w:tcPr>
            <w:tcW w:w="2200" w:type="dxa"/>
            <w:tcBorders>
              <w:top w:val="nil"/>
              <w:left w:val="nil"/>
              <w:bottom w:val="nil"/>
              <w:right w:val="nil"/>
            </w:tcBorders>
            <w:shd w:val="clear" w:color="auto" w:fill="auto"/>
            <w:vAlign w:val="center"/>
            <w:hideMark/>
          </w:tcPr>
          <w:p w14:paraId="4DB9DED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6EA7B90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340" w:type="dxa"/>
            <w:tcBorders>
              <w:top w:val="nil"/>
              <w:left w:val="nil"/>
              <w:bottom w:val="nil"/>
              <w:right w:val="nil"/>
            </w:tcBorders>
            <w:shd w:val="clear" w:color="auto" w:fill="auto"/>
            <w:vAlign w:val="center"/>
            <w:hideMark/>
          </w:tcPr>
          <w:p w14:paraId="33720BD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020" w:type="dxa"/>
            <w:tcBorders>
              <w:top w:val="nil"/>
              <w:left w:val="nil"/>
              <w:bottom w:val="nil"/>
              <w:right w:val="nil"/>
            </w:tcBorders>
            <w:shd w:val="clear" w:color="auto" w:fill="auto"/>
            <w:vAlign w:val="center"/>
            <w:hideMark/>
          </w:tcPr>
          <w:p w14:paraId="393E4B0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180" w:type="dxa"/>
            <w:tcBorders>
              <w:top w:val="nil"/>
              <w:left w:val="nil"/>
              <w:bottom w:val="nil"/>
              <w:right w:val="nil"/>
            </w:tcBorders>
            <w:shd w:val="clear" w:color="auto" w:fill="auto"/>
            <w:vAlign w:val="center"/>
            <w:hideMark/>
          </w:tcPr>
          <w:p w14:paraId="25D1C77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vAlign w:val="center"/>
            <w:hideMark/>
          </w:tcPr>
          <w:p w14:paraId="7BDD7A8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0.14</w:t>
            </w:r>
          </w:p>
        </w:tc>
        <w:tc>
          <w:tcPr>
            <w:tcW w:w="1240" w:type="dxa"/>
            <w:tcBorders>
              <w:top w:val="nil"/>
              <w:left w:val="nil"/>
              <w:bottom w:val="nil"/>
              <w:right w:val="nil"/>
            </w:tcBorders>
            <w:shd w:val="clear" w:color="auto" w:fill="auto"/>
            <w:vAlign w:val="center"/>
            <w:hideMark/>
          </w:tcPr>
          <w:p w14:paraId="7AB2F25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6A0CB635" w14:textId="77777777" w:rsidTr="00E72162">
        <w:trPr>
          <w:trHeight w:val="360"/>
          <w:jc w:val="center"/>
        </w:trPr>
        <w:tc>
          <w:tcPr>
            <w:tcW w:w="2200" w:type="dxa"/>
            <w:tcBorders>
              <w:top w:val="nil"/>
              <w:left w:val="nil"/>
              <w:bottom w:val="nil"/>
              <w:right w:val="nil"/>
            </w:tcBorders>
            <w:shd w:val="clear" w:color="auto" w:fill="auto"/>
            <w:vAlign w:val="center"/>
            <w:hideMark/>
          </w:tcPr>
          <w:p w14:paraId="3459F4EB"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Appropriateness</w:t>
            </w:r>
          </w:p>
        </w:tc>
        <w:tc>
          <w:tcPr>
            <w:tcW w:w="940" w:type="dxa"/>
            <w:tcBorders>
              <w:top w:val="nil"/>
              <w:left w:val="nil"/>
              <w:bottom w:val="nil"/>
              <w:right w:val="nil"/>
            </w:tcBorders>
            <w:shd w:val="clear" w:color="auto" w:fill="auto"/>
            <w:noWrap/>
            <w:vAlign w:val="bottom"/>
            <w:hideMark/>
          </w:tcPr>
          <w:p w14:paraId="7A15B73B"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2E2346CC"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A5FDD66"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6ABD4AFF"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7AF31AA2"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5B51BEAC" w14:textId="77777777" w:rsidR="00F7725C" w:rsidRPr="004C66D9" w:rsidRDefault="00F7725C" w:rsidP="00E72162">
            <w:pPr>
              <w:rPr>
                <w:rFonts w:cstheme="minorHAnsi"/>
                <w:sz w:val="22"/>
                <w:szCs w:val="22"/>
              </w:rPr>
            </w:pPr>
          </w:p>
        </w:tc>
      </w:tr>
      <w:tr w:rsidR="00F7725C" w:rsidRPr="004C66D9" w14:paraId="5C6B03F7" w14:textId="77777777" w:rsidTr="00E72162">
        <w:trPr>
          <w:trHeight w:val="345"/>
          <w:jc w:val="center"/>
        </w:trPr>
        <w:tc>
          <w:tcPr>
            <w:tcW w:w="2200" w:type="dxa"/>
            <w:tcBorders>
              <w:top w:val="nil"/>
              <w:left w:val="nil"/>
              <w:bottom w:val="nil"/>
              <w:right w:val="nil"/>
            </w:tcBorders>
            <w:shd w:val="clear" w:color="auto" w:fill="auto"/>
            <w:vAlign w:val="center"/>
            <w:hideMark/>
          </w:tcPr>
          <w:p w14:paraId="04B6F46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9CB1BD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1340" w:type="dxa"/>
            <w:tcBorders>
              <w:top w:val="nil"/>
              <w:left w:val="nil"/>
              <w:bottom w:val="nil"/>
              <w:right w:val="nil"/>
            </w:tcBorders>
            <w:shd w:val="clear" w:color="auto" w:fill="auto"/>
            <w:vAlign w:val="center"/>
            <w:hideMark/>
          </w:tcPr>
          <w:p w14:paraId="7FF8BE34"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0.12</w:t>
            </w:r>
          </w:p>
        </w:tc>
        <w:tc>
          <w:tcPr>
            <w:tcW w:w="1020" w:type="dxa"/>
            <w:tcBorders>
              <w:top w:val="nil"/>
              <w:left w:val="nil"/>
              <w:bottom w:val="nil"/>
              <w:right w:val="nil"/>
            </w:tcBorders>
            <w:shd w:val="clear" w:color="auto" w:fill="auto"/>
            <w:vAlign w:val="center"/>
            <w:hideMark/>
          </w:tcPr>
          <w:p w14:paraId="04A5D7B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1180" w:type="dxa"/>
            <w:tcBorders>
              <w:top w:val="nil"/>
              <w:left w:val="nil"/>
              <w:bottom w:val="nil"/>
              <w:right w:val="nil"/>
            </w:tcBorders>
            <w:shd w:val="clear" w:color="auto" w:fill="auto"/>
            <w:vAlign w:val="center"/>
            <w:hideMark/>
          </w:tcPr>
          <w:p w14:paraId="69504C1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940" w:type="dxa"/>
            <w:tcBorders>
              <w:top w:val="nil"/>
              <w:left w:val="nil"/>
              <w:bottom w:val="nil"/>
              <w:right w:val="nil"/>
            </w:tcBorders>
            <w:shd w:val="clear" w:color="auto" w:fill="auto"/>
            <w:vAlign w:val="center"/>
            <w:hideMark/>
          </w:tcPr>
          <w:p w14:paraId="4883B6F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0.22</w:t>
            </w:r>
          </w:p>
        </w:tc>
        <w:tc>
          <w:tcPr>
            <w:tcW w:w="1240" w:type="dxa"/>
            <w:tcBorders>
              <w:top w:val="nil"/>
              <w:left w:val="nil"/>
              <w:bottom w:val="nil"/>
              <w:right w:val="nil"/>
            </w:tcBorders>
            <w:shd w:val="clear" w:color="auto" w:fill="auto"/>
            <w:vAlign w:val="center"/>
            <w:hideMark/>
          </w:tcPr>
          <w:p w14:paraId="000F0CCF"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0.18</w:t>
            </w:r>
          </w:p>
        </w:tc>
      </w:tr>
      <w:tr w:rsidR="00F7725C" w:rsidRPr="004C66D9" w14:paraId="40149650" w14:textId="77777777" w:rsidTr="00E72162">
        <w:trPr>
          <w:trHeight w:val="345"/>
          <w:jc w:val="center"/>
        </w:trPr>
        <w:tc>
          <w:tcPr>
            <w:tcW w:w="2200" w:type="dxa"/>
            <w:tcBorders>
              <w:top w:val="nil"/>
              <w:left w:val="nil"/>
              <w:bottom w:val="nil"/>
              <w:right w:val="nil"/>
            </w:tcBorders>
            <w:shd w:val="clear" w:color="auto" w:fill="auto"/>
            <w:vAlign w:val="center"/>
            <w:hideMark/>
          </w:tcPr>
          <w:p w14:paraId="1083FF5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32E851B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0.29</w:t>
            </w:r>
          </w:p>
        </w:tc>
        <w:tc>
          <w:tcPr>
            <w:tcW w:w="1340" w:type="dxa"/>
            <w:tcBorders>
              <w:top w:val="nil"/>
              <w:left w:val="nil"/>
              <w:bottom w:val="nil"/>
              <w:right w:val="nil"/>
            </w:tcBorders>
            <w:shd w:val="clear" w:color="auto" w:fill="auto"/>
            <w:vAlign w:val="center"/>
            <w:hideMark/>
          </w:tcPr>
          <w:p w14:paraId="1594163A"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0.22</w:t>
            </w:r>
          </w:p>
        </w:tc>
        <w:tc>
          <w:tcPr>
            <w:tcW w:w="1020" w:type="dxa"/>
            <w:tcBorders>
              <w:top w:val="nil"/>
              <w:left w:val="nil"/>
              <w:bottom w:val="nil"/>
              <w:right w:val="nil"/>
            </w:tcBorders>
            <w:shd w:val="clear" w:color="auto" w:fill="auto"/>
            <w:vAlign w:val="center"/>
            <w:hideMark/>
          </w:tcPr>
          <w:p w14:paraId="6D2577C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180" w:type="dxa"/>
            <w:tcBorders>
              <w:top w:val="nil"/>
              <w:left w:val="nil"/>
              <w:bottom w:val="nil"/>
              <w:right w:val="nil"/>
            </w:tcBorders>
            <w:shd w:val="clear" w:color="auto" w:fill="auto"/>
            <w:vAlign w:val="center"/>
            <w:hideMark/>
          </w:tcPr>
          <w:p w14:paraId="516FE1E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0.13</w:t>
            </w:r>
          </w:p>
        </w:tc>
        <w:tc>
          <w:tcPr>
            <w:tcW w:w="940" w:type="dxa"/>
            <w:tcBorders>
              <w:top w:val="nil"/>
              <w:left w:val="nil"/>
              <w:bottom w:val="nil"/>
              <w:right w:val="nil"/>
            </w:tcBorders>
            <w:shd w:val="clear" w:color="auto" w:fill="auto"/>
            <w:vAlign w:val="center"/>
            <w:hideMark/>
          </w:tcPr>
          <w:p w14:paraId="4C3B57EE"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0.56</w:t>
            </w:r>
          </w:p>
        </w:tc>
        <w:tc>
          <w:tcPr>
            <w:tcW w:w="1240" w:type="dxa"/>
            <w:tcBorders>
              <w:top w:val="nil"/>
              <w:left w:val="nil"/>
              <w:bottom w:val="nil"/>
              <w:right w:val="nil"/>
            </w:tcBorders>
            <w:shd w:val="clear" w:color="auto" w:fill="auto"/>
            <w:vAlign w:val="center"/>
            <w:hideMark/>
          </w:tcPr>
          <w:p w14:paraId="1BA91197"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0.34</w:t>
            </w:r>
          </w:p>
        </w:tc>
      </w:tr>
      <w:tr w:rsidR="00F7725C" w:rsidRPr="004C66D9" w14:paraId="379E6D2E" w14:textId="77777777" w:rsidTr="00E72162">
        <w:trPr>
          <w:trHeight w:val="375"/>
          <w:jc w:val="center"/>
        </w:trPr>
        <w:tc>
          <w:tcPr>
            <w:tcW w:w="2200" w:type="dxa"/>
            <w:tcBorders>
              <w:top w:val="nil"/>
              <w:left w:val="nil"/>
              <w:bottom w:val="nil"/>
              <w:right w:val="nil"/>
            </w:tcBorders>
            <w:shd w:val="clear" w:color="auto" w:fill="auto"/>
            <w:vAlign w:val="center"/>
            <w:hideMark/>
          </w:tcPr>
          <w:p w14:paraId="70D74756"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Social Connectedness</w:t>
            </w:r>
          </w:p>
        </w:tc>
        <w:tc>
          <w:tcPr>
            <w:tcW w:w="940" w:type="dxa"/>
            <w:tcBorders>
              <w:top w:val="nil"/>
              <w:left w:val="nil"/>
              <w:bottom w:val="nil"/>
              <w:right w:val="nil"/>
            </w:tcBorders>
            <w:shd w:val="clear" w:color="auto" w:fill="auto"/>
            <w:noWrap/>
            <w:vAlign w:val="bottom"/>
            <w:hideMark/>
          </w:tcPr>
          <w:p w14:paraId="0DD8AB00"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4C24E31C"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3E298748"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5A37B464"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6103500"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56CDFE37" w14:textId="77777777" w:rsidR="00F7725C" w:rsidRPr="004C66D9" w:rsidRDefault="00F7725C" w:rsidP="00E72162">
            <w:pPr>
              <w:rPr>
                <w:rFonts w:cstheme="minorHAnsi"/>
                <w:sz w:val="22"/>
                <w:szCs w:val="22"/>
              </w:rPr>
            </w:pPr>
          </w:p>
        </w:tc>
      </w:tr>
      <w:tr w:rsidR="00F7725C" w:rsidRPr="004C66D9" w14:paraId="1632FA21" w14:textId="77777777" w:rsidTr="00E72162">
        <w:trPr>
          <w:trHeight w:val="330"/>
          <w:jc w:val="center"/>
        </w:trPr>
        <w:tc>
          <w:tcPr>
            <w:tcW w:w="2200" w:type="dxa"/>
            <w:tcBorders>
              <w:top w:val="nil"/>
              <w:left w:val="nil"/>
              <w:bottom w:val="nil"/>
              <w:right w:val="nil"/>
            </w:tcBorders>
            <w:shd w:val="clear" w:color="auto" w:fill="auto"/>
            <w:vAlign w:val="center"/>
            <w:hideMark/>
          </w:tcPr>
          <w:p w14:paraId="53CF587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54810C5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1340" w:type="dxa"/>
            <w:tcBorders>
              <w:top w:val="nil"/>
              <w:left w:val="nil"/>
              <w:bottom w:val="nil"/>
              <w:right w:val="nil"/>
            </w:tcBorders>
            <w:shd w:val="clear" w:color="auto" w:fill="auto"/>
            <w:vAlign w:val="center"/>
            <w:hideMark/>
          </w:tcPr>
          <w:p w14:paraId="75C35A4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020" w:type="dxa"/>
            <w:tcBorders>
              <w:top w:val="nil"/>
              <w:left w:val="nil"/>
              <w:bottom w:val="nil"/>
              <w:right w:val="nil"/>
            </w:tcBorders>
            <w:shd w:val="clear" w:color="auto" w:fill="auto"/>
            <w:vAlign w:val="center"/>
            <w:hideMark/>
          </w:tcPr>
          <w:p w14:paraId="626ADBC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1180" w:type="dxa"/>
            <w:tcBorders>
              <w:top w:val="nil"/>
              <w:left w:val="nil"/>
              <w:bottom w:val="nil"/>
              <w:right w:val="nil"/>
            </w:tcBorders>
            <w:shd w:val="clear" w:color="auto" w:fill="auto"/>
            <w:vAlign w:val="center"/>
            <w:hideMark/>
          </w:tcPr>
          <w:p w14:paraId="387E9C3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940" w:type="dxa"/>
            <w:tcBorders>
              <w:top w:val="nil"/>
              <w:left w:val="nil"/>
              <w:bottom w:val="nil"/>
              <w:right w:val="nil"/>
            </w:tcBorders>
            <w:shd w:val="clear" w:color="auto" w:fill="auto"/>
            <w:vAlign w:val="center"/>
            <w:hideMark/>
          </w:tcPr>
          <w:p w14:paraId="6C3CB16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c>
          <w:tcPr>
            <w:tcW w:w="1240" w:type="dxa"/>
            <w:tcBorders>
              <w:top w:val="nil"/>
              <w:left w:val="nil"/>
              <w:bottom w:val="nil"/>
              <w:right w:val="nil"/>
            </w:tcBorders>
            <w:shd w:val="clear" w:color="auto" w:fill="auto"/>
            <w:vAlign w:val="center"/>
            <w:hideMark/>
          </w:tcPr>
          <w:p w14:paraId="6F6F26D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41716D0E" w14:textId="77777777" w:rsidTr="00E72162">
        <w:trPr>
          <w:trHeight w:val="360"/>
          <w:jc w:val="center"/>
        </w:trPr>
        <w:tc>
          <w:tcPr>
            <w:tcW w:w="2200" w:type="dxa"/>
            <w:tcBorders>
              <w:top w:val="nil"/>
              <w:left w:val="nil"/>
              <w:bottom w:val="nil"/>
              <w:right w:val="nil"/>
            </w:tcBorders>
            <w:shd w:val="clear" w:color="auto" w:fill="auto"/>
            <w:vAlign w:val="center"/>
            <w:hideMark/>
          </w:tcPr>
          <w:p w14:paraId="3CB2719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24BDABF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0.13</w:t>
            </w:r>
          </w:p>
        </w:tc>
        <w:tc>
          <w:tcPr>
            <w:tcW w:w="1340" w:type="dxa"/>
            <w:tcBorders>
              <w:top w:val="nil"/>
              <w:left w:val="nil"/>
              <w:bottom w:val="nil"/>
              <w:right w:val="nil"/>
            </w:tcBorders>
            <w:shd w:val="clear" w:color="auto" w:fill="auto"/>
            <w:vAlign w:val="center"/>
            <w:hideMark/>
          </w:tcPr>
          <w:p w14:paraId="1B7BF0D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7CD3191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180" w:type="dxa"/>
            <w:tcBorders>
              <w:top w:val="nil"/>
              <w:left w:val="nil"/>
              <w:bottom w:val="nil"/>
              <w:right w:val="nil"/>
            </w:tcBorders>
            <w:shd w:val="clear" w:color="auto" w:fill="auto"/>
            <w:vAlign w:val="center"/>
            <w:hideMark/>
          </w:tcPr>
          <w:p w14:paraId="4977191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0.00</w:t>
            </w:r>
          </w:p>
        </w:tc>
        <w:tc>
          <w:tcPr>
            <w:tcW w:w="940" w:type="dxa"/>
            <w:tcBorders>
              <w:top w:val="nil"/>
              <w:left w:val="nil"/>
              <w:bottom w:val="nil"/>
              <w:right w:val="nil"/>
            </w:tcBorders>
            <w:shd w:val="clear" w:color="auto" w:fill="auto"/>
            <w:vAlign w:val="center"/>
            <w:hideMark/>
          </w:tcPr>
          <w:p w14:paraId="79098F8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0.26</w:t>
            </w:r>
          </w:p>
        </w:tc>
        <w:tc>
          <w:tcPr>
            <w:tcW w:w="1240" w:type="dxa"/>
            <w:tcBorders>
              <w:top w:val="nil"/>
              <w:left w:val="nil"/>
              <w:bottom w:val="nil"/>
              <w:right w:val="nil"/>
            </w:tcBorders>
            <w:shd w:val="clear" w:color="auto" w:fill="auto"/>
            <w:vAlign w:val="center"/>
            <w:hideMark/>
          </w:tcPr>
          <w:p w14:paraId="7ED4B6B0"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0.16</w:t>
            </w:r>
          </w:p>
        </w:tc>
      </w:tr>
      <w:tr w:rsidR="00F7725C" w:rsidRPr="004C66D9" w14:paraId="27B07C16" w14:textId="77777777" w:rsidTr="00E72162">
        <w:trPr>
          <w:trHeight w:val="390"/>
          <w:jc w:val="center"/>
        </w:trPr>
        <w:tc>
          <w:tcPr>
            <w:tcW w:w="2200" w:type="dxa"/>
            <w:tcBorders>
              <w:top w:val="nil"/>
              <w:left w:val="nil"/>
              <w:bottom w:val="nil"/>
              <w:right w:val="nil"/>
            </w:tcBorders>
            <w:shd w:val="clear" w:color="auto" w:fill="auto"/>
            <w:vAlign w:val="center"/>
            <w:hideMark/>
          </w:tcPr>
          <w:p w14:paraId="37719A50"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Cultural Sensitivity</w:t>
            </w:r>
          </w:p>
        </w:tc>
        <w:tc>
          <w:tcPr>
            <w:tcW w:w="940" w:type="dxa"/>
            <w:tcBorders>
              <w:top w:val="nil"/>
              <w:left w:val="nil"/>
              <w:bottom w:val="nil"/>
              <w:right w:val="nil"/>
            </w:tcBorders>
            <w:shd w:val="clear" w:color="auto" w:fill="auto"/>
            <w:noWrap/>
            <w:vAlign w:val="bottom"/>
            <w:hideMark/>
          </w:tcPr>
          <w:p w14:paraId="1C39BBF1"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6DEBCDF6"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0A49462A"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38156D09"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2904B974"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354B600C" w14:textId="77777777" w:rsidR="00F7725C" w:rsidRPr="004C66D9" w:rsidRDefault="00F7725C" w:rsidP="00E72162">
            <w:pPr>
              <w:rPr>
                <w:rFonts w:cstheme="minorHAnsi"/>
                <w:sz w:val="22"/>
                <w:szCs w:val="22"/>
              </w:rPr>
            </w:pPr>
          </w:p>
        </w:tc>
      </w:tr>
      <w:tr w:rsidR="00F7725C" w:rsidRPr="004C66D9" w14:paraId="510803DE" w14:textId="77777777" w:rsidTr="00E72162">
        <w:trPr>
          <w:trHeight w:val="360"/>
          <w:jc w:val="center"/>
        </w:trPr>
        <w:tc>
          <w:tcPr>
            <w:tcW w:w="2200" w:type="dxa"/>
            <w:tcBorders>
              <w:top w:val="nil"/>
              <w:left w:val="nil"/>
              <w:bottom w:val="nil"/>
              <w:right w:val="nil"/>
            </w:tcBorders>
            <w:shd w:val="clear" w:color="auto" w:fill="auto"/>
            <w:vAlign w:val="center"/>
            <w:hideMark/>
          </w:tcPr>
          <w:p w14:paraId="389515A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4A6CBAA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-0.09</w:t>
            </w:r>
          </w:p>
        </w:tc>
        <w:tc>
          <w:tcPr>
            <w:tcW w:w="1340" w:type="dxa"/>
            <w:tcBorders>
              <w:top w:val="nil"/>
              <w:left w:val="nil"/>
              <w:bottom w:val="nil"/>
              <w:right w:val="nil"/>
            </w:tcBorders>
            <w:shd w:val="clear" w:color="auto" w:fill="auto"/>
            <w:vAlign w:val="center"/>
            <w:hideMark/>
          </w:tcPr>
          <w:p w14:paraId="4842673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c>
          <w:tcPr>
            <w:tcW w:w="1020" w:type="dxa"/>
            <w:tcBorders>
              <w:top w:val="nil"/>
              <w:left w:val="nil"/>
              <w:bottom w:val="nil"/>
              <w:right w:val="nil"/>
            </w:tcBorders>
            <w:shd w:val="clear" w:color="auto" w:fill="auto"/>
            <w:vAlign w:val="center"/>
            <w:hideMark/>
          </w:tcPr>
          <w:p w14:paraId="367ED08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180" w:type="dxa"/>
            <w:tcBorders>
              <w:top w:val="nil"/>
              <w:left w:val="nil"/>
              <w:bottom w:val="nil"/>
              <w:right w:val="nil"/>
            </w:tcBorders>
            <w:shd w:val="clear" w:color="auto" w:fill="auto"/>
            <w:vAlign w:val="center"/>
            <w:hideMark/>
          </w:tcPr>
          <w:p w14:paraId="3A125DD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940" w:type="dxa"/>
            <w:tcBorders>
              <w:top w:val="nil"/>
              <w:left w:val="nil"/>
              <w:bottom w:val="nil"/>
              <w:right w:val="nil"/>
            </w:tcBorders>
            <w:shd w:val="clear" w:color="auto" w:fill="auto"/>
            <w:vAlign w:val="center"/>
            <w:hideMark/>
          </w:tcPr>
          <w:p w14:paraId="6DA73E5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-0.15</w:t>
            </w:r>
          </w:p>
        </w:tc>
        <w:tc>
          <w:tcPr>
            <w:tcW w:w="1240" w:type="dxa"/>
            <w:tcBorders>
              <w:top w:val="nil"/>
              <w:left w:val="nil"/>
              <w:bottom w:val="nil"/>
              <w:right w:val="nil"/>
            </w:tcBorders>
            <w:shd w:val="clear" w:color="auto" w:fill="auto"/>
            <w:vAlign w:val="center"/>
            <w:hideMark/>
          </w:tcPr>
          <w:p w14:paraId="4410BBF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r>
      <w:tr w:rsidR="00F7725C" w:rsidRPr="004C66D9" w14:paraId="046A6340" w14:textId="77777777" w:rsidTr="00E72162">
        <w:trPr>
          <w:trHeight w:val="345"/>
          <w:jc w:val="center"/>
        </w:trPr>
        <w:tc>
          <w:tcPr>
            <w:tcW w:w="2200" w:type="dxa"/>
            <w:tcBorders>
              <w:top w:val="nil"/>
              <w:left w:val="nil"/>
              <w:bottom w:val="nil"/>
              <w:right w:val="nil"/>
            </w:tcBorders>
            <w:shd w:val="clear" w:color="auto" w:fill="auto"/>
            <w:vAlign w:val="center"/>
            <w:hideMark/>
          </w:tcPr>
          <w:p w14:paraId="3B892F4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18E738D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797B801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020" w:type="dxa"/>
            <w:tcBorders>
              <w:top w:val="nil"/>
              <w:left w:val="nil"/>
              <w:bottom w:val="nil"/>
              <w:right w:val="nil"/>
            </w:tcBorders>
            <w:shd w:val="clear" w:color="auto" w:fill="auto"/>
            <w:vAlign w:val="center"/>
            <w:hideMark/>
          </w:tcPr>
          <w:p w14:paraId="11EDEE3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1180" w:type="dxa"/>
            <w:tcBorders>
              <w:top w:val="nil"/>
              <w:left w:val="nil"/>
              <w:bottom w:val="nil"/>
              <w:right w:val="nil"/>
            </w:tcBorders>
            <w:shd w:val="clear" w:color="auto" w:fill="auto"/>
            <w:vAlign w:val="center"/>
            <w:hideMark/>
          </w:tcPr>
          <w:p w14:paraId="6FD8713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0.04</w:t>
            </w:r>
          </w:p>
        </w:tc>
        <w:tc>
          <w:tcPr>
            <w:tcW w:w="940" w:type="dxa"/>
            <w:tcBorders>
              <w:top w:val="nil"/>
              <w:left w:val="nil"/>
              <w:bottom w:val="nil"/>
              <w:right w:val="nil"/>
            </w:tcBorders>
            <w:shd w:val="clear" w:color="auto" w:fill="auto"/>
            <w:vAlign w:val="center"/>
            <w:hideMark/>
          </w:tcPr>
          <w:p w14:paraId="5D7B745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0.16</w:t>
            </w:r>
          </w:p>
        </w:tc>
        <w:tc>
          <w:tcPr>
            <w:tcW w:w="1240" w:type="dxa"/>
            <w:tcBorders>
              <w:top w:val="nil"/>
              <w:left w:val="nil"/>
              <w:bottom w:val="nil"/>
              <w:right w:val="nil"/>
            </w:tcBorders>
            <w:shd w:val="clear" w:color="auto" w:fill="auto"/>
            <w:vAlign w:val="center"/>
            <w:hideMark/>
          </w:tcPr>
          <w:p w14:paraId="642BEE8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r>
      <w:tr w:rsidR="00F7725C" w:rsidRPr="004C66D9" w14:paraId="20A0EC8C" w14:textId="77777777" w:rsidTr="00E72162">
        <w:trPr>
          <w:trHeight w:val="390"/>
          <w:jc w:val="center"/>
        </w:trPr>
        <w:tc>
          <w:tcPr>
            <w:tcW w:w="2200" w:type="dxa"/>
            <w:tcBorders>
              <w:top w:val="nil"/>
              <w:left w:val="nil"/>
              <w:bottom w:val="nil"/>
              <w:right w:val="nil"/>
            </w:tcBorders>
            <w:shd w:val="clear" w:color="auto" w:fill="auto"/>
            <w:vAlign w:val="center"/>
            <w:hideMark/>
          </w:tcPr>
          <w:p w14:paraId="006E3631"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Daily Functioning</w:t>
            </w:r>
          </w:p>
        </w:tc>
        <w:tc>
          <w:tcPr>
            <w:tcW w:w="940" w:type="dxa"/>
            <w:tcBorders>
              <w:top w:val="nil"/>
              <w:left w:val="nil"/>
              <w:bottom w:val="nil"/>
              <w:right w:val="nil"/>
            </w:tcBorders>
            <w:shd w:val="clear" w:color="auto" w:fill="auto"/>
            <w:noWrap/>
            <w:vAlign w:val="bottom"/>
            <w:hideMark/>
          </w:tcPr>
          <w:p w14:paraId="1F21A229"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6856C6C0"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6413A082"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60017AD5"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33D234E4"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2243DDCE" w14:textId="77777777" w:rsidR="00F7725C" w:rsidRPr="004C66D9" w:rsidRDefault="00F7725C" w:rsidP="00E72162">
            <w:pPr>
              <w:rPr>
                <w:rFonts w:cstheme="minorHAnsi"/>
                <w:sz w:val="22"/>
                <w:szCs w:val="22"/>
              </w:rPr>
            </w:pPr>
          </w:p>
        </w:tc>
      </w:tr>
      <w:tr w:rsidR="00F7725C" w:rsidRPr="004C66D9" w14:paraId="0F3ACE47" w14:textId="77777777" w:rsidTr="00E72162">
        <w:trPr>
          <w:trHeight w:val="360"/>
          <w:jc w:val="center"/>
        </w:trPr>
        <w:tc>
          <w:tcPr>
            <w:tcW w:w="2200" w:type="dxa"/>
            <w:tcBorders>
              <w:top w:val="nil"/>
              <w:left w:val="nil"/>
              <w:bottom w:val="nil"/>
              <w:right w:val="nil"/>
            </w:tcBorders>
            <w:shd w:val="clear" w:color="auto" w:fill="auto"/>
            <w:vAlign w:val="center"/>
            <w:hideMark/>
          </w:tcPr>
          <w:p w14:paraId="589F7FF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9FDF18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0.17</w:t>
            </w:r>
          </w:p>
        </w:tc>
        <w:tc>
          <w:tcPr>
            <w:tcW w:w="1340" w:type="dxa"/>
            <w:tcBorders>
              <w:top w:val="nil"/>
              <w:left w:val="nil"/>
              <w:bottom w:val="nil"/>
              <w:right w:val="nil"/>
            </w:tcBorders>
            <w:shd w:val="clear" w:color="auto" w:fill="auto"/>
            <w:vAlign w:val="center"/>
            <w:hideMark/>
          </w:tcPr>
          <w:p w14:paraId="1E2812C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0.08</w:t>
            </w:r>
          </w:p>
        </w:tc>
        <w:tc>
          <w:tcPr>
            <w:tcW w:w="1020" w:type="dxa"/>
            <w:tcBorders>
              <w:top w:val="nil"/>
              <w:left w:val="nil"/>
              <w:bottom w:val="nil"/>
              <w:right w:val="nil"/>
            </w:tcBorders>
            <w:shd w:val="clear" w:color="auto" w:fill="auto"/>
            <w:vAlign w:val="center"/>
            <w:hideMark/>
          </w:tcPr>
          <w:p w14:paraId="02660A0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c>
          <w:tcPr>
            <w:tcW w:w="1180" w:type="dxa"/>
            <w:tcBorders>
              <w:top w:val="nil"/>
              <w:left w:val="nil"/>
              <w:bottom w:val="nil"/>
              <w:right w:val="nil"/>
            </w:tcBorders>
            <w:shd w:val="clear" w:color="auto" w:fill="auto"/>
            <w:vAlign w:val="center"/>
            <w:hideMark/>
          </w:tcPr>
          <w:p w14:paraId="1F9B9A4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0.16</w:t>
            </w:r>
          </w:p>
        </w:tc>
        <w:tc>
          <w:tcPr>
            <w:tcW w:w="940" w:type="dxa"/>
            <w:tcBorders>
              <w:top w:val="nil"/>
              <w:left w:val="nil"/>
              <w:bottom w:val="nil"/>
              <w:right w:val="nil"/>
            </w:tcBorders>
            <w:shd w:val="clear" w:color="auto" w:fill="auto"/>
            <w:vAlign w:val="center"/>
            <w:hideMark/>
          </w:tcPr>
          <w:p w14:paraId="2F7AEA5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0.30</w:t>
            </w:r>
          </w:p>
        </w:tc>
        <w:tc>
          <w:tcPr>
            <w:tcW w:w="1240" w:type="dxa"/>
            <w:tcBorders>
              <w:top w:val="nil"/>
              <w:left w:val="nil"/>
              <w:bottom w:val="nil"/>
              <w:right w:val="nil"/>
            </w:tcBorders>
            <w:shd w:val="clear" w:color="auto" w:fill="auto"/>
            <w:vAlign w:val="center"/>
            <w:hideMark/>
          </w:tcPr>
          <w:p w14:paraId="197DEEB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0.01</w:t>
            </w:r>
          </w:p>
        </w:tc>
      </w:tr>
      <w:tr w:rsidR="00F7725C" w:rsidRPr="004C66D9" w14:paraId="0110B7DE" w14:textId="77777777" w:rsidTr="00E72162">
        <w:trPr>
          <w:trHeight w:val="375"/>
          <w:jc w:val="center"/>
        </w:trPr>
        <w:tc>
          <w:tcPr>
            <w:tcW w:w="2200" w:type="dxa"/>
            <w:tcBorders>
              <w:top w:val="nil"/>
              <w:left w:val="nil"/>
              <w:bottom w:val="nil"/>
              <w:right w:val="nil"/>
            </w:tcBorders>
            <w:shd w:val="clear" w:color="auto" w:fill="auto"/>
            <w:vAlign w:val="center"/>
            <w:hideMark/>
          </w:tcPr>
          <w:p w14:paraId="5E08225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7919D49E"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0.35</w:t>
            </w:r>
          </w:p>
        </w:tc>
        <w:tc>
          <w:tcPr>
            <w:tcW w:w="1340" w:type="dxa"/>
            <w:tcBorders>
              <w:top w:val="nil"/>
              <w:left w:val="nil"/>
              <w:bottom w:val="nil"/>
              <w:right w:val="nil"/>
            </w:tcBorders>
            <w:shd w:val="clear" w:color="auto" w:fill="auto"/>
            <w:vAlign w:val="center"/>
            <w:hideMark/>
          </w:tcPr>
          <w:p w14:paraId="6EFEA503"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0.18</w:t>
            </w:r>
          </w:p>
        </w:tc>
        <w:tc>
          <w:tcPr>
            <w:tcW w:w="1020" w:type="dxa"/>
            <w:tcBorders>
              <w:top w:val="nil"/>
              <w:left w:val="nil"/>
              <w:bottom w:val="nil"/>
              <w:right w:val="nil"/>
            </w:tcBorders>
            <w:shd w:val="clear" w:color="auto" w:fill="auto"/>
            <w:vAlign w:val="center"/>
            <w:hideMark/>
          </w:tcPr>
          <w:p w14:paraId="3A0D486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0.20</w:t>
            </w:r>
          </w:p>
        </w:tc>
        <w:tc>
          <w:tcPr>
            <w:tcW w:w="1180" w:type="dxa"/>
            <w:tcBorders>
              <w:top w:val="nil"/>
              <w:left w:val="nil"/>
              <w:bottom w:val="nil"/>
              <w:right w:val="nil"/>
            </w:tcBorders>
            <w:shd w:val="clear" w:color="auto" w:fill="auto"/>
            <w:vAlign w:val="center"/>
            <w:hideMark/>
          </w:tcPr>
          <w:p w14:paraId="2AA0131B"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0.26</w:t>
            </w:r>
          </w:p>
        </w:tc>
        <w:tc>
          <w:tcPr>
            <w:tcW w:w="940" w:type="dxa"/>
            <w:tcBorders>
              <w:top w:val="nil"/>
              <w:left w:val="nil"/>
              <w:bottom w:val="nil"/>
              <w:right w:val="nil"/>
            </w:tcBorders>
            <w:shd w:val="clear" w:color="auto" w:fill="auto"/>
            <w:vAlign w:val="center"/>
            <w:hideMark/>
          </w:tcPr>
          <w:p w14:paraId="5A09AB4E"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0.57</w:t>
            </w:r>
          </w:p>
        </w:tc>
        <w:tc>
          <w:tcPr>
            <w:tcW w:w="1240" w:type="dxa"/>
            <w:tcBorders>
              <w:top w:val="nil"/>
              <w:left w:val="nil"/>
              <w:bottom w:val="nil"/>
              <w:right w:val="nil"/>
            </w:tcBorders>
            <w:shd w:val="clear" w:color="auto" w:fill="auto"/>
            <w:vAlign w:val="center"/>
            <w:hideMark/>
          </w:tcPr>
          <w:p w14:paraId="3FFDA78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2DBC54C8" w14:textId="77777777" w:rsidTr="00E72162">
        <w:trPr>
          <w:trHeight w:val="375"/>
          <w:jc w:val="center"/>
        </w:trPr>
        <w:tc>
          <w:tcPr>
            <w:tcW w:w="2200" w:type="dxa"/>
            <w:tcBorders>
              <w:top w:val="nil"/>
              <w:left w:val="nil"/>
              <w:bottom w:val="nil"/>
              <w:right w:val="nil"/>
            </w:tcBorders>
            <w:shd w:val="clear" w:color="auto" w:fill="auto"/>
            <w:vAlign w:val="center"/>
            <w:hideMark/>
          </w:tcPr>
          <w:p w14:paraId="796A809C"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Treatment Outcomes</w:t>
            </w:r>
          </w:p>
        </w:tc>
        <w:tc>
          <w:tcPr>
            <w:tcW w:w="940" w:type="dxa"/>
            <w:tcBorders>
              <w:top w:val="nil"/>
              <w:left w:val="nil"/>
              <w:bottom w:val="nil"/>
              <w:right w:val="nil"/>
            </w:tcBorders>
            <w:shd w:val="clear" w:color="auto" w:fill="auto"/>
            <w:noWrap/>
            <w:vAlign w:val="bottom"/>
            <w:hideMark/>
          </w:tcPr>
          <w:p w14:paraId="05D4CD06"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4FCA10DB"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15F58BCF"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08014D68"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35035404"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5BBAF0FF" w14:textId="77777777" w:rsidR="00F7725C" w:rsidRPr="004C66D9" w:rsidRDefault="00F7725C" w:rsidP="00E72162">
            <w:pPr>
              <w:rPr>
                <w:rFonts w:cstheme="minorHAnsi"/>
                <w:sz w:val="22"/>
                <w:szCs w:val="22"/>
              </w:rPr>
            </w:pPr>
          </w:p>
        </w:tc>
      </w:tr>
      <w:tr w:rsidR="00F7725C" w:rsidRPr="004C66D9" w14:paraId="65C52F83" w14:textId="77777777" w:rsidTr="00E72162">
        <w:trPr>
          <w:trHeight w:val="315"/>
          <w:jc w:val="center"/>
        </w:trPr>
        <w:tc>
          <w:tcPr>
            <w:tcW w:w="2200" w:type="dxa"/>
            <w:tcBorders>
              <w:top w:val="nil"/>
              <w:left w:val="nil"/>
              <w:bottom w:val="nil"/>
              <w:right w:val="nil"/>
            </w:tcBorders>
            <w:shd w:val="clear" w:color="auto" w:fill="auto"/>
            <w:vAlign w:val="center"/>
            <w:hideMark/>
          </w:tcPr>
          <w:p w14:paraId="2D0D56F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73CD570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1340" w:type="dxa"/>
            <w:tcBorders>
              <w:top w:val="nil"/>
              <w:left w:val="nil"/>
              <w:bottom w:val="nil"/>
              <w:right w:val="nil"/>
            </w:tcBorders>
            <w:shd w:val="clear" w:color="auto" w:fill="auto"/>
            <w:vAlign w:val="center"/>
            <w:hideMark/>
          </w:tcPr>
          <w:p w14:paraId="2790B4E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0.06</w:t>
            </w:r>
          </w:p>
        </w:tc>
        <w:tc>
          <w:tcPr>
            <w:tcW w:w="1020" w:type="dxa"/>
            <w:tcBorders>
              <w:top w:val="nil"/>
              <w:left w:val="nil"/>
              <w:bottom w:val="nil"/>
              <w:right w:val="nil"/>
            </w:tcBorders>
            <w:shd w:val="clear" w:color="auto" w:fill="auto"/>
            <w:vAlign w:val="center"/>
            <w:hideMark/>
          </w:tcPr>
          <w:p w14:paraId="757A055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-0.02</w:t>
            </w:r>
          </w:p>
        </w:tc>
        <w:tc>
          <w:tcPr>
            <w:tcW w:w="1180" w:type="dxa"/>
            <w:tcBorders>
              <w:top w:val="nil"/>
              <w:left w:val="nil"/>
              <w:bottom w:val="nil"/>
              <w:right w:val="nil"/>
            </w:tcBorders>
            <w:shd w:val="clear" w:color="auto" w:fill="auto"/>
            <w:vAlign w:val="center"/>
            <w:hideMark/>
          </w:tcPr>
          <w:p w14:paraId="652CF17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0.03</w:t>
            </w:r>
          </w:p>
        </w:tc>
        <w:tc>
          <w:tcPr>
            <w:tcW w:w="940" w:type="dxa"/>
            <w:tcBorders>
              <w:top w:val="nil"/>
              <w:left w:val="nil"/>
              <w:bottom w:val="nil"/>
              <w:right w:val="nil"/>
            </w:tcBorders>
            <w:shd w:val="clear" w:color="auto" w:fill="auto"/>
            <w:vAlign w:val="center"/>
            <w:hideMark/>
          </w:tcPr>
          <w:p w14:paraId="0838481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0.30</w:t>
            </w:r>
          </w:p>
        </w:tc>
        <w:tc>
          <w:tcPr>
            <w:tcW w:w="1240" w:type="dxa"/>
            <w:tcBorders>
              <w:top w:val="nil"/>
              <w:left w:val="nil"/>
              <w:bottom w:val="nil"/>
              <w:right w:val="nil"/>
            </w:tcBorders>
            <w:shd w:val="clear" w:color="auto" w:fill="auto"/>
            <w:vAlign w:val="center"/>
            <w:hideMark/>
          </w:tcPr>
          <w:p w14:paraId="72313B8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r>
      <w:tr w:rsidR="00F7725C" w:rsidRPr="004C66D9" w14:paraId="7090521F" w14:textId="77777777" w:rsidTr="00E72162">
        <w:trPr>
          <w:trHeight w:val="330"/>
          <w:jc w:val="center"/>
        </w:trPr>
        <w:tc>
          <w:tcPr>
            <w:tcW w:w="2200" w:type="dxa"/>
            <w:tcBorders>
              <w:top w:val="nil"/>
              <w:left w:val="nil"/>
              <w:bottom w:val="nil"/>
              <w:right w:val="nil"/>
            </w:tcBorders>
            <w:shd w:val="clear" w:color="auto" w:fill="auto"/>
            <w:vAlign w:val="center"/>
            <w:hideMark/>
          </w:tcPr>
          <w:p w14:paraId="58BC987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nil"/>
              <w:right w:val="nil"/>
            </w:tcBorders>
            <w:shd w:val="clear" w:color="auto" w:fill="auto"/>
            <w:vAlign w:val="center"/>
            <w:hideMark/>
          </w:tcPr>
          <w:p w14:paraId="5632124D"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0.29</w:t>
            </w:r>
          </w:p>
        </w:tc>
        <w:tc>
          <w:tcPr>
            <w:tcW w:w="1340" w:type="dxa"/>
            <w:tcBorders>
              <w:top w:val="nil"/>
              <w:left w:val="nil"/>
              <w:bottom w:val="nil"/>
              <w:right w:val="nil"/>
            </w:tcBorders>
            <w:shd w:val="clear" w:color="auto" w:fill="auto"/>
            <w:vAlign w:val="center"/>
            <w:hideMark/>
          </w:tcPr>
          <w:p w14:paraId="59F50497"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0.17</w:t>
            </w:r>
          </w:p>
        </w:tc>
        <w:tc>
          <w:tcPr>
            <w:tcW w:w="1020" w:type="dxa"/>
            <w:tcBorders>
              <w:top w:val="nil"/>
              <w:left w:val="nil"/>
              <w:bottom w:val="nil"/>
              <w:right w:val="nil"/>
            </w:tcBorders>
            <w:shd w:val="clear" w:color="auto" w:fill="auto"/>
            <w:vAlign w:val="center"/>
            <w:hideMark/>
          </w:tcPr>
          <w:p w14:paraId="27BDEEE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1180" w:type="dxa"/>
            <w:tcBorders>
              <w:top w:val="nil"/>
              <w:left w:val="nil"/>
              <w:bottom w:val="nil"/>
              <w:right w:val="nil"/>
            </w:tcBorders>
            <w:shd w:val="clear" w:color="auto" w:fill="auto"/>
            <w:vAlign w:val="center"/>
            <w:hideMark/>
          </w:tcPr>
          <w:p w14:paraId="3C8393F3"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0.16</w:t>
            </w:r>
          </w:p>
        </w:tc>
        <w:tc>
          <w:tcPr>
            <w:tcW w:w="940" w:type="dxa"/>
            <w:tcBorders>
              <w:top w:val="nil"/>
              <w:left w:val="nil"/>
              <w:bottom w:val="nil"/>
              <w:right w:val="nil"/>
            </w:tcBorders>
            <w:shd w:val="clear" w:color="auto" w:fill="auto"/>
            <w:vAlign w:val="center"/>
            <w:hideMark/>
          </w:tcPr>
          <w:p w14:paraId="1ECF9E4E"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0.55</w:t>
            </w:r>
          </w:p>
        </w:tc>
        <w:tc>
          <w:tcPr>
            <w:tcW w:w="1240" w:type="dxa"/>
            <w:tcBorders>
              <w:top w:val="nil"/>
              <w:left w:val="nil"/>
              <w:bottom w:val="nil"/>
              <w:right w:val="nil"/>
            </w:tcBorders>
            <w:shd w:val="clear" w:color="auto" w:fill="auto"/>
            <w:vAlign w:val="center"/>
            <w:hideMark/>
          </w:tcPr>
          <w:p w14:paraId="1DF8E5B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0.19</w:t>
            </w:r>
          </w:p>
        </w:tc>
      </w:tr>
      <w:tr w:rsidR="00F7725C" w:rsidRPr="004C66D9" w14:paraId="2D82ED0B" w14:textId="77777777" w:rsidTr="00E72162">
        <w:trPr>
          <w:trHeight w:val="375"/>
          <w:jc w:val="center"/>
        </w:trPr>
        <w:tc>
          <w:tcPr>
            <w:tcW w:w="2200" w:type="dxa"/>
            <w:tcBorders>
              <w:top w:val="nil"/>
              <w:left w:val="nil"/>
              <w:bottom w:val="nil"/>
              <w:right w:val="nil"/>
            </w:tcBorders>
            <w:shd w:val="clear" w:color="auto" w:fill="auto"/>
            <w:vAlign w:val="center"/>
            <w:hideMark/>
          </w:tcPr>
          <w:p w14:paraId="6BAB7083"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Participation</w:t>
            </w:r>
          </w:p>
        </w:tc>
        <w:tc>
          <w:tcPr>
            <w:tcW w:w="940" w:type="dxa"/>
            <w:tcBorders>
              <w:top w:val="nil"/>
              <w:left w:val="nil"/>
              <w:bottom w:val="nil"/>
              <w:right w:val="nil"/>
            </w:tcBorders>
            <w:shd w:val="clear" w:color="auto" w:fill="auto"/>
            <w:noWrap/>
            <w:vAlign w:val="bottom"/>
            <w:hideMark/>
          </w:tcPr>
          <w:p w14:paraId="2B08382B" w14:textId="77777777" w:rsidR="00F7725C" w:rsidRPr="004C66D9" w:rsidRDefault="00F7725C" w:rsidP="00E72162">
            <w:pPr>
              <w:rPr>
                <w:rFonts w:cstheme="minorHAnsi"/>
                <w:b/>
                <w:bCs/>
                <w:color w:val="000000"/>
                <w:sz w:val="22"/>
                <w:szCs w:val="22"/>
              </w:rPr>
            </w:pPr>
          </w:p>
        </w:tc>
        <w:tc>
          <w:tcPr>
            <w:tcW w:w="1340" w:type="dxa"/>
            <w:tcBorders>
              <w:top w:val="nil"/>
              <w:left w:val="nil"/>
              <w:bottom w:val="nil"/>
              <w:right w:val="nil"/>
            </w:tcBorders>
            <w:shd w:val="clear" w:color="auto" w:fill="auto"/>
            <w:vAlign w:val="center"/>
            <w:hideMark/>
          </w:tcPr>
          <w:p w14:paraId="755F96B8" w14:textId="77777777" w:rsidR="00F7725C" w:rsidRPr="004C66D9" w:rsidRDefault="00F7725C" w:rsidP="00E72162">
            <w:pPr>
              <w:rPr>
                <w:rFonts w:cstheme="minorHAnsi"/>
                <w:sz w:val="22"/>
                <w:szCs w:val="22"/>
              </w:rPr>
            </w:pPr>
          </w:p>
        </w:tc>
        <w:tc>
          <w:tcPr>
            <w:tcW w:w="1020" w:type="dxa"/>
            <w:tcBorders>
              <w:top w:val="nil"/>
              <w:left w:val="nil"/>
              <w:bottom w:val="nil"/>
              <w:right w:val="nil"/>
            </w:tcBorders>
            <w:shd w:val="clear" w:color="auto" w:fill="auto"/>
            <w:noWrap/>
            <w:vAlign w:val="bottom"/>
            <w:hideMark/>
          </w:tcPr>
          <w:p w14:paraId="6F260D86" w14:textId="77777777" w:rsidR="00F7725C" w:rsidRPr="004C66D9" w:rsidRDefault="00F7725C" w:rsidP="00E72162">
            <w:pPr>
              <w:jc w:val="right"/>
              <w:rPr>
                <w:rFonts w:cstheme="minorHAnsi"/>
                <w:sz w:val="22"/>
                <w:szCs w:val="22"/>
              </w:rPr>
            </w:pPr>
          </w:p>
        </w:tc>
        <w:tc>
          <w:tcPr>
            <w:tcW w:w="1180" w:type="dxa"/>
            <w:tcBorders>
              <w:top w:val="nil"/>
              <w:left w:val="nil"/>
              <w:bottom w:val="nil"/>
              <w:right w:val="nil"/>
            </w:tcBorders>
            <w:shd w:val="clear" w:color="auto" w:fill="auto"/>
            <w:vAlign w:val="center"/>
            <w:hideMark/>
          </w:tcPr>
          <w:p w14:paraId="21E1B11D" w14:textId="77777777" w:rsidR="00F7725C" w:rsidRPr="004C66D9" w:rsidRDefault="00F7725C" w:rsidP="00E72162">
            <w:pPr>
              <w:rPr>
                <w:rFonts w:cstheme="minorHAnsi"/>
                <w:sz w:val="22"/>
                <w:szCs w:val="22"/>
              </w:rPr>
            </w:pPr>
          </w:p>
        </w:tc>
        <w:tc>
          <w:tcPr>
            <w:tcW w:w="940" w:type="dxa"/>
            <w:tcBorders>
              <w:top w:val="nil"/>
              <w:left w:val="nil"/>
              <w:bottom w:val="nil"/>
              <w:right w:val="nil"/>
            </w:tcBorders>
            <w:shd w:val="clear" w:color="auto" w:fill="auto"/>
            <w:noWrap/>
            <w:vAlign w:val="bottom"/>
            <w:hideMark/>
          </w:tcPr>
          <w:p w14:paraId="6A545A82" w14:textId="77777777" w:rsidR="00F7725C" w:rsidRPr="004C66D9" w:rsidRDefault="00F7725C" w:rsidP="00E72162">
            <w:pPr>
              <w:jc w:val="right"/>
              <w:rPr>
                <w:rFonts w:cstheme="minorHAnsi"/>
                <w:sz w:val="22"/>
                <w:szCs w:val="22"/>
              </w:rPr>
            </w:pPr>
          </w:p>
        </w:tc>
        <w:tc>
          <w:tcPr>
            <w:tcW w:w="1240" w:type="dxa"/>
            <w:tcBorders>
              <w:top w:val="nil"/>
              <w:left w:val="nil"/>
              <w:bottom w:val="nil"/>
              <w:right w:val="nil"/>
            </w:tcBorders>
            <w:shd w:val="clear" w:color="auto" w:fill="auto"/>
            <w:vAlign w:val="center"/>
            <w:hideMark/>
          </w:tcPr>
          <w:p w14:paraId="4121172D" w14:textId="77777777" w:rsidR="00F7725C" w:rsidRPr="004C66D9" w:rsidRDefault="00F7725C" w:rsidP="00E72162">
            <w:pPr>
              <w:rPr>
                <w:rFonts w:cstheme="minorHAnsi"/>
                <w:sz w:val="22"/>
                <w:szCs w:val="22"/>
              </w:rPr>
            </w:pPr>
          </w:p>
        </w:tc>
      </w:tr>
      <w:tr w:rsidR="00F7725C" w:rsidRPr="004C66D9" w14:paraId="18877A10" w14:textId="77777777" w:rsidTr="00E72162">
        <w:trPr>
          <w:trHeight w:val="345"/>
          <w:jc w:val="center"/>
        </w:trPr>
        <w:tc>
          <w:tcPr>
            <w:tcW w:w="2200" w:type="dxa"/>
            <w:tcBorders>
              <w:top w:val="nil"/>
              <w:left w:val="nil"/>
              <w:bottom w:val="nil"/>
              <w:right w:val="nil"/>
            </w:tcBorders>
            <w:shd w:val="clear" w:color="auto" w:fill="auto"/>
            <w:vAlign w:val="center"/>
            <w:hideMark/>
          </w:tcPr>
          <w:p w14:paraId="12CC94B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1st Period</w:t>
            </w:r>
          </w:p>
        </w:tc>
        <w:tc>
          <w:tcPr>
            <w:tcW w:w="940" w:type="dxa"/>
            <w:tcBorders>
              <w:top w:val="nil"/>
              <w:left w:val="nil"/>
              <w:bottom w:val="nil"/>
              <w:right w:val="nil"/>
            </w:tcBorders>
            <w:shd w:val="clear" w:color="auto" w:fill="auto"/>
            <w:vAlign w:val="center"/>
            <w:hideMark/>
          </w:tcPr>
          <w:p w14:paraId="4D72028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0.16</w:t>
            </w:r>
          </w:p>
        </w:tc>
        <w:tc>
          <w:tcPr>
            <w:tcW w:w="1340" w:type="dxa"/>
            <w:tcBorders>
              <w:top w:val="nil"/>
              <w:left w:val="nil"/>
              <w:bottom w:val="nil"/>
              <w:right w:val="nil"/>
            </w:tcBorders>
            <w:shd w:val="clear" w:color="auto" w:fill="auto"/>
            <w:vAlign w:val="center"/>
            <w:hideMark/>
          </w:tcPr>
          <w:p w14:paraId="29D7CAE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0.07</w:t>
            </w:r>
          </w:p>
        </w:tc>
        <w:tc>
          <w:tcPr>
            <w:tcW w:w="1020" w:type="dxa"/>
            <w:tcBorders>
              <w:top w:val="nil"/>
              <w:left w:val="nil"/>
              <w:bottom w:val="nil"/>
              <w:right w:val="nil"/>
            </w:tcBorders>
            <w:shd w:val="clear" w:color="auto" w:fill="auto"/>
            <w:vAlign w:val="center"/>
            <w:hideMark/>
          </w:tcPr>
          <w:p w14:paraId="56902CA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0.12</w:t>
            </w:r>
          </w:p>
        </w:tc>
        <w:tc>
          <w:tcPr>
            <w:tcW w:w="1180" w:type="dxa"/>
            <w:tcBorders>
              <w:top w:val="nil"/>
              <w:left w:val="nil"/>
              <w:bottom w:val="nil"/>
              <w:right w:val="nil"/>
            </w:tcBorders>
            <w:shd w:val="clear" w:color="auto" w:fill="auto"/>
            <w:vAlign w:val="center"/>
            <w:hideMark/>
          </w:tcPr>
          <w:p w14:paraId="740CEA1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0.05</w:t>
            </w:r>
          </w:p>
        </w:tc>
        <w:tc>
          <w:tcPr>
            <w:tcW w:w="940" w:type="dxa"/>
            <w:tcBorders>
              <w:top w:val="nil"/>
              <w:left w:val="nil"/>
              <w:bottom w:val="nil"/>
              <w:right w:val="nil"/>
            </w:tcBorders>
            <w:shd w:val="clear" w:color="auto" w:fill="auto"/>
            <w:vAlign w:val="center"/>
            <w:hideMark/>
          </w:tcPr>
          <w:p w14:paraId="2E7E3B4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0.22</w:t>
            </w:r>
          </w:p>
        </w:tc>
        <w:tc>
          <w:tcPr>
            <w:tcW w:w="1240" w:type="dxa"/>
            <w:tcBorders>
              <w:top w:val="nil"/>
              <w:left w:val="nil"/>
              <w:bottom w:val="nil"/>
              <w:right w:val="nil"/>
            </w:tcBorders>
            <w:shd w:val="clear" w:color="auto" w:fill="auto"/>
            <w:vAlign w:val="center"/>
            <w:hideMark/>
          </w:tcPr>
          <w:p w14:paraId="3BB48CB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0.10</w:t>
            </w:r>
          </w:p>
        </w:tc>
      </w:tr>
      <w:tr w:rsidR="00F7725C" w:rsidRPr="004C66D9" w14:paraId="109B5A8E" w14:textId="77777777" w:rsidTr="00E72162">
        <w:trPr>
          <w:trHeight w:val="390"/>
          <w:jc w:val="center"/>
        </w:trPr>
        <w:tc>
          <w:tcPr>
            <w:tcW w:w="2200" w:type="dxa"/>
            <w:tcBorders>
              <w:top w:val="nil"/>
              <w:left w:val="nil"/>
              <w:bottom w:val="single" w:sz="4" w:space="0" w:color="auto"/>
              <w:right w:val="nil"/>
            </w:tcBorders>
            <w:shd w:val="clear" w:color="auto" w:fill="auto"/>
            <w:vAlign w:val="center"/>
            <w:hideMark/>
          </w:tcPr>
          <w:p w14:paraId="20627E0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2nd Period</w:t>
            </w:r>
          </w:p>
        </w:tc>
        <w:tc>
          <w:tcPr>
            <w:tcW w:w="940" w:type="dxa"/>
            <w:tcBorders>
              <w:top w:val="nil"/>
              <w:left w:val="nil"/>
              <w:bottom w:val="single" w:sz="4" w:space="0" w:color="auto"/>
              <w:right w:val="nil"/>
            </w:tcBorders>
            <w:shd w:val="clear" w:color="auto" w:fill="auto"/>
            <w:vAlign w:val="center"/>
            <w:hideMark/>
          </w:tcPr>
          <w:p w14:paraId="7D896738"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0.29</w:t>
            </w:r>
          </w:p>
        </w:tc>
        <w:tc>
          <w:tcPr>
            <w:tcW w:w="1340" w:type="dxa"/>
            <w:tcBorders>
              <w:top w:val="nil"/>
              <w:left w:val="nil"/>
              <w:bottom w:val="single" w:sz="4" w:space="0" w:color="auto"/>
              <w:right w:val="nil"/>
            </w:tcBorders>
            <w:shd w:val="clear" w:color="auto" w:fill="auto"/>
            <w:vAlign w:val="center"/>
            <w:hideMark/>
          </w:tcPr>
          <w:p w14:paraId="1B49D4A5"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0.13</w:t>
            </w:r>
          </w:p>
        </w:tc>
        <w:tc>
          <w:tcPr>
            <w:tcW w:w="1020" w:type="dxa"/>
            <w:tcBorders>
              <w:top w:val="nil"/>
              <w:left w:val="nil"/>
              <w:bottom w:val="single" w:sz="4" w:space="0" w:color="auto"/>
              <w:right w:val="nil"/>
            </w:tcBorders>
            <w:shd w:val="clear" w:color="auto" w:fill="auto"/>
            <w:vAlign w:val="center"/>
            <w:hideMark/>
          </w:tcPr>
          <w:p w14:paraId="7A6F76C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0.19</w:t>
            </w:r>
          </w:p>
        </w:tc>
        <w:tc>
          <w:tcPr>
            <w:tcW w:w="1180" w:type="dxa"/>
            <w:tcBorders>
              <w:top w:val="nil"/>
              <w:left w:val="nil"/>
              <w:bottom w:val="single" w:sz="4" w:space="0" w:color="auto"/>
              <w:right w:val="nil"/>
            </w:tcBorders>
            <w:shd w:val="clear" w:color="auto" w:fill="auto"/>
            <w:vAlign w:val="center"/>
            <w:hideMark/>
          </w:tcPr>
          <w:p w14:paraId="212DDE3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0.11</w:t>
            </w:r>
          </w:p>
        </w:tc>
        <w:tc>
          <w:tcPr>
            <w:tcW w:w="940" w:type="dxa"/>
            <w:tcBorders>
              <w:top w:val="nil"/>
              <w:left w:val="nil"/>
              <w:bottom w:val="single" w:sz="4" w:space="0" w:color="auto"/>
              <w:right w:val="nil"/>
            </w:tcBorders>
            <w:shd w:val="clear" w:color="auto" w:fill="auto"/>
            <w:vAlign w:val="center"/>
            <w:hideMark/>
          </w:tcPr>
          <w:p w14:paraId="77B36129" w14:textId="77777777" w:rsidR="00F7725C" w:rsidRPr="00636AEF" w:rsidRDefault="00F7725C" w:rsidP="00E72162">
            <w:pPr>
              <w:jc w:val="right"/>
              <w:rPr>
                <w:rFonts w:cstheme="minorHAnsi"/>
                <w:b/>
                <w:bCs/>
                <w:i/>
                <w:color w:val="000000"/>
                <w:sz w:val="22"/>
                <w:szCs w:val="22"/>
              </w:rPr>
            </w:pPr>
            <w:r w:rsidRPr="00636AEF">
              <w:rPr>
                <w:rFonts w:cstheme="minorHAnsi"/>
                <w:b/>
                <w:bCs/>
                <w:i/>
                <w:color w:val="000000"/>
                <w:sz w:val="22"/>
                <w:szCs w:val="22"/>
              </w:rPr>
              <w:t>0.41</w:t>
            </w:r>
          </w:p>
        </w:tc>
        <w:tc>
          <w:tcPr>
            <w:tcW w:w="1240" w:type="dxa"/>
            <w:tcBorders>
              <w:top w:val="nil"/>
              <w:left w:val="nil"/>
              <w:bottom w:val="single" w:sz="4" w:space="0" w:color="auto"/>
              <w:right w:val="nil"/>
            </w:tcBorders>
            <w:shd w:val="clear" w:color="auto" w:fill="auto"/>
            <w:vAlign w:val="center"/>
            <w:hideMark/>
          </w:tcPr>
          <w:p w14:paraId="37A3590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0.14</w:t>
            </w:r>
          </w:p>
        </w:tc>
      </w:tr>
    </w:tbl>
    <w:p w14:paraId="18545010" w14:textId="77777777" w:rsidR="00E847F0" w:rsidRPr="004C66D9" w:rsidRDefault="00E847F0" w:rsidP="00E847F0">
      <w:pPr>
        <w:jc w:val="center"/>
        <w:rPr>
          <w:rFonts w:cstheme="minorHAnsi"/>
          <w:sz w:val="22"/>
          <w:szCs w:val="22"/>
        </w:rPr>
      </w:pPr>
    </w:p>
    <w:p w14:paraId="759036EC" w14:textId="77777777" w:rsidR="00E847F0" w:rsidRPr="004C66D9" w:rsidRDefault="00E847F0" w:rsidP="00E847F0">
      <w:pPr>
        <w:jc w:val="center"/>
        <w:rPr>
          <w:rFonts w:cstheme="minorHAnsi"/>
          <w:sz w:val="22"/>
          <w:szCs w:val="22"/>
        </w:rPr>
      </w:pPr>
    </w:p>
    <w:p w14:paraId="3897F605" w14:textId="77777777" w:rsidR="00E847F0" w:rsidRDefault="00E847F0" w:rsidP="00E847F0">
      <w:pPr>
        <w:rPr>
          <w:rFonts w:cstheme="minorHAnsi"/>
          <w:sz w:val="22"/>
          <w:szCs w:val="22"/>
        </w:rPr>
      </w:pPr>
      <w:r>
        <w:rPr>
          <w:rFonts w:cstheme="minorHAnsi"/>
          <w:sz w:val="22"/>
          <w:szCs w:val="22"/>
        </w:rPr>
        <w:br w:type="page"/>
      </w:r>
    </w:p>
    <w:p w14:paraId="38C5E214" w14:textId="2EA3C27E" w:rsidR="00E847F0" w:rsidRPr="00000D4B" w:rsidRDefault="00E847F0" w:rsidP="00E847F0">
      <w:pPr>
        <w:ind w:left="1152" w:hanging="1152"/>
        <w:jc w:val="center"/>
        <w:rPr>
          <w:rFonts w:cstheme="minorHAnsi"/>
          <w:b/>
          <w:bCs/>
          <w:color w:val="6A7F0F"/>
          <w:sz w:val="22"/>
          <w:szCs w:val="22"/>
        </w:rPr>
      </w:pPr>
      <w:bookmarkStart w:id="138" w:name="Appendix6_Table_A66a"/>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.6a: Changes in Emergency Department Quarterly Use and Visits </w:t>
      </w:r>
    </w:p>
    <w:p w14:paraId="1A7EDEF4"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Race/Ethnicity Services for CCBHC OHP Members</w:t>
      </w:r>
    </w:p>
    <w:bookmarkEnd w:id="138"/>
    <w:p w14:paraId="103BE746" w14:textId="77777777" w:rsidR="00E847F0" w:rsidRPr="00A76A99" w:rsidRDefault="00E847F0" w:rsidP="00E847F0">
      <w:pPr>
        <w:ind w:left="1152" w:hanging="1152"/>
        <w:jc w:val="center"/>
        <w:rPr>
          <w:rFonts w:cstheme="minorHAnsi"/>
          <w:sz w:val="22"/>
          <w:szCs w:val="22"/>
          <w:u w:val="single"/>
        </w:rPr>
      </w:pPr>
    </w:p>
    <w:tbl>
      <w:tblPr>
        <w:tblW w:w="8307" w:type="dxa"/>
        <w:jc w:val="center"/>
        <w:tblLook w:val="04A0" w:firstRow="1" w:lastRow="0" w:firstColumn="1" w:lastColumn="0" w:noHBand="0" w:noVBand="1"/>
      </w:tblPr>
      <w:tblGrid>
        <w:gridCol w:w="2400"/>
        <w:gridCol w:w="840"/>
        <w:gridCol w:w="1080"/>
        <w:gridCol w:w="920"/>
        <w:gridCol w:w="1184"/>
        <w:gridCol w:w="929"/>
        <w:gridCol w:w="1017"/>
      </w:tblGrid>
      <w:tr w:rsidR="00F7725C" w:rsidRPr="004C66D9" w14:paraId="13235BA7"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8B41242" w14:textId="77777777" w:rsidR="00F7725C" w:rsidRPr="004C66D9" w:rsidRDefault="00F7725C" w:rsidP="00E72162">
            <w:pPr>
              <w:rPr>
                <w:rFonts w:cstheme="minorHAnsi"/>
                <w:sz w:val="22"/>
                <w:szCs w:val="22"/>
              </w:rPr>
            </w:pPr>
          </w:p>
          <w:p w14:paraId="6F2D46D7" w14:textId="77777777" w:rsidR="00F7725C" w:rsidRPr="004C66D9" w:rsidRDefault="00F7725C" w:rsidP="00E72162">
            <w:pPr>
              <w:rPr>
                <w:rFonts w:cstheme="minorHAnsi"/>
                <w:sz w:val="22"/>
                <w:szCs w:val="22"/>
              </w:rPr>
            </w:pPr>
          </w:p>
          <w:p w14:paraId="37039048" w14:textId="77777777" w:rsidR="00F7725C" w:rsidRPr="004C66D9" w:rsidRDefault="00F7725C"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1EC2DC78" w14:textId="77777777" w:rsidR="00F7725C" w:rsidRPr="004C66D9" w:rsidRDefault="00F7725C"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3490B7EB" w14:textId="77777777" w:rsidR="00F7725C" w:rsidRPr="004C66D9" w:rsidRDefault="00F7725C"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2EEC816C" w14:textId="77777777" w:rsidR="00F7725C" w:rsidRPr="004C66D9" w:rsidRDefault="00F7725C" w:rsidP="00E72162">
            <w:pPr>
              <w:jc w:val="center"/>
              <w:rPr>
                <w:rFonts w:cstheme="minorHAnsi"/>
                <w:sz w:val="22"/>
                <w:szCs w:val="22"/>
              </w:rPr>
            </w:pPr>
          </w:p>
        </w:tc>
        <w:tc>
          <w:tcPr>
            <w:tcW w:w="1184" w:type="dxa"/>
            <w:tcBorders>
              <w:top w:val="nil"/>
              <w:left w:val="nil"/>
              <w:bottom w:val="nil"/>
              <w:right w:val="nil"/>
            </w:tcBorders>
            <w:shd w:val="clear" w:color="auto" w:fill="auto"/>
            <w:noWrap/>
            <w:vAlign w:val="bottom"/>
            <w:hideMark/>
          </w:tcPr>
          <w:p w14:paraId="422DD7EA"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73C0F104" w14:textId="77777777" w:rsidR="00F7725C" w:rsidRPr="004C66D9" w:rsidRDefault="00F7725C" w:rsidP="00E72162">
            <w:pPr>
              <w:jc w:val="center"/>
              <w:rPr>
                <w:rFonts w:cstheme="minorHAnsi"/>
                <w:sz w:val="22"/>
                <w:szCs w:val="22"/>
              </w:rPr>
            </w:pPr>
          </w:p>
        </w:tc>
        <w:tc>
          <w:tcPr>
            <w:tcW w:w="954" w:type="dxa"/>
            <w:tcBorders>
              <w:top w:val="nil"/>
              <w:left w:val="nil"/>
              <w:bottom w:val="nil"/>
              <w:right w:val="nil"/>
            </w:tcBorders>
            <w:shd w:val="clear" w:color="auto" w:fill="auto"/>
            <w:noWrap/>
            <w:vAlign w:val="bottom"/>
            <w:hideMark/>
          </w:tcPr>
          <w:p w14:paraId="4BEB0B75"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 Other</w:t>
            </w:r>
          </w:p>
        </w:tc>
      </w:tr>
      <w:tr w:rsidR="00F7725C" w:rsidRPr="004C66D9" w14:paraId="1571042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E7FC878" w14:textId="77777777" w:rsidR="00F7725C" w:rsidRPr="004C66D9" w:rsidRDefault="00F7725C" w:rsidP="00E72162">
            <w:pPr>
              <w:jc w:val="center"/>
              <w:rPr>
                <w:rFonts w:cstheme="minorHAnsi"/>
                <w:b/>
                <w:bCs/>
                <w:color w:val="000000"/>
                <w:sz w:val="22"/>
                <w:szCs w:val="22"/>
              </w:rPr>
            </w:pPr>
          </w:p>
        </w:tc>
        <w:tc>
          <w:tcPr>
            <w:tcW w:w="840" w:type="dxa"/>
            <w:tcBorders>
              <w:top w:val="nil"/>
              <w:left w:val="nil"/>
              <w:bottom w:val="nil"/>
              <w:right w:val="nil"/>
            </w:tcBorders>
            <w:shd w:val="clear" w:color="auto" w:fill="auto"/>
            <w:noWrap/>
            <w:vAlign w:val="bottom"/>
            <w:hideMark/>
          </w:tcPr>
          <w:p w14:paraId="173A8348"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3ACB12E9"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1BA13F80"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Black/</w:t>
            </w:r>
          </w:p>
        </w:tc>
        <w:tc>
          <w:tcPr>
            <w:tcW w:w="1184" w:type="dxa"/>
            <w:tcBorders>
              <w:top w:val="nil"/>
              <w:left w:val="nil"/>
              <w:bottom w:val="nil"/>
              <w:right w:val="nil"/>
            </w:tcBorders>
            <w:shd w:val="clear" w:color="auto" w:fill="auto"/>
            <w:noWrap/>
            <w:vAlign w:val="bottom"/>
            <w:hideMark/>
          </w:tcPr>
          <w:p w14:paraId="140DD696"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Hispanic/</w:t>
            </w:r>
          </w:p>
        </w:tc>
        <w:tc>
          <w:tcPr>
            <w:tcW w:w="929" w:type="dxa"/>
            <w:tcBorders>
              <w:top w:val="nil"/>
              <w:left w:val="nil"/>
              <w:bottom w:val="nil"/>
              <w:right w:val="nil"/>
            </w:tcBorders>
            <w:shd w:val="clear" w:color="auto" w:fill="auto"/>
            <w:noWrap/>
            <w:vAlign w:val="bottom"/>
            <w:hideMark/>
          </w:tcPr>
          <w:p w14:paraId="71EDFE19" w14:textId="77777777" w:rsidR="00F7725C" w:rsidRPr="004C66D9" w:rsidRDefault="00F7725C" w:rsidP="00E72162">
            <w:pPr>
              <w:jc w:val="center"/>
              <w:rPr>
                <w:rFonts w:cstheme="minorHAnsi"/>
                <w:b/>
                <w:bCs/>
                <w:color w:val="000000"/>
                <w:sz w:val="22"/>
                <w:szCs w:val="22"/>
              </w:rPr>
            </w:pPr>
          </w:p>
        </w:tc>
        <w:tc>
          <w:tcPr>
            <w:tcW w:w="954" w:type="dxa"/>
            <w:tcBorders>
              <w:top w:val="nil"/>
              <w:left w:val="nil"/>
              <w:bottom w:val="nil"/>
              <w:right w:val="nil"/>
            </w:tcBorders>
            <w:shd w:val="clear" w:color="auto" w:fill="auto"/>
            <w:noWrap/>
            <w:vAlign w:val="bottom"/>
            <w:hideMark/>
          </w:tcPr>
          <w:p w14:paraId="5239FB78"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Race/</w:t>
            </w:r>
          </w:p>
        </w:tc>
      </w:tr>
      <w:tr w:rsidR="00F7725C" w:rsidRPr="004C66D9" w14:paraId="5FFF9F0A"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2BB86884"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Emergency Department</w:t>
            </w:r>
          </w:p>
        </w:tc>
        <w:tc>
          <w:tcPr>
            <w:tcW w:w="840" w:type="dxa"/>
            <w:tcBorders>
              <w:top w:val="nil"/>
              <w:left w:val="nil"/>
              <w:bottom w:val="single" w:sz="4" w:space="0" w:color="auto"/>
              <w:right w:val="nil"/>
            </w:tcBorders>
            <w:shd w:val="clear" w:color="auto" w:fill="auto"/>
            <w:noWrap/>
            <w:vAlign w:val="bottom"/>
            <w:hideMark/>
          </w:tcPr>
          <w:p w14:paraId="5C8E5376"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5B24C8F5"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2D3E38D8"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47178824"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Latino/a/x</w:t>
            </w:r>
          </w:p>
        </w:tc>
        <w:tc>
          <w:tcPr>
            <w:tcW w:w="929" w:type="dxa"/>
            <w:tcBorders>
              <w:top w:val="nil"/>
              <w:left w:val="nil"/>
              <w:bottom w:val="single" w:sz="4" w:space="0" w:color="auto"/>
              <w:right w:val="nil"/>
            </w:tcBorders>
            <w:shd w:val="clear" w:color="auto" w:fill="auto"/>
            <w:noWrap/>
            <w:vAlign w:val="bottom"/>
            <w:hideMark/>
          </w:tcPr>
          <w:p w14:paraId="6CCEA677"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White</w:t>
            </w:r>
          </w:p>
        </w:tc>
        <w:tc>
          <w:tcPr>
            <w:tcW w:w="954" w:type="dxa"/>
            <w:tcBorders>
              <w:top w:val="nil"/>
              <w:left w:val="nil"/>
              <w:bottom w:val="single" w:sz="4" w:space="0" w:color="auto"/>
              <w:right w:val="nil"/>
            </w:tcBorders>
            <w:shd w:val="clear" w:color="auto" w:fill="auto"/>
            <w:noWrap/>
            <w:vAlign w:val="bottom"/>
            <w:hideMark/>
          </w:tcPr>
          <w:p w14:paraId="4ED517D1"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Ethnicity</w:t>
            </w:r>
          </w:p>
        </w:tc>
      </w:tr>
      <w:tr w:rsidR="00F7725C" w:rsidRPr="004C66D9" w14:paraId="1B90FF1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C8534F9"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Mental Health</w:t>
            </w:r>
          </w:p>
        </w:tc>
        <w:tc>
          <w:tcPr>
            <w:tcW w:w="840" w:type="dxa"/>
            <w:tcBorders>
              <w:top w:val="nil"/>
              <w:left w:val="nil"/>
              <w:bottom w:val="nil"/>
              <w:right w:val="nil"/>
            </w:tcBorders>
            <w:shd w:val="clear" w:color="auto" w:fill="auto"/>
            <w:noWrap/>
            <w:vAlign w:val="bottom"/>
            <w:hideMark/>
          </w:tcPr>
          <w:p w14:paraId="4D4E1557"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7957F33"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4D3DA423"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50CEC009"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26A9F3A3"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60F469F0" w14:textId="77777777" w:rsidR="00F7725C" w:rsidRPr="004C66D9" w:rsidRDefault="00F7725C" w:rsidP="00E72162">
            <w:pPr>
              <w:rPr>
                <w:rFonts w:cstheme="minorHAnsi"/>
                <w:sz w:val="22"/>
                <w:szCs w:val="22"/>
              </w:rPr>
            </w:pPr>
          </w:p>
        </w:tc>
      </w:tr>
      <w:tr w:rsidR="00F7725C" w:rsidRPr="004C66D9" w14:paraId="7C957CA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4970C92"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51C9F024"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B0E6A45"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30FC711"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0F547D2B"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3752919F"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75A957AD" w14:textId="77777777" w:rsidR="00F7725C" w:rsidRPr="004C66D9" w:rsidRDefault="00F7725C" w:rsidP="00E72162">
            <w:pPr>
              <w:rPr>
                <w:rFonts w:cstheme="minorHAnsi"/>
                <w:sz w:val="22"/>
                <w:szCs w:val="22"/>
              </w:rPr>
            </w:pPr>
          </w:p>
        </w:tc>
      </w:tr>
      <w:tr w:rsidR="00F7725C" w:rsidRPr="004C66D9" w14:paraId="2161486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DDC402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594F8A5"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-14.1%</w:t>
            </w:r>
          </w:p>
        </w:tc>
        <w:tc>
          <w:tcPr>
            <w:tcW w:w="1080" w:type="dxa"/>
            <w:tcBorders>
              <w:top w:val="nil"/>
              <w:left w:val="nil"/>
              <w:bottom w:val="nil"/>
              <w:right w:val="nil"/>
            </w:tcBorders>
            <w:shd w:val="clear" w:color="auto" w:fill="auto"/>
            <w:noWrap/>
            <w:vAlign w:val="bottom"/>
            <w:hideMark/>
          </w:tcPr>
          <w:p w14:paraId="4F13B6C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-23.6%</w:t>
            </w:r>
          </w:p>
        </w:tc>
        <w:tc>
          <w:tcPr>
            <w:tcW w:w="920" w:type="dxa"/>
            <w:tcBorders>
              <w:top w:val="nil"/>
              <w:left w:val="nil"/>
              <w:bottom w:val="nil"/>
              <w:right w:val="nil"/>
            </w:tcBorders>
            <w:shd w:val="clear" w:color="auto" w:fill="auto"/>
            <w:noWrap/>
            <w:vAlign w:val="bottom"/>
            <w:hideMark/>
          </w:tcPr>
          <w:p w14:paraId="4258765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-5.4%</w:t>
            </w:r>
          </w:p>
        </w:tc>
        <w:tc>
          <w:tcPr>
            <w:tcW w:w="1184" w:type="dxa"/>
            <w:tcBorders>
              <w:top w:val="nil"/>
              <w:left w:val="nil"/>
              <w:bottom w:val="nil"/>
              <w:right w:val="nil"/>
            </w:tcBorders>
            <w:shd w:val="clear" w:color="auto" w:fill="auto"/>
            <w:noWrap/>
            <w:vAlign w:val="bottom"/>
            <w:hideMark/>
          </w:tcPr>
          <w:p w14:paraId="56BFE2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5.9%</w:t>
            </w:r>
          </w:p>
        </w:tc>
        <w:tc>
          <w:tcPr>
            <w:tcW w:w="929" w:type="dxa"/>
            <w:tcBorders>
              <w:top w:val="nil"/>
              <w:left w:val="nil"/>
              <w:bottom w:val="nil"/>
              <w:right w:val="nil"/>
            </w:tcBorders>
            <w:shd w:val="clear" w:color="auto" w:fill="auto"/>
            <w:noWrap/>
            <w:vAlign w:val="bottom"/>
            <w:hideMark/>
          </w:tcPr>
          <w:p w14:paraId="1A6DE451" w14:textId="77777777" w:rsidR="00F7725C" w:rsidRPr="00E60BC4" w:rsidRDefault="00F7725C" w:rsidP="00E72162">
            <w:pPr>
              <w:jc w:val="right"/>
              <w:rPr>
                <w:rFonts w:cstheme="minorHAnsi"/>
                <w:b/>
                <w:bCs/>
                <w:i/>
                <w:color w:val="000000"/>
                <w:sz w:val="22"/>
                <w:szCs w:val="22"/>
                <w:highlight w:val="yellow"/>
              </w:rPr>
            </w:pPr>
            <w:r w:rsidRPr="00E60BC4">
              <w:rPr>
                <w:rFonts w:cstheme="minorHAnsi"/>
                <w:b/>
                <w:bCs/>
                <w:i/>
                <w:color w:val="000000"/>
                <w:sz w:val="22"/>
                <w:szCs w:val="22"/>
              </w:rPr>
              <w:t>-16.3%</w:t>
            </w:r>
          </w:p>
        </w:tc>
        <w:tc>
          <w:tcPr>
            <w:tcW w:w="954" w:type="dxa"/>
            <w:tcBorders>
              <w:top w:val="nil"/>
              <w:left w:val="nil"/>
              <w:bottom w:val="nil"/>
              <w:right w:val="nil"/>
            </w:tcBorders>
            <w:shd w:val="clear" w:color="auto" w:fill="auto"/>
            <w:noWrap/>
            <w:vAlign w:val="bottom"/>
            <w:hideMark/>
          </w:tcPr>
          <w:p w14:paraId="04DCB03A"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61.9%</w:t>
            </w:r>
          </w:p>
        </w:tc>
      </w:tr>
      <w:tr w:rsidR="00F7725C" w:rsidRPr="004C66D9" w14:paraId="06BE33E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C23A57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6E904881"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-10.5%</w:t>
            </w:r>
          </w:p>
        </w:tc>
        <w:tc>
          <w:tcPr>
            <w:tcW w:w="1080" w:type="dxa"/>
            <w:tcBorders>
              <w:top w:val="nil"/>
              <w:left w:val="nil"/>
              <w:bottom w:val="nil"/>
              <w:right w:val="nil"/>
            </w:tcBorders>
            <w:shd w:val="clear" w:color="auto" w:fill="auto"/>
            <w:noWrap/>
            <w:vAlign w:val="bottom"/>
            <w:hideMark/>
          </w:tcPr>
          <w:p w14:paraId="303A817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-8.6%</w:t>
            </w:r>
          </w:p>
        </w:tc>
        <w:tc>
          <w:tcPr>
            <w:tcW w:w="920" w:type="dxa"/>
            <w:tcBorders>
              <w:top w:val="nil"/>
              <w:left w:val="nil"/>
              <w:bottom w:val="nil"/>
              <w:right w:val="nil"/>
            </w:tcBorders>
            <w:shd w:val="clear" w:color="auto" w:fill="auto"/>
            <w:noWrap/>
            <w:vAlign w:val="bottom"/>
            <w:hideMark/>
          </w:tcPr>
          <w:p w14:paraId="4F865F5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-10.3%</w:t>
            </w:r>
          </w:p>
        </w:tc>
        <w:tc>
          <w:tcPr>
            <w:tcW w:w="1184" w:type="dxa"/>
            <w:tcBorders>
              <w:top w:val="nil"/>
              <w:left w:val="nil"/>
              <w:bottom w:val="nil"/>
              <w:right w:val="nil"/>
            </w:tcBorders>
            <w:shd w:val="clear" w:color="auto" w:fill="auto"/>
            <w:noWrap/>
            <w:vAlign w:val="bottom"/>
            <w:hideMark/>
          </w:tcPr>
          <w:p w14:paraId="7105738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-0.5%</w:t>
            </w:r>
          </w:p>
        </w:tc>
        <w:tc>
          <w:tcPr>
            <w:tcW w:w="929" w:type="dxa"/>
            <w:tcBorders>
              <w:top w:val="nil"/>
              <w:left w:val="nil"/>
              <w:bottom w:val="nil"/>
              <w:right w:val="nil"/>
            </w:tcBorders>
            <w:shd w:val="clear" w:color="auto" w:fill="auto"/>
            <w:noWrap/>
            <w:vAlign w:val="bottom"/>
            <w:hideMark/>
          </w:tcPr>
          <w:p w14:paraId="792D44AC" w14:textId="77777777" w:rsidR="00F7725C" w:rsidRPr="00E60BC4" w:rsidRDefault="00F7725C" w:rsidP="00E72162">
            <w:pPr>
              <w:jc w:val="right"/>
              <w:rPr>
                <w:rFonts w:cstheme="minorHAnsi"/>
                <w:b/>
                <w:bCs/>
                <w:i/>
                <w:color w:val="000000"/>
                <w:sz w:val="22"/>
                <w:szCs w:val="22"/>
                <w:highlight w:val="yellow"/>
              </w:rPr>
            </w:pPr>
            <w:r w:rsidRPr="00E60BC4">
              <w:rPr>
                <w:rFonts w:cstheme="minorHAnsi"/>
                <w:b/>
                <w:bCs/>
                <w:i/>
                <w:color w:val="000000"/>
                <w:sz w:val="22"/>
                <w:szCs w:val="22"/>
              </w:rPr>
              <w:t>-13.5%</w:t>
            </w:r>
          </w:p>
        </w:tc>
        <w:tc>
          <w:tcPr>
            <w:tcW w:w="954" w:type="dxa"/>
            <w:tcBorders>
              <w:top w:val="nil"/>
              <w:left w:val="nil"/>
              <w:bottom w:val="nil"/>
              <w:right w:val="nil"/>
            </w:tcBorders>
            <w:shd w:val="clear" w:color="auto" w:fill="auto"/>
            <w:noWrap/>
            <w:vAlign w:val="bottom"/>
            <w:hideMark/>
          </w:tcPr>
          <w:p w14:paraId="58B083D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29.5%</w:t>
            </w:r>
          </w:p>
        </w:tc>
      </w:tr>
      <w:tr w:rsidR="00F7725C" w:rsidRPr="004C66D9" w14:paraId="6DCF146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9DA2798"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512DC3AA"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63B83B9B"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DD383E6"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677D92F"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5ED3B69D" w14:textId="77777777" w:rsidR="00F7725C" w:rsidRPr="004C66D9" w:rsidRDefault="00F7725C" w:rsidP="00E72162">
            <w:pPr>
              <w:rPr>
                <w:rFonts w:cstheme="minorHAnsi"/>
                <w:sz w:val="22"/>
                <w:szCs w:val="22"/>
                <w:highlight w:val="yellow"/>
              </w:rPr>
            </w:pPr>
          </w:p>
        </w:tc>
        <w:tc>
          <w:tcPr>
            <w:tcW w:w="954" w:type="dxa"/>
            <w:tcBorders>
              <w:top w:val="nil"/>
              <w:left w:val="nil"/>
              <w:bottom w:val="nil"/>
              <w:right w:val="nil"/>
            </w:tcBorders>
            <w:shd w:val="clear" w:color="auto" w:fill="auto"/>
            <w:noWrap/>
            <w:vAlign w:val="bottom"/>
            <w:hideMark/>
          </w:tcPr>
          <w:p w14:paraId="7B119D5E" w14:textId="77777777" w:rsidR="00F7725C" w:rsidRPr="004C66D9" w:rsidRDefault="00F7725C" w:rsidP="00E72162">
            <w:pPr>
              <w:rPr>
                <w:rFonts w:cstheme="minorHAnsi"/>
                <w:sz w:val="22"/>
                <w:szCs w:val="22"/>
              </w:rPr>
            </w:pPr>
          </w:p>
        </w:tc>
      </w:tr>
      <w:tr w:rsidR="00F7725C" w:rsidRPr="00E60BC4" w14:paraId="6D34CA9E"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C4EE45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99A1873"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-15.0%</w:t>
            </w:r>
          </w:p>
        </w:tc>
        <w:tc>
          <w:tcPr>
            <w:tcW w:w="1080" w:type="dxa"/>
            <w:tcBorders>
              <w:top w:val="nil"/>
              <w:left w:val="nil"/>
              <w:bottom w:val="nil"/>
              <w:right w:val="nil"/>
            </w:tcBorders>
            <w:shd w:val="clear" w:color="auto" w:fill="auto"/>
            <w:noWrap/>
            <w:vAlign w:val="bottom"/>
            <w:hideMark/>
          </w:tcPr>
          <w:p w14:paraId="67A8B48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-20.2%</w:t>
            </w:r>
          </w:p>
        </w:tc>
        <w:tc>
          <w:tcPr>
            <w:tcW w:w="920" w:type="dxa"/>
            <w:tcBorders>
              <w:top w:val="nil"/>
              <w:left w:val="nil"/>
              <w:bottom w:val="nil"/>
              <w:right w:val="nil"/>
            </w:tcBorders>
            <w:shd w:val="clear" w:color="auto" w:fill="auto"/>
            <w:noWrap/>
            <w:vAlign w:val="bottom"/>
            <w:hideMark/>
          </w:tcPr>
          <w:p w14:paraId="4E22036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-28.0%</w:t>
            </w:r>
          </w:p>
        </w:tc>
        <w:tc>
          <w:tcPr>
            <w:tcW w:w="1184" w:type="dxa"/>
            <w:tcBorders>
              <w:top w:val="nil"/>
              <w:left w:val="nil"/>
              <w:bottom w:val="nil"/>
              <w:right w:val="nil"/>
            </w:tcBorders>
            <w:shd w:val="clear" w:color="auto" w:fill="auto"/>
            <w:noWrap/>
            <w:vAlign w:val="bottom"/>
            <w:hideMark/>
          </w:tcPr>
          <w:p w14:paraId="09E9128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-5.3%</w:t>
            </w:r>
          </w:p>
        </w:tc>
        <w:tc>
          <w:tcPr>
            <w:tcW w:w="929" w:type="dxa"/>
            <w:tcBorders>
              <w:top w:val="nil"/>
              <w:left w:val="nil"/>
              <w:bottom w:val="nil"/>
              <w:right w:val="nil"/>
            </w:tcBorders>
            <w:shd w:val="clear" w:color="auto" w:fill="auto"/>
            <w:noWrap/>
            <w:vAlign w:val="bottom"/>
            <w:hideMark/>
          </w:tcPr>
          <w:p w14:paraId="4D79BBC2" w14:textId="77777777" w:rsidR="00F7725C" w:rsidRPr="00E60BC4" w:rsidRDefault="00F7725C" w:rsidP="00E72162">
            <w:pPr>
              <w:jc w:val="right"/>
              <w:rPr>
                <w:rFonts w:cstheme="minorHAnsi"/>
                <w:b/>
                <w:bCs/>
                <w:i/>
                <w:color w:val="000000"/>
                <w:sz w:val="22"/>
                <w:szCs w:val="22"/>
                <w:highlight w:val="yellow"/>
              </w:rPr>
            </w:pPr>
            <w:r w:rsidRPr="00E60BC4">
              <w:rPr>
                <w:rFonts w:cstheme="minorHAnsi"/>
                <w:b/>
                <w:bCs/>
                <w:i/>
                <w:color w:val="000000"/>
                <w:sz w:val="22"/>
                <w:szCs w:val="22"/>
              </w:rPr>
              <w:t>-16.5%</w:t>
            </w:r>
          </w:p>
        </w:tc>
        <w:tc>
          <w:tcPr>
            <w:tcW w:w="954" w:type="dxa"/>
            <w:tcBorders>
              <w:top w:val="nil"/>
              <w:left w:val="nil"/>
              <w:bottom w:val="nil"/>
              <w:right w:val="nil"/>
            </w:tcBorders>
            <w:shd w:val="clear" w:color="auto" w:fill="auto"/>
            <w:noWrap/>
            <w:vAlign w:val="bottom"/>
            <w:hideMark/>
          </w:tcPr>
          <w:p w14:paraId="5224EA13"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87.9%</w:t>
            </w:r>
          </w:p>
        </w:tc>
      </w:tr>
      <w:tr w:rsidR="00F7725C" w:rsidRPr="004C66D9" w14:paraId="2CDE5D31" w14:textId="77777777" w:rsidTr="00E72162">
        <w:trPr>
          <w:trHeight w:val="345"/>
          <w:jc w:val="center"/>
        </w:trPr>
        <w:tc>
          <w:tcPr>
            <w:tcW w:w="2400" w:type="dxa"/>
            <w:tcBorders>
              <w:top w:val="nil"/>
              <w:left w:val="nil"/>
              <w:bottom w:val="nil"/>
              <w:right w:val="nil"/>
            </w:tcBorders>
            <w:shd w:val="clear" w:color="auto" w:fill="auto"/>
            <w:noWrap/>
            <w:vAlign w:val="bottom"/>
            <w:hideMark/>
          </w:tcPr>
          <w:p w14:paraId="1D4E08E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5B9844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-6.1%</w:t>
            </w:r>
          </w:p>
        </w:tc>
        <w:tc>
          <w:tcPr>
            <w:tcW w:w="1080" w:type="dxa"/>
            <w:tcBorders>
              <w:top w:val="nil"/>
              <w:left w:val="nil"/>
              <w:bottom w:val="nil"/>
              <w:right w:val="nil"/>
            </w:tcBorders>
            <w:shd w:val="clear" w:color="auto" w:fill="auto"/>
            <w:noWrap/>
            <w:vAlign w:val="bottom"/>
            <w:hideMark/>
          </w:tcPr>
          <w:p w14:paraId="49146E4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4.9%</w:t>
            </w:r>
          </w:p>
        </w:tc>
        <w:tc>
          <w:tcPr>
            <w:tcW w:w="920" w:type="dxa"/>
            <w:tcBorders>
              <w:top w:val="nil"/>
              <w:left w:val="nil"/>
              <w:bottom w:val="nil"/>
              <w:right w:val="nil"/>
            </w:tcBorders>
            <w:shd w:val="clear" w:color="auto" w:fill="auto"/>
            <w:noWrap/>
            <w:vAlign w:val="bottom"/>
            <w:hideMark/>
          </w:tcPr>
          <w:p w14:paraId="2FD6CB5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-20.7%</w:t>
            </w:r>
          </w:p>
        </w:tc>
        <w:tc>
          <w:tcPr>
            <w:tcW w:w="1184" w:type="dxa"/>
            <w:tcBorders>
              <w:top w:val="nil"/>
              <w:left w:val="nil"/>
              <w:bottom w:val="nil"/>
              <w:right w:val="nil"/>
            </w:tcBorders>
            <w:shd w:val="clear" w:color="auto" w:fill="auto"/>
            <w:noWrap/>
            <w:vAlign w:val="bottom"/>
            <w:hideMark/>
          </w:tcPr>
          <w:p w14:paraId="5E43C1F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7.2%</w:t>
            </w:r>
          </w:p>
        </w:tc>
        <w:tc>
          <w:tcPr>
            <w:tcW w:w="929" w:type="dxa"/>
            <w:tcBorders>
              <w:top w:val="nil"/>
              <w:left w:val="nil"/>
              <w:bottom w:val="nil"/>
              <w:right w:val="nil"/>
            </w:tcBorders>
            <w:shd w:val="clear" w:color="auto" w:fill="auto"/>
            <w:noWrap/>
            <w:vAlign w:val="bottom"/>
            <w:hideMark/>
          </w:tcPr>
          <w:p w14:paraId="6875EAA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-7.3%</w:t>
            </w:r>
          </w:p>
        </w:tc>
        <w:tc>
          <w:tcPr>
            <w:tcW w:w="954" w:type="dxa"/>
            <w:tcBorders>
              <w:top w:val="nil"/>
              <w:left w:val="nil"/>
              <w:bottom w:val="nil"/>
              <w:right w:val="nil"/>
            </w:tcBorders>
            <w:shd w:val="clear" w:color="auto" w:fill="auto"/>
            <w:noWrap/>
            <w:vAlign w:val="bottom"/>
            <w:hideMark/>
          </w:tcPr>
          <w:p w14:paraId="0EB7665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3.6%</w:t>
            </w:r>
          </w:p>
        </w:tc>
      </w:tr>
      <w:tr w:rsidR="00F7725C" w:rsidRPr="004C66D9" w14:paraId="0518EE9B"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9A9FA1D"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Substance Use</w:t>
            </w:r>
          </w:p>
        </w:tc>
        <w:tc>
          <w:tcPr>
            <w:tcW w:w="840" w:type="dxa"/>
            <w:tcBorders>
              <w:top w:val="nil"/>
              <w:left w:val="nil"/>
              <w:bottom w:val="nil"/>
              <w:right w:val="nil"/>
            </w:tcBorders>
            <w:shd w:val="clear" w:color="auto" w:fill="auto"/>
            <w:noWrap/>
            <w:vAlign w:val="bottom"/>
            <w:hideMark/>
          </w:tcPr>
          <w:p w14:paraId="38ED1828"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7AC48667"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60650F62"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00C0715"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08787A5D"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10FAEB13" w14:textId="77777777" w:rsidR="00F7725C" w:rsidRPr="004C66D9" w:rsidRDefault="00F7725C" w:rsidP="00E72162">
            <w:pPr>
              <w:rPr>
                <w:rFonts w:cstheme="minorHAnsi"/>
                <w:sz w:val="22"/>
                <w:szCs w:val="22"/>
              </w:rPr>
            </w:pPr>
          </w:p>
        </w:tc>
      </w:tr>
      <w:tr w:rsidR="00F7725C" w:rsidRPr="004C66D9" w14:paraId="13153A2C"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886545A"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445EC255"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02521538"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204ACC2"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86456C9"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2C62325D"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4E32EF5A" w14:textId="77777777" w:rsidR="00F7725C" w:rsidRPr="004C66D9" w:rsidRDefault="00F7725C" w:rsidP="00E72162">
            <w:pPr>
              <w:rPr>
                <w:rFonts w:cstheme="minorHAnsi"/>
                <w:sz w:val="22"/>
                <w:szCs w:val="22"/>
              </w:rPr>
            </w:pPr>
          </w:p>
        </w:tc>
      </w:tr>
      <w:tr w:rsidR="00F7725C" w:rsidRPr="004C66D9" w14:paraId="7195C2B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06561B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C63222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0.5%</w:t>
            </w:r>
          </w:p>
        </w:tc>
        <w:tc>
          <w:tcPr>
            <w:tcW w:w="1080" w:type="dxa"/>
            <w:tcBorders>
              <w:top w:val="nil"/>
              <w:left w:val="nil"/>
              <w:bottom w:val="nil"/>
              <w:right w:val="nil"/>
            </w:tcBorders>
            <w:shd w:val="clear" w:color="auto" w:fill="auto"/>
            <w:noWrap/>
            <w:vAlign w:val="bottom"/>
            <w:hideMark/>
          </w:tcPr>
          <w:p w14:paraId="4222A04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15.1%</w:t>
            </w:r>
          </w:p>
        </w:tc>
        <w:tc>
          <w:tcPr>
            <w:tcW w:w="920" w:type="dxa"/>
            <w:tcBorders>
              <w:top w:val="nil"/>
              <w:left w:val="nil"/>
              <w:bottom w:val="nil"/>
              <w:right w:val="nil"/>
            </w:tcBorders>
            <w:shd w:val="clear" w:color="auto" w:fill="auto"/>
            <w:noWrap/>
            <w:vAlign w:val="bottom"/>
            <w:hideMark/>
          </w:tcPr>
          <w:p w14:paraId="456C1A7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6.4%</w:t>
            </w:r>
          </w:p>
        </w:tc>
        <w:tc>
          <w:tcPr>
            <w:tcW w:w="1184" w:type="dxa"/>
            <w:tcBorders>
              <w:top w:val="nil"/>
              <w:left w:val="nil"/>
              <w:bottom w:val="nil"/>
              <w:right w:val="nil"/>
            </w:tcBorders>
            <w:shd w:val="clear" w:color="auto" w:fill="auto"/>
            <w:noWrap/>
            <w:vAlign w:val="bottom"/>
            <w:hideMark/>
          </w:tcPr>
          <w:p w14:paraId="5F400A1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56.4%</w:t>
            </w:r>
          </w:p>
        </w:tc>
        <w:tc>
          <w:tcPr>
            <w:tcW w:w="929" w:type="dxa"/>
            <w:tcBorders>
              <w:top w:val="nil"/>
              <w:left w:val="nil"/>
              <w:bottom w:val="nil"/>
              <w:right w:val="nil"/>
            </w:tcBorders>
            <w:shd w:val="clear" w:color="auto" w:fill="auto"/>
            <w:noWrap/>
            <w:vAlign w:val="bottom"/>
            <w:hideMark/>
          </w:tcPr>
          <w:p w14:paraId="36CF08E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-0.6%</w:t>
            </w:r>
          </w:p>
        </w:tc>
        <w:tc>
          <w:tcPr>
            <w:tcW w:w="954" w:type="dxa"/>
            <w:tcBorders>
              <w:top w:val="nil"/>
              <w:left w:val="nil"/>
              <w:bottom w:val="nil"/>
              <w:right w:val="nil"/>
            </w:tcBorders>
            <w:shd w:val="clear" w:color="auto" w:fill="auto"/>
            <w:noWrap/>
            <w:vAlign w:val="bottom"/>
            <w:hideMark/>
          </w:tcPr>
          <w:p w14:paraId="3F95D19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68.9%</w:t>
            </w:r>
          </w:p>
        </w:tc>
      </w:tr>
      <w:tr w:rsidR="00F7725C" w:rsidRPr="004C66D9" w14:paraId="3906D5E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95B461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D9D8E6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13.9%</w:t>
            </w:r>
          </w:p>
        </w:tc>
        <w:tc>
          <w:tcPr>
            <w:tcW w:w="1080" w:type="dxa"/>
            <w:tcBorders>
              <w:top w:val="nil"/>
              <w:left w:val="nil"/>
              <w:bottom w:val="nil"/>
              <w:right w:val="nil"/>
            </w:tcBorders>
            <w:shd w:val="clear" w:color="auto" w:fill="auto"/>
            <w:noWrap/>
            <w:vAlign w:val="bottom"/>
            <w:hideMark/>
          </w:tcPr>
          <w:p w14:paraId="006C739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45.7%</w:t>
            </w:r>
          </w:p>
        </w:tc>
        <w:tc>
          <w:tcPr>
            <w:tcW w:w="920" w:type="dxa"/>
            <w:tcBorders>
              <w:top w:val="nil"/>
              <w:left w:val="nil"/>
              <w:bottom w:val="nil"/>
              <w:right w:val="nil"/>
            </w:tcBorders>
            <w:shd w:val="clear" w:color="auto" w:fill="auto"/>
            <w:noWrap/>
            <w:vAlign w:val="bottom"/>
            <w:hideMark/>
          </w:tcPr>
          <w:p w14:paraId="5B9B127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23.2%</w:t>
            </w:r>
          </w:p>
        </w:tc>
        <w:tc>
          <w:tcPr>
            <w:tcW w:w="1184" w:type="dxa"/>
            <w:tcBorders>
              <w:top w:val="nil"/>
              <w:left w:val="nil"/>
              <w:bottom w:val="nil"/>
              <w:right w:val="nil"/>
            </w:tcBorders>
            <w:shd w:val="clear" w:color="auto" w:fill="auto"/>
            <w:noWrap/>
            <w:vAlign w:val="bottom"/>
            <w:hideMark/>
          </w:tcPr>
          <w:p w14:paraId="67212CC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1.2%</w:t>
            </w:r>
          </w:p>
        </w:tc>
        <w:tc>
          <w:tcPr>
            <w:tcW w:w="929" w:type="dxa"/>
            <w:tcBorders>
              <w:top w:val="nil"/>
              <w:left w:val="nil"/>
              <w:bottom w:val="nil"/>
              <w:right w:val="nil"/>
            </w:tcBorders>
            <w:shd w:val="clear" w:color="auto" w:fill="auto"/>
            <w:noWrap/>
            <w:vAlign w:val="bottom"/>
            <w:hideMark/>
          </w:tcPr>
          <w:p w14:paraId="7EC0FFF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9.7%</w:t>
            </w:r>
          </w:p>
        </w:tc>
        <w:tc>
          <w:tcPr>
            <w:tcW w:w="954" w:type="dxa"/>
            <w:tcBorders>
              <w:top w:val="nil"/>
              <w:left w:val="nil"/>
              <w:bottom w:val="nil"/>
              <w:right w:val="nil"/>
            </w:tcBorders>
            <w:shd w:val="clear" w:color="auto" w:fill="auto"/>
            <w:noWrap/>
            <w:vAlign w:val="bottom"/>
            <w:hideMark/>
          </w:tcPr>
          <w:p w14:paraId="4D29008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2.9%</w:t>
            </w:r>
          </w:p>
        </w:tc>
      </w:tr>
      <w:tr w:rsidR="00F7725C" w:rsidRPr="004C66D9" w14:paraId="33D6EDC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648A6A1"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3C2D52AB"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31C93E57"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10696FBE"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37F08139"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209A4033"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589DABDC" w14:textId="77777777" w:rsidR="00F7725C" w:rsidRPr="004C66D9" w:rsidRDefault="00F7725C" w:rsidP="00E72162">
            <w:pPr>
              <w:rPr>
                <w:rFonts w:cstheme="minorHAnsi"/>
                <w:sz w:val="22"/>
                <w:szCs w:val="22"/>
              </w:rPr>
            </w:pPr>
          </w:p>
        </w:tc>
      </w:tr>
      <w:tr w:rsidR="00F7725C" w:rsidRPr="004C66D9" w14:paraId="65A3CF25"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76C3FA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6ED4015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1.4%</w:t>
            </w:r>
          </w:p>
        </w:tc>
        <w:tc>
          <w:tcPr>
            <w:tcW w:w="1080" w:type="dxa"/>
            <w:tcBorders>
              <w:top w:val="nil"/>
              <w:left w:val="nil"/>
              <w:bottom w:val="nil"/>
              <w:right w:val="nil"/>
            </w:tcBorders>
            <w:shd w:val="clear" w:color="auto" w:fill="auto"/>
            <w:noWrap/>
            <w:vAlign w:val="bottom"/>
            <w:hideMark/>
          </w:tcPr>
          <w:p w14:paraId="5644BF4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38.1%</w:t>
            </w:r>
          </w:p>
        </w:tc>
        <w:tc>
          <w:tcPr>
            <w:tcW w:w="920" w:type="dxa"/>
            <w:tcBorders>
              <w:top w:val="nil"/>
              <w:left w:val="nil"/>
              <w:bottom w:val="nil"/>
              <w:right w:val="nil"/>
            </w:tcBorders>
            <w:shd w:val="clear" w:color="auto" w:fill="auto"/>
            <w:noWrap/>
            <w:vAlign w:val="bottom"/>
            <w:hideMark/>
          </w:tcPr>
          <w:p w14:paraId="266BAC2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-11.0%</w:t>
            </w:r>
          </w:p>
        </w:tc>
        <w:tc>
          <w:tcPr>
            <w:tcW w:w="1184" w:type="dxa"/>
            <w:tcBorders>
              <w:top w:val="nil"/>
              <w:left w:val="nil"/>
              <w:bottom w:val="nil"/>
              <w:right w:val="nil"/>
            </w:tcBorders>
            <w:shd w:val="clear" w:color="auto" w:fill="auto"/>
            <w:noWrap/>
            <w:vAlign w:val="bottom"/>
            <w:hideMark/>
          </w:tcPr>
          <w:p w14:paraId="0BB7994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31.9%</w:t>
            </w:r>
          </w:p>
        </w:tc>
        <w:tc>
          <w:tcPr>
            <w:tcW w:w="929" w:type="dxa"/>
            <w:tcBorders>
              <w:top w:val="nil"/>
              <w:left w:val="nil"/>
              <w:bottom w:val="nil"/>
              <w:right w:val="nil"/>
            </w:tcBorders>
            <w:shd w:val="clear" w:color="auto" w:fill="auto"/>
            <w:noWrap/>
            <w:vAlign w:val="bottom"/>
            <w:hideMark/>
          </w:tcPr>
          <w:p w14:paraId="1D7FF51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10.0%</w:t>
            </w:r>
          </w:p>
        </w:tc>
        <w:tc>
          <w:tcPr>
            <w:tcW w:w="954" w:type="dxa"/>
            <w:tcBorders>
              <w:top w:val="nil"/>
              <w:left w:val="nil"/>
              <w:bottom w:val="nil"/>
              <w:right w:val="nil"/>
            </w:tcBorders>
            <w:shd w:val="clear" w:color="auto" w:fill="auto"/>
            <w:noWrap/>
            <w:vAlign w:val="bottom"/>
            <w:hideMark/>
          </w:tcPr>
          <w:p w14:paraId="50EB157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15.3%</w:t>
            </w:r>
          </w:p>
        </w:tc>
      </w:tr>
      <w:tr w:rsidR="00F7725C" w:rsidRPr="004C66D9" w14:paraId="6D908CA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84EB8E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F173B9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9.6%</w:t>
            </w:r>
          </w:p>
        </w:tc>
        <w:tc>
          <w:tcPr>
            <w:tcW w:w="1080" w:type="dxa"/>
            <w:tcBorders>
              <w:top w:val="nil"/>
              <w:left w:val="nil"/>
              <w:bottom w:val="nil"/>
              <w:right w:val="nil"/>
            </w:tcBorders>
            <w:shd w:val="clear" w:color="auto" w:fill="auto"/>
            <w:noWrap/>
            <w:vAlign w:val="bottom"/>
            <w:hideMark/>
          </w:tcPr>
          <w:p w14:paraId="195533D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47.0%</w:t>
            </w:r>
          </w:p>
        </w:tc>
        <w:tc>
          <w:tcPr>
            <w:tcW w:w="920" w:type="dxa"/>
            <w:tcBorders>
              <w:top w:val="nil"/>
              <w:left w:val="nil"/>
              <w:bottom w:val="nil"/>
              <w:right w:val="nil"/>
            </w:tcBorders>
            <w:shd w:val="clear" w:color="auto" w:fill="auto"/>
            <w:noWrap/>
            <w:vAlign w:val="bottom"/>
            <w:hideMark/>
          </w:tcPr>
          <w:p w14:paraId="74B2BD3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-13.3%</w:t>
            </w:r>
          </w:p>
        </w:tc>
        <w:tc>
          <w:tcPr>
            <w:tcW w:w="1184" w:type="dxa"/>
            <w:tcBorders>
              <w:top w:val="nil"/>
              <w:left w:val="nil"/>
              <w:bottom w:val="nil"/>
              <w:right w:val="nil"/>
            </w:tcBorders>
            <w:shd w:val="clear" w:color="auto" w:fill="auto"/>
            <w:noWrap/>
            <w:vAlign w:val="bottom"/>
            <w:hideMark/>
          </w:tcPr>
          <w:p w14:paraId="08118EF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65.0%</w:t>
            </w:r>
          </w:p>
        </w:tc>
        <w:tc>
          <w:tcPr>
            <w:tcW w:w="929" w:type="dxa"/>
            <w:tcBorders>
              <w:top w:val="nil"/>
              <w:left w:val="nil"/>
              <w:bottom w:val="nil"/>
              <w:right w:val="nil"/>
            </w:tcBorders>
            <w:shd w:val="clear" w:color="auto" w:fill="auto"/>
            <w:noWrap/>
            <w:vAlign w:val="bottom"/>
            <w:hideMark/>
          </w:tcPr>
          <w:p w14:paraId="24A7801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0.7%</w:t>
            </w:r>
          </w:p>
        </w:tc>
        <w:tc>
          <w:tcPr>
            <w:tcW w:w="954" w:type="dxa"/>
            <w:tcBorders>
              <w:top w:val="nil"/>
              <w:left w:val="nil"/>
              <w:bottom w:val="nil"/>
              <w:right w:val="nil"/>
            </w:tcBorders>
            <w:shd w:val="clear" w:color="auto" w:fill="auto"/>
            <w:noWrap/>
            <w:vAlign w:val="bottom"/>
            <w:hideMark/>
          </w:tcPr>
          <w:p w14:paraId="48EAAA3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-4.8%</w:t>
            </w:r>
          </w:p>
        </w:tc>
      </w:tr>
      <w:tr w:rsidR="00F7725C" w:rsidRPr="004C66D9" w14:paraId="302A5DBB"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D70642A"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Physical Health</w:t>
            </w:r>
          </w:p>
        </w:tc>
        <w:tc>
          <w:tcPr>
            <w:tcW w:w="840" w:type="dxa"/>
            <w:tcBorders>
              <w:top w:val="nil"/>
              <w:left w:val="nil"/>
              <w:bottom w:val="nil"/>
              <w:right w:val="nil"/>
            </w:tcBorders>
            <w:shd w:val="clear" w:color="auto" w:fill="auto"/>
            <w:noWrap/>
            <w:vAlign w:val="bottom"/>
            <w:hideMark/>
          </w:tcPr>
          <w:p w14:paraId="3BBF9160"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3F38DBDA"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3571B15"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3FB6A2C9"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5C8FCEA9"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13F81AD7" w14:textId="77777777" w:rsidR="00F7725C" w:rsidRPr="004C66D9" w:rsidRDefault="00F7725C" w:rsidP="00E72162">
            <w:pPr>
              <w:rPr>
                <w:rFonts w:cstheme="minorHAnsi"/>
                <w:sz w:val="22"/>
                <w:szCs w:val="22"/>
              </w:rPr>
            </w:pPr>
          </w:p>
        </w:tc>
      </w:tr>
      <w:tr w:rsidR="00F7725C" w:rsidRPr="004C66D9" w14:paraId="3DE55EE0"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45AAE8A"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05E6DBA6"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048517EB"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0F35716"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126089C3"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1C91BC1C"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1DEA3AFB" w14:textId="77777777" w:rsidR="00F7725C" w:rsidRPr="004C66D9" w:rsidRDefault="00F7725C" w:rsidP="00E72162">
            <w:pPr>
              <w:rPr>
                <w:rFonts w:cstheme="minorHAnsi"/>
                <w:sz w:val="22"/>
                <w:szCs w:val="22"/>
              </w:rPr>
            </w:pPr>
          </w:p>
        </w:tc>
      </w:tr>
      <w:tr w:rsidR="00F7725C" w:rsidRPr="004C66D9" w14:paraId="25108B3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375959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0F8E50C"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-4.4%</w:t>
            </w:r>
          </w:p>
        </w:tc>
        <w:tc>
          <w:tcPr>
            <w:tcW w:w="1080" w:type="dxa"/>
            <w:tcBorders>
              <w:top w:val="nil"/>
              <w:left w:val="nil"/>
              <w:bottom w:val="nil"/>
              <w:right w:val="nil"/>
            </w:tcBorders>
            <w:shd w:val="clear" w:color="auto" w:fill="auto"/>
            <w:noWrap/>
            <w:vAlign w:val="bottom"/>
            <w:hideMark/>
          </w:tcPr>
          <w:p w14:paraId="1777EEB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-4.1%</w:t>
            </w:r>
          </w:p>
        </w:tc>
        <w:tc>
          <w:tcPr>
            <w:tcW w:w="920" w:type="dxa"/>
            <w:tcBorders>
              <w:top w:val="nil"/>
              <w:left w:val="nil"/>
              <w:bottom w:val="nil"/>
              <w:right w:val="nil"/>
            </w:tcBorders>
            <w:shd w:val="clear" w:color="auto" w:fill="auto"/>
            <w:noWrap/>
            <w:vAlign w:val="bottom"/>
            <w:hideMark/>
          </w:tcPr>
          <w:p w14:paraId="6F0E28AA"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-18.7%</w:t>
            </w:r>
          </w:p>
        </w:tc>
        <w:tc>
          <w:tcPr>
            <w:tcW w:w="1184" w:type="dxa"/>
            <w:tcBorders>
              <w:top w:val="nil"/>
              <w:left w:val="nil"/>
              <w:bottom w:val="nil"/>
              <w:right w:val="nil"/>
            </w:tcBorders>
            <w:shd w:val="clear" w:color="auto" w:fill="auto"/>
            <w:noWrap/>
            <w:vAlign w:val="bottom"/>
            <w:hideMark/>
          </w:tcPr>
          <w:p w14:paraId="0D3AEC76"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11.7%</w:t>
            </w:r>
          </w:p>
        </w:tc>
        <w:tc>
          <w:tcPr>
            <w:tcW w:w="929" w:type="dxa"/>
            <w:tcBorders>
              <w:top w:val="nil"/>
              <w:left w:val="nil"/>
              <w:bottom w:val="nil"/>
              <w:right w:val="nil"/>
            </w:tcBorders>
            <w:shd w:val="clear" w:color="auto" w:fill="auto"/>
            <w:noWrap/>
            <w:vAlign w:val="bottom"/>
            <w:hideMark/>
          </w:tcPr>
          <w:p w14:paraId="288E1128"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-4.8%</w:t>
            </w:r>
          </w:p>
        </w:tc>
        <w:tc>
          <w:tcPr>
            <w:tcW w:w="954" w:type="dxa"/>
            <w:tcBorders>
              <w:top w:val="nil"/>
              <w:left w:val="nil"/>
              <w:bottom w:val="nil"/>
              <w:right w:val="nil"/>
            </w:tcBorders>
            <w:shd w:val="clear" w:color="auto" w:fill="auto"/>
            <w:noWrap/>
            <w:vAlign w:val="bottom"/>
            <w:hideMark/>
          </w:tcPr>
          <w:p w14:paraId="6D34FE6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20.0%</w:t>
            </w:r>
          </w:p>
        </w:tc>
      </w:tr>
      <w:tr w:rsidR="00F7725C" w:rsidRPr="004C66D9" w14:paraId="29BDC0C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6B96FB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12FF4B7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-2.5%</w:t>
            </w:r>
          </w:p>
        </w:tc>
        <w:tc>
          <w:tcPr>
            <w:tcW w:w="1080" w:type="dxa"/>
            <w:tcBorders>
              <w:top w:val="nil"/>
              <w:left w:val="nil"/>
              <w:bottom w:val="nil"/>
              <w:right w:val="nil"/>
            </w:tcBorders>
            <w:shd w:val="clear" w:color="auto" w:fill="auto"/>
            <w:noWrap/>
            <w:vAlign w:val="bottom"/>
            <w:hideMark/>
          </w:tcPr>
          <w:p w14:paraId="66FF16D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9.7%</w:t>
            </w:r>
          </w:p>
        </w:tc>
        <w:tc>
          <w:tcPr>
            <w:tcW w:w="920" w:type="dxa"/>
            <w:tcBorders>
              <w:top w:val="nil"/>
              <w:left w:val="nil"/>
              <w:bottom w:val="nil"/>
              <w:right w:val="nil"/>
            </w:tcBorders>
            <w:shd w:val="clear" w:color="auto" w:fill="auto"/>
            <w:noWrap/>
            <w:vAlign w:val="bottom"/>
            <w:hideMark/>
          </w:tcPr>
          <w:p w14:paraId="631BB3DB"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-29.2%</w:t>
            </w:r>
          </w:p>
        </w:tc>
        <w:tc>
          <w:tcPr>
            <w:tcW w:w="1184" w:type="dxa"/>
            <w:tcBorders>
              <w:top w:val="nil"/>
              <w:left w:val="nil"/>
              <w:bottom w:val="nil"/>
              <w:right w:val="nil"/>
            </w:tcBorders>
            <w:shd w:val="clear" w:color="auto" w:fill="auto"/>
            <w:noWrap/>
            <w:vAlign w:val="bottom"/>
            <w:hideMark/>
          </w:tcPr>
          <w:p w14:paraId="38CFC787"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-11.7%</w:t>
            </w:r>
          </w:p>
        </w:tc>
        <w:tc>
          <w:tcPr>
            <w:tcW w:w="929" w:type="dxa"/>
            <w:tcBorders>
              <w:top w:val="nil"/>
              <w:left w:val="nil"/>
              <w:bottom w:val="nil"/>
              <w:right w:val="nil"/>
            </w:tcBorders>
            <w:shd w:val="clear" w:color="auto" w:fill="auto"/>
            <w:noWrap/>
            <w:vAlign w:val="bottom"/>
            <w:hideMark/>
          </w:tcPr>
          <w:p w14:paraId="1626604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-2.4%</w:t>
            </w:r>
          </w:p>
        </w:tc>
        <w:tc>
          <w:tcPr>
            <w:tcW w:w="954" w:type="dxa"/>
            <w:tcBorders>
              <w:top w:val="nil"/>
              <w:left w:val="nil"/>
              <w:bottom w:val="nil"/>
              <w:right w:val="nil"/>
            </w:tcBorders>
            <w:shd w:val="clear" w:color="auto" w:fill="auto"/>
            <w:noWrap/>
            <w:vAlign w:val="bottom"/>
            <w:hideMark/>
          </w:tcPr>
          <w:p w14:paraId="5947922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23.6%</w:t>
            </w:r>
          </w:p>
        </w:tc>
      </w:tr>
      <w:tr w:rsidR="00F7725C" w:rsidRPr="004C66D9" w14:paraId="1F94E19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F993C07"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Visits per Person</w:t>
            </w:r>
          </w:p>
        </w:tc>
        <w:tc>
          <w:tcPr>
            <w:tcW w:w="840" w:type="dxa"/>
            <w:tcBorders>
              <w:top w:val="nil"/>
              <w:left w:val="nil"/>
              <w:bottom w:val="nil"/>
              <w:right w:val="nil"/>
            </w:tcBorders>
            <w:shd w:val="clear" w:color="auto" w:fill="auto"/>
            <w:noWrap/>
            <w:vAlign w:val="bottom"/>
            <w:hideMark/>
          </w:tcPr>
          <w:p w14:paraId="64A0B90C"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04E7FFC4"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34BC616"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1CFB2990" w14:textId="77777777" w:rsidR="00F7725C" w:rsidRPr="004C66D9" w:rsidRDefault="00F7725C" w:rsidP="00E72162">
            <w:pPr>
              <w:rPr>
                <w:rFonts w:cstheme="minorHAnsi"/>
                <w:sz w:val="22"/>
                <w:szCs w:val="22"/>
              </w:rPr>
            </w:pPr>
          </w:p>
        </w:tc>
        <w:tc>
          <w:tcPr>
            <w:tcW w:w="929" w:type="dxa"/>
            <w:tcBorders>
              <w:top w:val="nil"/>
              <w:left w:val="nil"/>
              <w:bottom w:val="nil"/>
              <w:right w:val="nil"/>
            </w:tcBorders>
            <w:shd w:val="clear" w:color="auto" w:fill="auto"/>
            <w:noWrap/>
            <w:vAlign w:val="bottom"/>
            <w:hideMark/>
          </w:tcPr>
          <w:p w14:paraId="6A763E8B" w14:textId="77777777" w:rsidR="00F7725C" w:rsidRPr="004C66D9" w:rsidRDefault="00F7725C" w:rsidP="00E72162">
            <w:pPr>
              <w:rPr>
                <w:rFonts w:cstheme="minorHAnsi"/>
                <w:sz w:val="22"/>
                <w:szCs w:val="22"/>
              </w:rPr>
            </w:pPr>
          </w:p>
        </w:tc>
        <w:tc>
          <w:tcPr>
            <w:tcW w:w="954" w:type="dxa"/>
            <w:tcBorders>
              <w:top w:val="nil"/>
              <w:left w:val="nil"/>
              <w:bottom w:val="nil"/>
              <w:right w:val="nil"/>
            </w:tcBorders>
            <w:shd w:val="clear" w:color="auto" w:fill="auto"/>
            <w:noWrap/>
            <w:vAlign w:val="bottom"/>
            <w:hideMark/>
          </w:tcPr>
          <w:p w14:paraId="554A5467" w14:textId="77777777" w:rsidR="00F7725C" w:rsidRPr="004C66D9" w:rsidRDefault="00F7725C" w:rsidP="00E72162">
            <w:pPr>
              <w:rPr>
                <w:rFonts w:cstheme="minorHAnsi"/>
                <w:sz w:val="22"/>
                <w:szCs w:val="22"/>
              </w:rPr>
            </w:pPr>
          </w:p>
        </w:tc>
      </w:tr>
      <w:tr w:rsidR="00F7725C" w:rsidRPr="004C66D9" w14:paraId="02B16E8E"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D9E2B9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27FB881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-1.0%</w:t>
            </w:r>
          </w:p>
        </w:tc>
        <w:tc>
          <w:tcPr>
            <w:tcW w:w="1080" w:type="dxa"/>
            <w:tcBorders>
              <w:top w:val="nil"/>
              <w:left w:val="nil"/>
              <w:bottom w:val="nil"/>
              <w:right w:val="nil"/>
            </w:tcBorders>
            <w:shd w:val="clear" w:color="auto" w:fill="auto"/>
            <w:noWrap/>
            <w:vAlign w:val="bottom"/>
            <w:hideMark/>
          </w:tcPr>
          <w:p w14:paraId="779FB4D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-9.9%</w:t>
            </w:r>
          </w:p>
        </w:tc>
        <w:tc>
          <w:tcPr>
            <w:tcW w:w="920" w:type="dxa"/>
            <w:tcBorders>
              <w:top w:val="nil"/>
              <w:left w:val="nil"/>
              <w:bottom w:val="nil"/>
              <w:right w:val="nil"/>
            </w:tcBorders>
            <w:shd w:val="clear" w:color="auto" w:fill="auto"/>
            <w:noWrap/>
            <w:vAlign w:val="bottom"/>
            <w:hideMark/>
          </w:tcPr>
          <w:p w14:paraId="44E96C9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-13.6%</w:t>
            </w:r>
          </w:p>
        </w:tc>
        <w:tc>
          <w:tcPr>
            <w:tcW w:w="1184" w:type="dxa"/>
            <w:tcBorders>
              <w:top w:val="nil"/>
              <w:left w:val="nil"/>
              <w:bottom w:val="nil"/>
              <w:right w:val="nil"/>
            </w:tcBorders>
            <w:shd w:val="clear" w:color="auto" w:fill="auto"/>
            <w:noWrap/>
            <w:vAlign w:val="bottom"/>
            <w:hideMark/>
          </w:tcPr>
          <w:p w14:paraId="49F746E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14.7%</w:t>
            </w:r>
          </w:p>
        </w:tc>
        <w:tc>
          <w:tcPr>
            <w:tcW w:w="929" w:type="dxa"/>
            <w:tcBorders>
              <w:top w:val="nil"/>
              <w:left w:val="nil"/>
              <w:bottom w:val="nil"/>
              <w:right w:val="nil"/>
            </w:tcBorders>
            <w:shd w:val="clear" w:color="auto" w:fill="auto"/>
            <w:noWrap/>
            <w:vAlign w:val="bottom"/>
            <w:hideMark/>
          </w:tcPr>
          <w:p w14:paraId="2E67DD4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-3.0%</w:t>
            </w:r>
          </w:p>
        </w:tc>
        <w:tc>
          <w:tcPr>
            <w:tcW w:w="954" w:type="dxa"/>
            <w:tcBorders>
              <w:top w:val="nil"/>
              <w:left w:val="nil"/>
              <w:bottom w:val="nil"/>
              <w:right w:val="nil"/>
            </w:tcBorders>
            <w:shd w:val="clear" w:color="auto" w:fill="auto"/>
            <w:noWrap/>
            <w:vAlign w:val="bottom"/>
            <w:hideMark/>
          </w:tcPr>
          <w:p w14:paraId="61A143C3" w14:textId="77777777" w:rsidR="00F7725C" w:rsidRPr="00E60BC4" w:rsidRDefault="00F7725C" w:rsidP="00E72162">
            <w:pPr>
              <w:jc w:val="right"/>
              <w:rPr>
                <w:rFonts w:cstheme="minorHAnsi"/>
                <w:b/>
                <w:bCs/>
                <w:i/>
                <w:color w:val="000000"/>
                <w:sz w:val="22"/>
                <w:szCs w:val="22"/>
              </w:rPr>
            </w:pPr>
            <w:r w:rsidRPr="00E60BC4">
              <w:rPr>
                <w:rFonts w:cstheme="minorHAnsi"/>
                <w:b/>
                <w:bCs/>
                <w:i/>
                <w:color w:val="000000"/>
                <w:sz w:val="22"/>
                <w:szCs w:val="22"/>
              </w:rPr>
              <w:t>72.3%</w:t>
            </w:r>
          </w:p>
        </w:tc>
      </w:tr>
      <w:tr w:rsidR="00F7725C" w:rsidRPr="004C66D9" w14:paraId="6AE5E2E5"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6BEAE17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2CD8DF6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2.4%</w:t>
            </w:r>
          </w:p>
        </w:tc>
        <w:tc>
          <w:tcPr>
            <w:tcW w:w="1080" w:type="dxa"/>
            <w:tcBorders>
              <w:top w:val="nil"/>
              <w:left w:val="nil"/>
              <w:bottom w:val="single" w:sz="4" w:space="0" w:color="auto"/>
              <w:right w:val="nil"/>
            </w:tcBorders>
            <w:shd w:val="clear" w:color="auto" w:fill="auto"/>
            <w:noWrap/>
            <w:vAlign w:val="bottom"/>
            <w:hideMark/>
          </w:tcPr>
          <w:p w14:paraId="16FEB04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3.0%</w:t>
            </w:r>
          </w:p>
        </w:tc>
        <w:tc>
          <w:tcPr>
            <w:tcW w:w="920" w:type="dxa"/>
            <w:tcBorders>
              <w:top w:val="nil"/>
              <w:left w:val="nil"/>
              <w:bottom w:val="single" w:sz="4" w:space="0" w:color="auto"/>
              <w:right w:val="nil"/>
            </w:tcBorders>
            <w:shd w:val="clear" w:color="auto" w:fill="auto"/>
            <w:noWrap/>
            <w:vAlign w:val="bottom"/>
            <w:hideMark/>
          </w:tcPr>
          <w:p w14:paraId="43BC9EE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-21.7%</w:t>
            </w:r>
          </w:p>
        </w:tc>
        <w:tc>
          <w:tcPr>
            <w:tcW w:w="1184" w:type="dxa"/>
            <w:tcBorders>
              <w:top w:val="nil"/>
              <w:left w:val="nil"/>
              <w:bottom w:val="single" w:sz="4" w:space="0" w:color="auto"/>
              <w:right w:val="nil"/>
            </w:tcBorders>
            <w:shd w:val="clear" w:color="auto" w:fill="auto"/>
            <w:noWrap/>
            <w:vAlign w:val="bottom"/>
            <w:hideMark/>
          </w:tcPr>
          <w:p w14:paraId="3628F65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30.5%</w:t>
            </w:r>
          </w:p>
        </w:tc>
        <w:tc>
          <w:tcPr>
            <w:tcW w:w="929" w:type="dxa"/>
            <w:tcBorders>
              <w:top w:val="nil"/>
              <w:left w:val="nil"/>
              <w:bottom w:val="single" w:sz="4" w:space="0" w:color="auto"/>
              <w:right w:val="nil"/>
            </w:tcBorders>
            <w:shd w:val="clear" w:color="auto" w:fill="auto"/>
            <w:noWrap/>
            <w:vAlign w:val="bottom"/>
            <w:hideMark/>
          </w:tcPr>
          <w:p w14:paraId="5C7F02B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-0.5%</w:t>
            </w:r>
          </w:p>
        </w:tc>
        <w:tc>
          <w:tcPr>
            <w:tcW w:w="954" w:type="dxa"/>
            <w:tcBorders>
              <w:top w:val="nil"/>
              <w:left w:val="nil"/>
              <w:bottom w:val="single" w:sz="4" w:space="0" w:color="auto"/>
              <w:right w:val="nil"/>
            </w:tcBorders>
            <w:shd w:val="clear" w:color="auto" w:fill="auto"/>
            <w:noWrap/>
            <w:vAlign w:val="bottom"/>
            <w:hideMark/>
          </w:tcPr>
          <w:p w14:paraId="0F98905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63.7%</w:t>
            </w:r>
          </w:p>
        </w:tc>
      </w:tr>
    </w:tbl>
    <w:p w14:paraId="0B392047" w14:textId="77777777" w:rsidR="00E847F0" w:rsidRPr="004C66D9" w:rsidRDefault="00E847F0" w:rsidP="00E847F0">
      <w:pPr>
        <w:rPr>
          <w:rFonts w:cstheme="minorHAnsi"/>
          <w:sz w:val="22"/>
          <w:szCs w:val="22"/>
        </w:rPr>
      </w:pPr>
    </w:p>
    <w:p w14:paraId="2997F5C6" w14:textId="77777777" w:rsidR="00E847F0" w:rsidRPr="004C66D9" w:rsidRDefault="00E847F0" w:rsidP="00E847F0">
      <w:pPr>
        <w:jc w:val="center"/>
        <w:rPr>
          <w:rFonts w:cstheme="minorHAnsi"/>
          <w:sz w:val="22"/>
          <w:szCs w:val="22"/>
        </w:rPr>
      </w:pPr>
    </w:p>
    <w:p w14:paraId="45BC6653" w14:textId="77777777" w:rsidR="00E847F0" w:rsidRPr="004C66D9" w:rsidRDefault="00E847F0" w:rsidP="00E847F0">
      <w:pPr>
        <w:jc w:val="center"/>
        <w:rPr>
          <w:rFonts w:cstheme="minorHAnsi"/>
          <w:sz w:val="22"/>
          <w:szCs w:val="22"/>
        </w:rPr>
      </w:pPr>
    </w:p>
    <w:p w14:paraId="67AE5D3C" w14:textId="77777777" w:rsidR="00E847F0" w:rsidRDefault="00E847F0" w:rsidP="00E847F0">
      <w:pPr>
        <w:rPr>
          <w:rFonts w:cstheme="minorHAnsi"/>
          <w:sz w:val="22"/>
          <w:szCs w:val="22"/>
        </w:rPr>
      </w:pPr>
      <w:r>
        <w:rPr>
          <w:rFonts w:cstheme="minorHAnsi"/>
          <w:sz w:val="22"/>
          <w:szCs w:val="22"/>
        </w:rPr>
        <w:br w:type="page"/>
      </w:r>
    </w:p>
    <w:p w14:paraId="273BB3E5" w14:textId="6BBC766A" w:rsidR="00E847F0" w:rsidRPr="00000D4B" w:rsidRDefault="00E847F0" w:rsidP="00E847F0">
      <w:pPr>
        <w:ind w:left="1152" w:hanging="1152"/>
        <w:jc w:val="center"/>
        <w:rPr>
          <w:rFonts w:cstheme="minorHAnsi"/>
          <w:b/>
          <w:bCs/>
          <w:color w:val="6A7F0F"/>
          <w:sz w:val="22"/>
          <w:szCs w:val="22"/>
        </w:rPr>
      </w:pPr>
      <w:bookmarkStart w:id="139" w:name="Appendix6_Table_A66b"/>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.6b: Change in Emergency Department Quarterly Use and Visits </w:t>
      </w:r>
    </w:p>
    <w:p w14:paraId="38711DA7"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Place of Residence for CCBHC OHP Members</w:t>
      </w:r>
    </w:p>
    <w:bookmarkEnd w:id="139"/>
    <w:p w14:paraId="668B51C1" w14:textId="77777777" w:rsidR="00E847F0" w:rsidRPr="00A76A99" w:rsidRDefault="00E847F0" w:rsidP="00E847F0">
      <w:pPr>
        <w:ind w:left="1152" w:hanging="1152"/>
        <w:jc w:val="center"/>
        <w:rPr>
          <w:rFonts w:cstheme="minorHAnsi"/>
          <w:sz w:val="22"/>
          <w:szCs w:val="22"/>
          <w:u w:val="single"/>
        </w:rPr>
      </w:pPr>
    </w:p>
    <w:p w14:paraId="09CC3AE6" w14:textId="77777777" w:rsidR="00E847F0" w:rsidRPr="004C66D9" w:rsidRDefault="00E847F0" w:rsidP="00E847F0">
      <w:pPr>
        <w:jc w:val="center"/>
        <w:rPr>
          <w:rFonts w:cstheme="minorHAnsi"/>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E60BC4" w14:paraId="080E2354" w14:textId="77777777" w:rsidTr="00E72162">
        <w:trPr>
          <w:trHeight w:val="290"/>
          <w:jc w:val="center"/>
        </w:trPr>
        <w:tc>
          <w:tcPr>
            <w:tcW w:w="2707" w:type="dxa"/>
            <w:tcBorders>
              <w:top w:val="nil"/>
              <w:left w:val="nil"/>
              <w:bottom w:val="nil"/>
              <w:right w:val="nil"/>
            </w:tcBorders>
          </w:tcPr>
          <w:p w14:paraId="2E7EB92B"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951" w:type="dxa"/>
            <w:tcBorders>
              <w:top w:val="nil"/>
              <w:left w:val="nil"/>
              <w:bottom w:val="nil"/>
              <w:right w:val="nil"/>
            </w:tcBorders>
          </w:tcPr>
          <w:p w14:paraId="4E9270BA"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62FB5BB2"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5FF9AA7B"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Rural or</w:t>
            </w:r>
          </w:p>
        </w:tc>
      </w:tr>
      <w:tr w:rsidR="00F7725C" w:rsidRPr="00E60BC4" w14:paraId="6B629D17" w14:textId="77777777" w:rsidTr="00E72162">
        <w:trPr>
          <w:trHeight w:val="290"/>
          <w:jc w:val="center"/>
        </w:trPr>
        <w:tc>
          <w:tcPr>
            <w:tcW w:w="2707" w:type="dxa"/>
            <w:tcBorders>
              <w:top w:val="nil"/>
              <w:left w:val="nil"/>
              <w:bottom w:val="single" w:sz="6" w:space="0" w:color="auto"/>
              <w:right w:val="nil"/>
            </w:tcBorders>
          </w:tcPr>
          <w:p w14:paraId="216DFD8C"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Emergency Department</w:t>
            </w:r>
          </w:p>
        </w:tc>
        <w:tc>
          <w:tcPr>
            <w:tcW w:w="951" w:type="dxa"/>
            <w:tcBorders>
              <w:top w:val="nil"/>
              <w:left w:val="nil"/>
              <w:bottom w:val="single" w:sz="6" w:space="0" w:color="auto"/>
              <w:right w:val="nil"/>
            </w:tcBorders>
          </w:tcPr>
          <w:p w14:paraId="13A4A7E6"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2EC9D356"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0FBD473D"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Remote</w:t>
            </w:r>
          </w:p>
        </w:tc>
      </w:tr>
      <w:tr w:rsidR="00F7725C" w:rsidRPr="00E60BC4" w14:paraId="3756E2D5" w14:textId="77777777" w:rsidTr="00E72162">
        <w:trPr>
          <w:trHeight w:val="290"/>
          <w:jc w:val="center"/>
        </w:trPr>
        <w:tc>
          <w:tcPr>
            <w:tcW w:w="2707" w:type="dxa"/>
            <w:tcBorders>
              <w:top w:val="nil"/>
              <w:left w:val="nil"/>
              <w:bottom w:val="nil"/>
              <w:right w:val="nil"/>
            </w:tcBorders>
          </w:tcPr>
          <w:p w14:paraId="41316275"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Mental Health</w:t>
            </w:r>
          </w:p>
        </w:tc>
        <w:tc>
          <w:tcPr>
            <w:tcW w:w="951" w:type="dxa"/>
            <w:tcBorders>
              <w:top w:val="nil"/>
              <w:left w:val="nil"/>
              <w:bottom w:val="nil"/>
              <w:right w:val="nil"/>
            </w:tcBorders>
          </w:tcPr>
          <w:p w14:paraId="1E9AF9F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A7391C8"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EAC697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968FE3D" w14:textId="77777777" w:rsidTr="00E72162">
        <w:trPr>
          <w:trHeight w:val="290"/>
          <w:jc w:val="center"/>
        </w:trPr>
        <w:tc>
          <w:tcPr>
            <w:tcW w:w="2707" w:type="dxa"/>
            <w:tcBorders>
              <w:top w:val="nil"/>
              <w:left w:val="nil"/>
              <w:bottom w:val="nil"/>
              <w:right w:val="nil"/>
            </w:tcBorders>
          </w:tcPr>
          <w:p w14:paraId="1B48CEBC"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532FD57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D1D27E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2906B1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6DC0DA6D" w14:textId="77777777" w:rsidTr="00E72162">
        <w:trPr>
          <w:trHeight w:val="290"/>
          <w:jc w:val="center"/>
        </w:trPr>
        <w:tc>
          <w:tcPr>
            <w:tcW w:w="2707" w:type="dxa"/>
            <w:tcBorders>
              <w:top w:val="nil"/>
              <w:left w:val="nil"/>
              <w:bottom w:val="nil"/>
              <w:right w:val="nil"/>
            </w:tcBorders>
          </w:tcPr>
          <w:p w14:paraId="5BEE3C6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5D9132B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-14.1%</w:t>
            </w:r>
          </w:p>
        </w:tc>
        <w:tc>
          <w:tcPr>
            <w:tcW w:w="1032" w:type="dxa"/>
            <w:tcBorders>
              <w:top w:val="nil"/>
              <w:left w:val="nil"/>
              <w:bottom w:val="nil"/>
              <w:right w:val="nil"/>
            </w:tcBorders>
          </w:tcPr>
          <w:p w14:paraId="265429E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-15.3%</w:t>
            </w:r>
          </w:p>
        </w:tc>
        <w:tc>
          <w:tcPr>
            <w:tcW w:w="1032" w:type="dxa"/>
            <w:tcBorders>
              <w:top w:val="nil"/>
              <w:left w:val="nil"/>
              <w:bottom w:val="nil"/>
              <w:right w:val="nil"/>
            </w:tcBorders>
          </w:tcPr>
          <w:p w14:paraId="05D8EB2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-11.8%</w:t>
            </w:r>
          </w:p>
        </w:tc>
      </w:tr>
      <w:tr w:rsidR="00F7725C" w:rsidRPr="00E60BC4" w14:paraId="536A43DD" w14:textId="77777777" w:rsidTr="00E72162">
        <w:trPr>
          <w:trHeight w:val="290"/>
          <w:jc w:val="center"/>
        </w:trPr>
        <w:tc>
          <w:tcPr>
            <w:tcW w:w="2707" w:type="dxa"/>
            <w:tcBorders>
              <w:top w:val="nil"/>
              <w:left w:val="nil"/>
              <w:bottom w:val="nil"/>
              <w:right w:val="nil"/>
            </w:tcBorders>
          </w:tcPr>
          <w:p w14:paraId="1A88837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0227DCB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-10.5%</w:t>
            </w:r>
          </w:p>
        </w:tc>
        <w:tc>
          <w:tcPr>
            <w:tcW w:w="1032" w:type="dxa"/>
            <w:tcBorders>
              <w:top w:val="nil"/>
              <w:left w:val="nil"/>
              <w:bottom w:val="nil"/>
              <w:right w:val="nil"/>
            </w:tcBorders>
          </w:tcPr>
          <w:p w14:paraId="4E4B680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-7.9%</w:t>
            </w:r>
          </w:p>
        </w:tc>
        <w:tc>
          <w:tcPr>
            <w:tcW w:w="1032" w:type="dxa"/>
            <w:tcBorders>
              <w:top w:val="nil"/>
              <w:left w:val="nil"/>
              <w:bottom w:val="nil"/>
              <w:right w:val="nil"/>
            </w:tcBorders>
          </w:tcPr>
          <w:p w14:paraId="3DE348BD"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-16.3%</w:t>
            </w:r>
          </w:p>
        </w:tc>
      </w:tr>
      <w:tr w:rsidR="00F7725C" w:rsidRPr="00E60BC4" w14:paraId="532C2A46" w14:textId="77777777" w:rsidTr="00E72162">
        <w:trPr>
          <w:trHeight w:val="290"/>
          <w:jc w:val="center"/>
        </w:trPr>
        <w:tc>
          <w:tcPr>
            <w:tcW w:w="2707" w:type="dxa"/>
            <w:tcBorders>
              <w:top w:val="nil"/>
              <w:left w:val="nil"/>
              <w:bottom w:val="nil"/>
              <w:right w:val="nil"/>
            </w:tcBorders>
          </w:tcPr>
          <w:p w14:paraId="2EBA60E2"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Visits per Person</w:t>
            </w:r>
          </w:p>
        </w:tc>
        <w:tc>
          <w:tcPr>
            <w:tcW w:w="951" w:type="dxa"/>
            <w:tcBorders>
              <w:top w:val="nil"/>
              <w:left w:val="nil"/>
              <w:bottom w:val="nil"/>
              <w:right w:val="nil"/>
            </w:tcBorders>
          </w:tcPr>
          <w:p w14:paraId="3F2391A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297551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2A8074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2EEE43F9" w14:textId="77777777" w:rsidTr="00E72162">
        <w:trPr>
          <w:trHeight w:val="290"/>
          <w:jc w:val="center"/>
        </w:trPr>
        <w:tc>
          <w:tcPr>
            <w:tcW w:w="2707" w:type="dxa"/>
            <w:tcBorders>
              <w:top w:val="nil"/>
              <w:left w:val="nil"/>
              <w:bottom w:val="nil"/>
              <w:right w:val="nil"/>
            </w:tcBorders>
          </w:tcPr>
          <w:p w14:paraId="605EA67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2A24A6F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-15.0%</w:t>
            </w:r>
          </w:p>
        </w:tc>
        <w:tc>
          <w:tcPr>
            <w:tcW w:w="1032" w:type="dxa"/>
            <w:tcBorders>
              <w:top w:val="nil"/>
              <w:left w:val="nil"/>
              <w:bottom w:val="nil"/>
              <w:right w:val="nil"/>
            </w:tcBorders>
          </w:tcPr>
          <w:p w14:paraId="5B26A1CE"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-16.7%</w:t>
            </w:r>
          </w:p>
        </w:tc>
        <w:tc>
          <w:tcPr>
            <w:tcW w:w="1032" w:type="dxa"/>
            <w:tcBorders>
              <w:top w:val="nil"/>
              <w:left w:val="nil"/>
              <w:bottom w:val="nil"/>
              <w:right w:val="nil"/>
            </w:tcBorders>
          </w:tcPr>
          <w:p w14:paraId="741A45A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-10.8%</w:t>
            </w:r>
          </w:p>
        </w:tc>
      </w:tr>
      <w:tr w:rsidR="00F7725C" w:rsidRPr="00E60BC4" w14:paraId="7BC48E68" w14:textId="77777777" w:rsidTr="00E72162">
        <w:trPr>
          <w:trHeight w:val="334"/>
          <w:jc w:val="center"/>
        </w:trPr>
        <w:tc>
          <w:tcPr>
            <w:tcW w:w="2707" w:type="dxa"/>
            <w:tcBorders>
              <w:top w:val="nil"/>
              <w:left w:val="nil"/>
              <w:bottom w:val="nil"/>
              <w:right w:val="nil"/>
            </w:tcBorders>
          </w:tcPr>
          <w:p w14:paraId="05B2857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2CB80B0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-6.1%</w:t>
            </w:r>
          </w:p>
        </w:tc>
        <w:tc>
          <w:tcPr>
            <w:tcW w:w="1032" w:type="dxa"/>
            <w:tcBorders>
              <w:top w:val="nil"/>
              <w:left w:val="nil"/>
              <w:bottom w:val="nil"/>
              <w:right w:val="nil"/>
            </w:tcBorders>
          </w:tcPr>
          <w:p w14:paraId="2B8C576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-5.7%</w:t>
            </w:r>
          </w:p>
        </w:tc>
        <w:tc>
          <w:tcPr>
            <w:tcW w:w="1032" w:type="dxa"/>
            <w:tcBorders>
              <w:top w:val="nil"/>
              <w:left w:val="nil"/>
              <w:bottom w:val="nil"/>
              <w:right w:val="nil"/>
            </w:tcBorders>
          </w:tcPr>
          <w:p w14:paraId="4202AD7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-6.3%</w:t>
            </w:r>
          </w:p>
        </w:tc>
      </w:tr>
      <w:tr w:rsidR="00F7725C" w:rsidRPr="00E60BC4" w14:paraId="4503B18E" w14:textId="77777777" w:rsidTr="00E72162">
        <w:trPr>
          <w:trHeight w:val="290"/>
          <w:jc w:val="center"/>
        </w:trPr>
        <w:tc>
          <w:tcPr>
            <w:tcW w:w="2707" w:type="dxa"/>
            <w:tcBorders>
              <w:top w:val="nil"/>
              <w:left w:val="nil"/>
              <w:bottom w:val="nil"/>
              <w:right w:val="nil"/>
            </w:tcBorders>
          </w:tcPr>
          <w:p w14:paraId="3E981B20"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Substance Use</w:t>
            </w:r>
          </w:p>
        </w:tc>
        <w:tc>
          <w:tcPr>
            <w:tcW w:w="951" w:type="dxa"/>
            <w:tcBorders>
              <w:top w:val="nil"/>
              <w:left w:val="nil"/>
              <w:bottom w:val="nil"/>
              <w:right w:val="nil"/>
            </w:tcBorders>
          </w:tcPr>
          <w:p w14:paraId="6C55717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4EED01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8B14DD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553BDE6" w14:textId="77777777" w:rsidTr="00E72162">
        <w:trPr>
          <w:trHeight w:val="290"/>
          <w:jc w:val="center"/>
        </w:trPr>
        <w:tc>
          <w:tcPr>
            <w:tcW w:w="2707" w:type="dxa"/>
            <w:tcBorders>
              <w:top w:val="nil"/>
              <w:left w:val="nil"/>
              <w:bottom w:val="nil"/>
              <w:right w:val="nil"/>
            </w:tcBorders>
          </w:tcPr>
          <w:p w14:paraId="39BF7206"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0086171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32F943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355957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056ED88C" w14:textId="77777777" w:rsidTr="00E72162">
        <w:trPr>
          <w:trHeight w:val="290"/>
          <w:jc w:val="center"/>
        </w:trPr>
        <w:tc>
          <w:tcPr>
            <w:tcW w:w="2707" w:type="dxa"/>
            <w:tcBorders>
              <w:top w:val="nil"/>
              <w:left w:val="nil"/>
              <w:bottom w:val="nil"/>
              <w:right w:val="nil"/>
            </w:tcBorders>
          </w:tcPr>
          <w:p w14:paraId="38A9039C"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6FC567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0.5%</w:t>
            </w:r>
          </w:p>
        </w:tc>
        <w:tc>
          <w:tcPr>
            <w:tcW w:w="1032" w:type="dxa"/>
            <w:tcBorders>
              <w:top w:val="nil"/>
              <w:left w:val="nil"/>
              <w:bottom w:val="nil"/>
              <w:right w:val="nil"/>
            </w:tcBorders>
          </w:tcPr>
          <w:p w14:paraId="598D97B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-1.6%</w:t>
            </w:r>
          </w:p>
        </w:tc>
        <w:tc>
          <w:tcPr>
            <w:tcW w:w="1032" w:type="dxa"/>
            <w:tcBorders>
              <w:top w:val="nil"/>
              <w:left w:val="nil"/>
              <w:bottom w:val="nil"/>
              <w:right w:val="nil"/>
            </w:tcBorders>
          </w:tcPr>
          <w:p w14:paraId="2802908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3.4%</w:t>
            </w:r>
          </w:p>
        </w:tc>
      </w:tr>
      <w:tr w:rsidR="00F7725C" w:rsidRPr="00E60BC4" w14:paraId="72FECE77" w14:textId="77777777" w:rsidTr="00E72162">
        <w:trPr>
          <w:trHeight w:val="290"/>
          <w:jc w:val="center"/>
        </w:trPr>
        <w:tc>
          <w:tcPr>
            <w:tcW w:w="2707" w:type="dxa"/>
            <w:tcBorders>
              <w:top w:val="nil"/>
              <w:left w:val="nil"/>
              <w:bottom w:val="nil"/>
              <w:right w:val="nil"/>
            </w:tcBorders>
          </w:tcPr>
          <w:p w14:paraId="0876160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3536DF1C"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13.9%</w:t>
            </w:r>
          </w:p>
        </w:tc>
        <w:tc>
          <w:tcPr>
            <w:tcW w:w="1032" w:type="dxa"/>
            <w:tcBorders>
              <w:top w:val="nil"/>
              <w:left w:val="nil"/>
              <w:bottom w:val="nil"/>
              <w:right w:val="nil"/>
            </w:tcBorders>
          </w:tcPr>
          <w:p w14:paraId="1519F83C"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18.8%</w:t>
            </w:r>
          </w:p>
        </w:tc>
        <w:tc>
          <w:tcPr>
            <w:tcW w:w="1032" w:type="dxa"/>
            <w:tcBorders>
              <w:top w:val="nil"/>
              <w:left w:val="nil"/>
              <w:bottom w:val="nil"/>
              <w:right w:val="nil"/>
            </w:tcBorders>
          </w:tcPr>
          <w:p w14:paraId="2054DF1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0.2%</w:t>
            </w:r>
          </w:p>
        </w:tc>
      </w:tr>
      <w:tr w:rsidR="00F7725C" w:rsidRPr="00E60BC4" w14:paraId="7997FD06" w14:textId="77777777" w:rsidTr="00E72162">
        <w:trPr>
          <w:trHeight w:val="290"/>
          <w:jc w:val="center"/>
        </w:trPr>
        <w:tc>
          <w:tcPr>
            <w:tcW w:w="2707" w:type="dxa"/>
            <w:tcBorders>
              <w:top w:val="nil"/>
              <w:left w:val="nil"/>
              <w:bottom w:val="nil"/>
              <w:right w:val="nil"/>
            </w:tcBorders>
          </w:tcPr>
          <w:p w14:paraId="3443A105"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Visits per Person</w:t>
            </w:r>
          </w:p>
        </w:tc>
        <w:tc>
          <w:tcPr>
            <w:tcW w:w="951" w:type="dxa"/>
            <w:tcBorders>
              <w:top w:val="nil"/>
              <w:left w:val="nil"/>
              <w:bottom w:val="nil"/>
              <w:right w:val="nil"/>
            </w:tcBorders>
          </w:tcPr>
          <w:p w14:paraId="218504F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71C9B3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F7BC09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13F1FBBD" w14:textId="77777777" w:rsidTr="00E72162">
        <w:trPr>
          <w:trHeight w:val="290"/>
          <w:jc w:val="center"/>
        </w:trPr>
        <w:tc>
          <w:tcPr>
            <w:tcW w:w="2707" w:type="dxa"/>
            <w:tcBorders>
              <w:top w:val="nil"/>
              <w:left w:val="nil"/>
              <w:bottom w:val="nil"/>
              <w:right w:val="nil"/>
            </w:tcBorders>
          </w:tcPr>
          <w:p w14:paraId="56D2DAC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721FA0B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w:t>
            </w:r>
          </w:p>
        </w:tc>
        <w:tc>
          <w:tcPr>
            <w:tcW w:w="1032" w:type="dxa"/>
            <w:tcBorders>
              <w:top w:val="nil"/>
              <w:left w:val="nil"/>
              <w:bottom w:val="nil"/>
              <w:right w:val="nil"/>
            </w:tcBorders>
          </w:tcPr>
          <w:p w14:paraId="42647A1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1.1%</w:t>
            </w:r>
          </w:p>
        </w:tc>
        <w:tc>
          <w:tcPr>
            <w:tcW w:w="1032" w:type="dxa"/>
            <w:tcBorders>
              <w:top w:val="nil"/>
              <w:left w:val="nil"/>
              <w:bottom w:val="nil"/>
              <w:right w:val="nil"/>
            </w:tcBorders>
          </w:tcPr>
          <w:p w14:paraId="23ABE16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2.5%</w:t>
            </w:r>
          </w:p>
        </w:tc>
      </w:tr>
      <w:tr w:rsidR="00F7725C" w:rsidRPr="00E60BC4" w14:paraId="5BED95E5" w14:textId="77777777" w:rsidTr="00E72162">
        <w:trPr>
          <w:trHeight w:val="290"/>
          <w:jc w:val="center"/>
        </w:trPr>
        <w:tc>
          <w:tcPr>
            <w:tcW w:w="2707" w:type="dxa"/>
            <w:tcBorders>
              <w:top w:val="nil"/>
              <w:left w:val="nil"/>
              <w:bottom w:val="nil"/>
              <w:right w:val="nil"/>
            </w:tcBorders>
          </w:tcPr>
          <w:p w14:paraId="45534FA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2823E39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9.6%</w:t>
            </w:r>
          </w:p>
        </w:tc>
        <w:tc>
          <w:tcPr>
            <w:tcW w:w="1032" w:type="dxa"/>
            <w:tcBorders>
              <w:top w:val="nil"/>
              <w:left w:val="nil"/>
              <w:bottom w:val="nil"/>
              <w:right w:val="nil"/>
            </w:tcBorders>
          </w:tcPr>
          <w:p w14:paraId="03DF89A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18.2%</w:t>
            </w:r>
          </w:p>
        </w:tc>
        <w:tc>
          <w:tcPr>
            <w:tcW w:w="1032" w:type="dxa"/>
            <w:tcBorders>
              <w:top w:val="nil"/>
              <w:left w:val="nil"/>
              <w:bottom w:val="nil"/>
              <w:right w:val="nil"/>
            </w:tcBorders>
          </w:tcPr>
          <w:p w14:paraId="31B0851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-9.2%</w:t>
            </w:r>
          </w:p>
        </w:tc>
      </w:tr>
      <w:tr w:rsidR="00F7725C" w:rsidRPr="00E60BC4" w14:paraId="72FDCF0F" w14:textId="77777777" w:rsidTr="00E72162">
        <w:trPr>
          <w:trHeight w:val="290"/>
          <w:jc w:val="center"/>
        </w:trPr>
        <w:tc>
          <w:tcPr>
            <w:tcW w:w="2707" w:type="dxa"/>
            <w:tcBorders>
              <w:top w:val="nil"/>
              <w:left w:val="nil"/>
              <w:bottom w:val="nil"/>
              <w:right w:val="nil"/>
            </w:tcBorders>
          </w:tcPr>
          <w:p w14:paraId="449C5F49"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Physical Health</w:t>
            </w:r>
          </w:p>
        </w:tc>
        <w:tc>
          <w:tcPr>
            <w:tcW w:w="951" w:type="dxa"/>
            <w:tcBorders>
              <w:top w:val="nil"/>
              <w:left w:val="nil"/>
              <w:bottom w:val="nil"/>
              <w:right w:val="nil"/>
            </w:tcBorders>
          </w:tcPr>
          <w:p w14:paraId="3E005F5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F56750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2D57BD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10E0CAF8" w14:textId="77777777" w:rsidTr="00E72162">
        <w:trPr>
          <w:trHeight w:val="290"/>
          <w:jc w:val="center"/>
        </w:trPr>
        <w:tc>
          <w:tcPr>
            <w:tcW w:w="2707" w:type="dxa"/>
            <w:tcBorders>
              <w:top w:val="nil"/>
              <w:left w:val="nil"/>
              <w:bottom w:val="nil"/>
              <w:right w:val="nil"/>
            </w:tcBorders>
          </w:tcPr>
          <w:p w14:paraId="0DFD635F"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4CD9DCC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CF85B2B"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ECE716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1D956D09" w14:textId="77777777" w:rsidTr="00E72162">
        <w:trPr>
          <w:trHeight w:val="290"/>
          <w:jc w:val="center"/>
        </w:trPr>
        <w:tc>
          <w:tcPr>
            <w:tcW w:w="2707" w:type="dxa"/>
            <w:tcBorders>
              <w:top w:val="nil"/>
              <w:left w:val="nil"/>
              <w:bottom w:val="nil"/>
              <w:right w:val="nil"/>
            </w:tcBorders>
          </w:tcPr>
          <w:p w14:paraId="1AD7441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F5B0DF3"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-4.4%</w:t>
            </w:r>
          </w:p>
        </w:tc>
        <w:tc>
          <w:tcPr>
            <w:tcW w:w="1032" w:type="dxa"/>
            <w:tcBorders>
              <w:top w:val="nil"/>
              <w:left w:val="nil"/>
              <w:bottom w:val="nil"/>
              <w:right w:val="nil"/>
            </w:tcBorders>
          </w:tcPr>
          <w:p w14:paraId="733311F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-6.0%</w:t>
            </w:r>
          </w:p>
        </w:tc>
        <w:tc>
          <w:tcPr>
            <w:tcW w:w="1032" w:type="dxa"/>
            <w:tcBorders>
              <w:top w:val="nil"/>
              <w:left w:val="nil"/>
              <w:bottom w:val="nil"/>
              <w:right w:val="nil"/>
            </w:tcBorders>
          </w:tcPr>
          <w:p w14:paraId="0944559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-1.6%</w:t>
            </w:r>
          </w:p>
        </w:tc>
      </w:tr>
      <w:tr w:rsidR="00F7725C" w:rsidRPr="00E60BC4" w14:paraId="6940FB7D" w14:textId="77777777" w:rsidTr="00E72162">
        <w:trPr>
          <w:trHeight w:val="290"/>
          <w:jc w:val="center"/>
        </w:trPr>
        <w:tc>
          <w:tcPr>
            <w:tcW w:w="2707" w:type="dxa"/>
            <w:tcBorders>
              <w:top w:val="nil"/>
              <w:left w:val="nil"/>
              <w:bottom w:val="nil"/>
              <w:right w:val="nil"/>
            </w:tcBorders>
          </w:tcPr>
          <w:p w14:paraId="0884B58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6635E6C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-2.5%</w:t>
            </w:r>
          </w:p>
        </w:tc>
        <w:tc>
          <w:tcPr>
            <w:tcW w:w="1032" w:type="dxa"/>
            <w:tcBorders>
              <w:top w:val="nil"/>
              <w:left w:val="nil"/>
              <w:bottom w:val="nil"/>
              <w:right w:val="nil"/>
            </w:tcBorders>
          </w:tcPr>
          <w:p w14:paraId="3CE2F9C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-3.6%</w:t>
            </w:r>
          </w:p>
        </w:tc>
        <w:tc>
          <w:tcPr>
            <w:tcW w:w="1032" w:type="dxa"/>
            <w:tcBorders>
              <w:top w:val="nil"/>
              <w:left w:val="nil"/>
              <w:bottom w:val="nil"/>
              <w:right w:val="nil"/>
            </w:tcBorders>
          </w:tcPr>
          <w:p w14:paraId="6A94CB1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0.1%</w:t>
            </w:r>
          </w:p>
        </w:tc>
      </w:tr>
      <w:tr w:rsidR="00F7725C" w:rsidRPr="00E60BC4" w14:paraId="1CEB3340" w14:textId="77777777" w:rsidTr="00E72162">
        <w:trPr>
          <w:trHeight w:val="290"/>
          <w:jc w:val="center"/>
        </w:trPr>
        <w:tc>
          <w:tcPr>
            <w:tcW w:w="2707" w:type="dxa"/>
            <w:tcBorders>
              <w:top w:val="nil"/>
              <w:left w:val="nil"/>
              <w:bottom w:val="nil"/>
              <w:right w:val="nil"/>
            </w:tcBorders>
          </w:tcPr>
          <w:p w14:paraId="7CFCD016"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Visits per Person</w:t>
            </w:r>
          </w:p>
        </w:tc>
        <w:tc>
          <w:tcPr>
            <w:tcW w:w="951" w:type="dxa"/>
            <w:tcBorders>
              <w:top w:val="nil"/>
              <w:left w:val="nil"/>
              <w:bottom w:val="nil"/>
              <w:right w:val="nil"/>
            </w:tcBorders>
          </w:tcPr>
          <w:p w14:paraId="09C7C87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0633DD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A4890E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A785B0A" w14:textId="77777777" w:rsidTr="00E72162">
        <w:trPr>
          <w:trHeight w:val="290"/>
          <w:jc w:val="center"/>
        </w:trPr>
        <w:tc>
          <w:tcPr>
            <w:tcW w:w="2707" w:type="dxa"/>
            <w:tcBorders>
              <w:top w:val="nil"/>
              <w:left w:val="nil"/>
              <w:bottom w:val="nil"/>
              <w:right w:val="nil"/>
            </w:tcBorders>
          </w:tcPr>
          <w:p w14:paraId="0619EF7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2C04CAE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w:t>
            </w:r>
          </w:p>
        </w:tc>
        <w:tc>
          <w:tcPr>
            <w:tcW w:w="1032" w:type="dxa"/>
            <w:tcBorders>
              <w:top w:val="nil"/>
              <w:left w:val="nil"/>
              <w:bottom w:val="nil"/>
              <w:right w:val="nil"/>
            </w:tcBorders>
          </w:tcPr>
          <w:p w14:paraId="4EE8C081"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-17.8%</w:t>
            </w:r>
          </w:p>
        </w:tc>
        <w:tc>
          <w:tcPr>
            <w:tcW w:w="1032" w:type="dxa"/>
            <w:tcBorders>
              <w:top w:val="nil"/>
              <w:left w:val="nil"/>
              <w:bottom w:val="nil"/>
              <w:right w:val="nil"/>
            </w:tcBorders>
          </w:tcPr>
          <w:p w14:paraId="522E04B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-1.9%</w:t>
            </w:r>
          </w:p>
        </w:tc>
      </w:tr>
      <w:tr w:rsidR="00F7725C" w:rsidRPr="00E60BC4" w14:paraId="519A453C" w14:textId="77777777" w:rsidTr="00E72162">
        <w:trPr>
          <w:trHeight w:val="290"/>
          <w:jc w:val="center"/>
        </w:trPr>
        <w:tc>
          <w:tcPr>
            <w:tcW w:w="2707" w:type="dxa"/>
            <w:tcBorders>
              <w:top w:val="nil"/>
              <w:left w:val="nil"/>
              <w:bottom w:val="single" w:sz="6" w:space="0" w:color="auto"/>
              <w:right w:val="nil"/>
            </w:tcBorders>
          </w:tcPr>
          <w:p w14:paraId="0649781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4B8FA0B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2.4%</w:t>
            </w:r>
          </w:p>
        </w:tc>
        <w:tc>
          <w:tcPr>
            <w:tcW w:w="1032" w:type="dxa"/>
            <w:tcBorders>
              <w:top w:val="nil"/>
              <w:left w:val="nil"/>
              <w:bottom w:val="single" w:sz="6" w:space="0" w:color="auto"/>
              <w:right w:val="nil"/>
            </w:tcBorders>
          </w:tcPr>
          <w:p w14:paraId="6015F22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22.9%</w:t>
            </w:r>
          </w:p>
        </w:tc>
        <w:tc>
          <w:tcPr>
            <w:tcW w:w="1032" w:type="dxa"/>
            <w:tcBorders>
              <w:top w:val="nil"/>
              <w:left w:val="nil"/>
              <w:bottom w:val="single" w:sz="6" w:space="0" w:color="auto"/>
              <w:right w:val="nil"/>
            </w:tcBorders>
          </w:tcPr>
          <w:p w14:paraId="44F6F82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-0.6%</w:t>
            </w:r>
          </w:p>
        </w:tc>
      </w:tr>
    </w:tbl>
    <w:p w14:paraId="5692E51C" w14:textId="77777777" w:rsidR="00E847F0" w:rsidRPr="004C66D9" w:rsidRDefault="00E847F0" w:rsidP="00E847F0">
      <w:pPr>
        <w:rPr>
          <w:rFonts w:cstheme="minorHAnsi"/>
          <w:sz w:val="22"/>
          <w:szCs w:val="22"/>
        </w:rPr>
      </w:pPr>
    </w:p>
    <w:p w14:paraId="5C6C3A89" w14:textId="77777777" w:rsidR="00E847F0" w:rsidRPr="004C66D9" w:rsidRDefault="00E847F0" w:rsidP="00E847F0">
      <w:pPr>
        <w:rPr>
          <w:rFonts w:cstheme="minorHAnsi"/>
          <w:sz w:val="22"/>
          <w:szCs w:val="22"/>
        </w:rPr>
      </w:pPr>
    </w:p>
    <w:p w14:paraId="3F0E9208" w14:textId="77777777" w:rsidR="00E847F0" w:rsidRPr="004C66D9" w:rsidRDefault="00E847F0" w:rsidP="00E847F0">
      <w:pPr>
        <w:jc w:val="center"/>
        <w:rPr>
          <w:rFonts w:cstheme="minorHAnsi"/>
          <w:sz w:val="22"/>
          <w:szCs w:val="22"/>
        </w:rPr>
      </w:pPr>
    </w:p>
    <w:p w14:paraId="2D0504D7" w14:textId="77777777" w:rsidR="00E847F0" w:rsidRPr="004C66D9" w:rsidRDefault="00E847F0" w:rsidP="00E847F0">
      <w:pPr>
        <w:jc w:val="center"/>
        <w:rPr>
          <w:rFonts w:cstheme="minorHAnsi"/>
          <w:sz w:val="22"/>
          <w:szCs w:val="22"/>
        </w:rPr>
      </w:pPr>
    </w:p>
    <w:p w14:paraId="34976DF8" w14:textId="77777777" w:rsidR="00E847F0" w:rsidRPr="004C66D9" w:rsidRDefault="00E847F0" w:rsidP="00E847F0">
      <w:pPr>
        <w:rPr>
          <w:rFonts w:cstheme="minorHAnsi"/>
          <w:sz w:val="22"/>
          <w:szCs w:val="22"/>
        </w:rPr>
      </w:pPr>
    </w:p>
    <w:p w14:paraId="30628FF9" w14:textId="77777777" w:rsidR="00E847F0" w:rsidRDefault="00E847F0" w:rsidP="00E847F0">
      <w:pPr>
        <w:rPr>
          <w:rFonts w:cstheme="minorHAnsi"/>
          <w:sz w:val="22"/>
          <w:szCs w:val="22"/>
          <w:u w:val="single"/>
        </w:rPr>
      </w:pPr>
      <w:r>
        <w:rPr>
          <w:rFonts w:cstheme="minorHAnsi"/>
          <w:sz w:val="22"/>
          <w:szCs w:val="22"/>
          <w:u w:val="single"/>
        </w:rPr>
        <w:br w:type="page"/>
      </w:r>
    </w:p>
    <w:p w14:paraId="503A04DE" w14:textId="015762BB" w:rsidR="00E847F0" w:rsidRPr="00000D4B" w:rsidRDefault="00E847F0" w:rsidP="00E847F0">
      <w:pPr>
        <w:ind w:left="1152" w:hanging="1152"/>
        <w:jc w:val="center"/>
        <w:rPr>
          <w:rFonts w:cstheme="minorHAnsi"/>
          <w:b/>
          <w:bCs/>
          <w:color w:val="6A7F0F"/>
          <w:sz w:val="22"/>
          <w:szCs w:val="22"/>
        </w:rPr>
      </w:pPr>
      <w:bookmarkStart w:id="140" w:name="Appendix6_Table_A66c"/>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.6c: Change in Inpatient Service Quarterly Use and Days </w:t>
      </w:r>
    </w:p>
    <w:p w14:paraId="5CD9A871"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Race/Ethnicity Services for CCBHC OHP Members</w:t>
      </w:r>
    </w:p>
    <w:bookmarkEnd w:id="140"/>
    <w:p w14:paraId="50A90BFB" w14:textId="77777777" w:rsidR="00E847F0" w:rsidRPr="004C66D9" w:rsidRDefault="00E847F0" w:rsidP="00E847F0">
      <w:pPr>
        <w:rPr>
          <w:rFonts w:cstheme="minorHAnsi"/>
          <w:sz w:val="22"/>
          <w:szCs w:val="22"/>
        </w:rPr>
      </w:pPr>
    </w:p>
    <w:tbl>
      <w:tblPr>
        <w:tblW w:w="8307" w:type="dxa"/>
        <w:jc w:val="center"/>
        <w:tblLook w:val="04A0" w:firstRow="1" w:lastRow="0" w:firstColumn="1" w:lastColumn="0" w:noHBand="0" w:noVBand="1"/>
      </w:tblPr>
      <w:tblGrid>
        <w:gridCol w:w="2400"/>
        <w:gridCol w:w="840"/>
        <w:gridCol w:w="1080"/>
        <w:gridCol w:w="920"/>
        <w:gridCol w:w="1184"/>
        <w:gridCol w:w="866"/>
        <w:gridCol w:w="1017"/>
      </w:tblGrid>
      <w:tr w:rsidR="00F7725C" w:rsidRPr="004C66D9" w14:paraId="22CC800B"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228CD1C" w14:textId="77777777" w:rsidR="00F7725C" w:rsidRPr="004C66D9" w:rsidRDefault="00F7725C"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525199B1" w14:textId="77777777" w:rsidR="00F7725C" w:rsidRPr="004C66D9" w:rsidRDefault="00F7725C"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1F81F212" w14:textId="77777777" w:rsidR="00F7725C" w:rsidRPr="004C66D9" w:rsidRDefault="00F7725C"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57305D0D" w14:textId="77777777" w:rsidR="00F7725C" w:rsidRPr="004C66D9" w:rsidRDefault="00F7725C" w:rsidP="00E72162">
            <w:pPr>
              <w:jc w:val="center"/>
              <w:rPr>
                <w:rFonts w:cstheme="minorHAnsi"/>
                <w:sz w:val="22"/>
                <w:szCs w:val="22"/>
              </w:rPr>
            </w:pPr>
          </w:p>
        </w:tc>
        <w:tc>
          <w:tcPr>
            <w:tcW w:w="1184" w:type="dxa"/>
            <w:tcBorders>
              <w:top w:val="nil"/>
              <w:left w:val="nil"/>
              <w:bottom w:val="nil"/>
              <w:right w:val="nil"/>
            </w:tcBorders>
            <w:shd w:val="clear" w:color="auto" w:fill="auto"/>
            <w:noWrap/>
            <w:vAlign w:val="bottom"/>
            <w:hideMark/>
          </w:tcPr>
          <w:p w14:paraId="756EA49F" w14:textId="77777777" w:rsidR="00F7725C" w:rsidRPr="004C66D9" w:rsidRDefault="00F7725C" w:rsidP="00E72162">
            <w:pPr>
              <w:jc w:val="center"/>
              <w:rPr>
                <w:rFonts w:cstheme="minorHAnsi"/>
                <w:sz w:val="22"/>
                <w:szCs w:val="22"/>
              </w:rPr>
            </w:pPr>
          </w:p>
        </w:tc>
        <w:tc>
          <w:tcPr>
            <w:tcW w:w="866" w:type="dxa"/>
            <w:tcBorders>
              <w:top w:val="nil"/>
              <w:left w:val="nil"/>
              <w:bottom w:val="nil"/>
              <w:right w:val="nil"/>
            </w:tcBorders>
            <w:shd w:val="clear" w:color="auto" w:fill="auto"/>
            <w:noWrap/>
            <w:vAlign w:val="bottom"/>
            <w:hideMark/>
          </w:tcPr>
          <w:p w14:paraId="30AE4CFE" w14:textId="77777777" w:rsidR="00F7725C" w:rsidRPr="004C66D9" w:rsidRDefault="00F7725C" w:rsidP="00E72162">
            <w:pPr>
              <w:jc w:val="center"/>
              <w:rPr>
                <w:rFonts w:cstheme="minorHAnsi"/>
                <w:sz w:val="22"/>
                <w:szCs w:val="22"/>
              </w:rPr>
            </w:pPr>
          </w:p>
        </w:tc>
        <w:tc>
          <w:tcPr>
            <w:tcW w:w="1017" w:type="dxa"/>
            <w:tcBorders>
              <w:top w:val="nil"/>
              <w:left w:val="nil"/>
              <w:bottom w:val="nil"/>
              <w:right w:val="nil"/>
            </w:tcBorders>
            <w:shd w:val="clear" w:color="auto" w:fill="auto"/>
            <w:noWrap/>
            <w:vAlign w:val="bottom"/>
            <w:hideMark/>
          </w:tcPr>
          <w:p w14:paraId="29CC6F09"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 Other</w:t>
            </w:r>
          </w:p>
        </w:tc>
      </w:tr>
      <w:tr w:rsidR="00F7725C" w:rsidRPr="004C66D9" w14:paraId="302A066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A58DC52" w14:textId="77777777" w:rsidR="00F7725C" w:rsidRPr="004C66D9" w:rsidRDefault="00F7725C" w:rsidP="00E72162">
            <w:pPr>
              <w:jc w:val="center"/>
              <w:rPr>
                <w:rFonts w:cstheme="minorHAnsi"/>
                <w:b/>
                <w:bCs/>
                <w:color w:val="000000"/>
                <w:sz w:val="22"/>
                <w:szCs w:val="22"/>
              </w:rPr>
            </w:pPr>
          </w:p>
        </w:tc>
        <w:tc>
          <w:tcPr>
            <w:tcW w:w="840" w:type="dxa"/>
            <w:tcBorders>
              <w:top w:val="nil"/>
              <w:left w:val="nil"/>
              <w:bottom w:val="nil"/>
              <w:right w:val="nil"/>
            </w:tcBorders>
            <w:shd w:val="clear" w:color="auto" w:fill="auto"/>
            <w:noWrap/>
            <w:vAlign w:val="bottom"/>
            <w:hideMark/>
          </w:tcPr>
          <w:p w14:paraId="5E0903B7"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1AE059BA"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2BDEEAAC"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Black/</w:t>
            </w:r>
          </w:p>
        </w:tc>
        <w:tc>
          <w:tcPr>
            <w:tcW w:w="1184" w:type="dxa"/>
            <w:tcBorders>
              <w:top w:val="nil"/>
              <w:left w:val="nil"/>
              <w:bottom w:val="nil"/>
              <w:right w:val="nil"/>
            </w:tcBorders>
            <w:shd w:val="clear" w:color="auto" w:fill="auto"/>
            <w:noWrap/>
            <w:vAlign w:val="bottom"/>
            <w:hideMark/>
          </w:tcPr>
          <w:p w14:paraId="21DD8182"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Hispanic/</w:t>
            </w:r>
          </w:p>
        </w:tc>
        <w:tc>
          <w:tcPr>
            <w:tcW w:w="866" w:type="dxa"/>
            <w:tcBorders>
              <w:top w:val="nil"/>
              <w:left w:val="nil"/>
              <w:bottom w:val="nil"/>
              <w:right w:val="nil"/>
            </w:tcBorders>
            <w:shd w:val="clear" w:color="auto" w:fill="auto"/>
            <w:noWrap/>
            <w:vAlign w:val="bottom"/>
            <w:hideMark/>
          </w:tcPr>
          <w:p w14:paraId="49BE1478" w14:textId="77777777" w:rsidR="00F7725C" w:rsidRPr="004C66D9" w:rsidRDefault="00F7725C" w:rsidP="00E72162">
            <w:pPr>
              <w:jc w:val="center"/>
              <w:rPr>
                <w:rFonts w:cstheme="minorHAnsi"/>
                <w:b/>
                <w:bCs/>
                <w:color w:val="000000"/>
                <w:sz w:val="22"/>
                <w:szCs w:val="22"/>
              </w:rPr>
            </w:pPr>
          </w:p>
        </w:tc>
        <w:tc>
          <w:tcPr>
            <w:tcW w:w="1017" w:type="dxa"/>
            <w:tcBorders>
              <w:top w:val="nil"/>
              <w:left w:val="nil"/>
              <w:bottom w:val="nil"/>
              <w:right w:val="nil"/>
            </w:tcBorders>
            <w:shd w:val="clear" w:color="auto" w:fill="auto"/>
            <w:noWrap/>
            <w:vAlign w:val="bottom"/>
            <w:hideMark/>
          </w:tcPr>
          <w:p w14:paraId="1C241AEF"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Race/</w:t>
            </w:r>
          </w:p>
        </w:tc>
      </w:tr>
      <w:tr w:rsidR="00F7725C" w:rsidRPr="004C66D9" w14:paraId="01DA1FD7"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5744BDD7"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Inpatient</w:t>
            </w:r>
          </w:p>
        </w:tc>
        <w:tc>
          <w:tcPr>
            <w:tcW w:w="840" w:type="dxa"/>
            <w:tcBorders>
              <w:top w:val="nil"/>
              <w:left w:val="nil"/>
              <w:bottom w:val="single" w:sz="4" w:space="0" w:color="auto"/>
              <w:right w:val="nil"/>
            </w:tcBorders>
            <w:shd w:val="clear" w:color="auto" w:fill="auto"/>
            <w:noWrap/>
            <w:vAlign w:val="bottom"/>
            <w:hideMark/>
          </w:tcPr>
          <w:p w14:paraId="0333B6D4"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71F98EB2"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0DE43EE7"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084DCE42"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Latino/a/x</w:t>
            </w:r>
          </w:p>
        </w:tc>
        <w:tc>
          <w:tcPr>
            <w:tcW w:w="866" w:type="dxa"/>
            <w:tcBorders>
              <w:top w:val="nil"/>
              <w:left w:val="nil"/>
              <w:bottom w:val="single" w:sz="4" w:space="0" w:color="auto"/>
              <w:right w:val="nil"/>
            </w:tcBorders>
            <w:shd w:val="clear" w:color="auto" w:fill="auto"/>
            <w:noWrap/>
            <w:vAlign w:val="bottom"/>
            <w:hideMark/>
          </w:tcPr>
          <w:p w14:paraId="2BEE5F24"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72C4C583"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Ethnicity</w:t>
            </w:r>
          </w:p>
        </w:tc>
      </w:tr>
      <w:tr w:rsidR="00F7725C" w:rsidRPr="004C66D9" w14:paraId="45A5795D"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804284A"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Mental Health</w:t>
            </w:r>
          </w:p>
        </w:tc>
        <w:tc>
          <w:tcPr>
            <w:tcW w:w="840" w:type="dxa"/>
            <w:tcBorders>
              <w:top w:val="nil"/>
              <w:left w:val="nil"/>
              <w:bottom w:val="nil"/>
              <w:right w:val="nil"/>
            </w:tcBorders>
            <w:shd w:val="clear" w:color="auto" w:fill="auto"/>
            <w:noWrap/>
            <w:vAlign w:val="bottom"/>
            <w:hideMark/>
          </w:tcPr>
          <w:p w14:paraId="428A66AB"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5291790C"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31DDB3C7"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1469AC8"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2CACBB0E"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7990DE1A" w14:textId="77777777" w:rsidR="00F7725C" w:rsidRPr="004C66D9" w:rsidRDefault="00F7725C" w:rsidP="00E72162">
            <w:pPr>
              <w:rPr>
                <w:rFonts w:cstheme="minorHAnsi"/>
                <w:sz w:val="22"/>
                <w:szCs w:val="22"/>
              </w:rPr>
            </w:pPr>
          </w:p>
        </w:tc>
      </w:tr>
      <w:tr w:rsidR="00F7725C" w:rsidRPr="004C66D9" w14:paraId="3302D3E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82DD09B"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10A8B2C3"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32DE9E69"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16FE522"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5CB60BA9"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4EEA4915"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0D0279AF" w14:textId="77777777" w:rsidR="00F7725C" w:rsidRPr="004C66D9" w:rsidRDefault="00F7725C" w:rsidP="00E72162">
            <w:pPr>
              <w:rPr>
                <w:rFonts w:cstheme="minorHAnsi"/>
                <w:sz w:val="22"/>
                <w:szCs w:val="22"/>
              </w:rPr>
            </w:pPr>
          </w:p>
        </w:tc>
      </w:tr>
      <w:tr w:rsidR="00F7725C" w:rsidRPr="004C66D9" w14:paraId="13096D3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E8796D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2B274C0"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-22.4%</w:t>
            </w:r>
          </w:p>
        </w:tc>
        <w:tc>
          <w:tcPr>
            <w:tcW w:w="1080" w:type="dxa"/>
            <w:tcBorders>
              <w:top w:val="nil"/>
              <w:left w:val="nil"/>
              <w:bottom w:val="nil"/>
              <w:right w:val="nil"/>
            </w:tcBorders>
            <w:shd w:val="clear" w:color="auto" w:fill="auto"/>
            <w:noWrap/>
            <w:vAlign w:val="bottom"/>
            <w:hideMark/>
          </w:tcPr>
          <w:p w14:paraId="13359789"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-40.8%</w:t>
            </w:r>
          </w:p>
        </w:tc>
        <w:tc>
          <w:tcPr>
            <w:tcW w:w="920" w:type="dxa"/>
            <w:tcBorders>
              <w:top w:val="nil"/>
              <w:left w:val="nil"/>
              <w:bottom w:val="nil"/>
              <w:right w:val="nil"/>
            </w:tcBorders>
            <w:shd w:val="clear" w:color="auto" w:fill="auto"/>
            <w:noWrap/>
            <w:vAlign w:val="bottom"/>
            <w:hideMark/>
          </w:tcPr>
          <w:p w14:paraId="0A03159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-22.5%</w:t>
            </w:r>
          </w:p>
        </w:tc>
        <w:tc>
          <w:tcPr>
            <w:tcW w:w="1184" w:type="dxa"/>
            <w:tcBorders>
              <w:top w:val="nil"/>
              <w:left w:val="nil"/>
              <w:bottom w:val="nil"/>
              <w:right w:val="nil"/>
            </w:tcBorders>
            <w:shd w:val="clear" w:color="auto" w:fill="auto"/>
            <w:noWrap/>
            <w:vAlign w:val="bottom"/>
            <w:hideMark/>
          </w:tcPr>
          <w:p w14:paraId="335F78B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-13.2%</w:t>
            </w:r>
          </w:p>
        </w:tc>
        <w:tc>
          <w:tcPr>
            <w:tcW w:w="866" w:type="dxa"/>
            <w:tcBorders>
              <w:top w:val="nil"/>
              <w:left w:val="nil"/>
              <w:bottom w:val="nil"/>
              <w:right w:val="nil"/>
            </w:tcBorders>
            <w:shd w:val="clear" w:color="auto" w:fill="auto"/>
            <w:noWrap/>
            <w:vAlign w:val="bottom"/>
            <w:hideMark/>
          </w:tcPr>
          <w:p w14:paraId="70A7469E"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-24.7%</w:t>
            </w:r>
          </w:p>
        </w:tc>
        <w:tc>
          <w:tcPr>
            <w:tcW w:w="1017" w:type="dxa"/>
            <w:tcBorders>
              <w:top w:val="nil"/>
              <w:left w:val="nil"/>
              <w:bottom w:val="nil"/>
              <w:right w:val="nil"/>
            </w:tcBorders>
            <w:shd w:val="clear" w:color="auto" w:fill="auto"/>
            <w:noWrap/>
            <w:vAlign w:val="bottom"/>
            <w:hideMark/>
          </w:tcPr>
          <w:p w14:paraId="5C4D0D7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100.6%</w:t>
            </w:r>
          </w:p>
        </w:tc>
      </w:tr>
      <w:tr w:rsidR="00F7725C" w:rsidRPr="004C66D9" w14:paraId="3520578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BAF7D3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4662B311"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-12.9%</w:t>
            </w:r>
          </w:p>
        </w:tc>
        <w:tc>
          <w:tcPr>
            <w:tcW w:w="1080" w:type="dxa"/>
            <w:tcBorders>
              <w:top w:val="nil"/>
              <w:left w:val="nil"/>
              <w:bottom w:val="nil"/>
              <w:right w:val="nil"/>
            </w:tcBorders>
            <w:shd w:val="clear" w:color="auto" w:fill="auto"/>
            <w:noWrap/>
            <w:vAlign w:val="bottom"/>
            <w:hideMark/>
          </w:tcPr>
          <w:p w14:paraId="537C6D2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-7.7%</w:t>
            </w:r>
          </w:p>
        </w:tc>
        <w:tc>
          <w:tcPr>
            <w:tcW w:w="920" w:type="dxa"/>
            <w:tcBorders>
              <w:top w:val="nil"/>
              <w:left w:val="nil"/>
              <w:bottom w:val="nil"/>
              <w:right w:val="nil"/>
            </w:tcBorders>
            <w:shd w:val="clear" w:color="auto" w:fill="auto"/>
            <w:noWrap/>
            <w:vAlign w:val="bottom"/>
            <w:hideMark/>
          </w:tcPr>
          <w:p w14:paraId="6774C3D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-27.2%</w:t>
            </w:r>
          </w:p>
        </w:tc>
        <w:tc>
          <w:tcPr>
            <w:tcW w:w="1184" w:type="dxa"/>
            <w:tcBorders>
              <w:top w:val="nil"/>
              <w:left w:val="nil"/>
              <w:bottom w:val="nil"/>
              <w:right w:val="nil"/>
            </w:tcBorders>
            <w:shd w:val="clear" w:color="auto" w:fill="auto"/>
            <w:noWrap/>
            <w:vAlign w:val="bottom"/>
            <w:hideMark/>
          </w:tcPr>
          <w:p w14:paraId="058AECC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18.4%</w:t>
            </w:r>
          </w:p>
        </w:tc>
        <w:tc>
          <w:tcPr>
            <w:tcW w:w="866" w:type="dxa"/>
            <w:tcBorders>
              <w:top w:val="nil"/>
              <w:left w:val="nil"/>
              <w:bottom w:val="nil"/>
              <w:right w:val="nil"/>
            </w:tcBorders>
            <w:shd w:val="clear" w:color="auto" w:fill="auto"/>
            <w:noWrap/>
            <w:vAlign w:val="bottom"/>
            <w:hideMark/>
          </w:tcPr>
          <w:p w14:paraId="3DAB1D16"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-14.2%</w:t>
            </w:r>
          </w:p>
        </w:tc>
        <w:tc>
          <w:tcPr>
            <w:tcW w:w="1017" w:type="dxa"/>
            <w:tcBorders>
              <w:top w:val="nil"/>
              <w:left w:val="nil"/>
              <w:bottom w:val="nil"/>
              <w:right w:val="nil"/>
            </w:tcBorders>
            <w:shd w:val="clear" w:color="auto" w:fill="auto"/>
            <w:noWrap/>
            <w:vAlign w:val="bottom"/>
            <w:hideMark/>
          </w:tcPr>
          <w:p w14:paraId="688799B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-6.1%</w:t>
            </w:r>
          </w:p>
        </w:tc>
      </w:tr>
      <w:tr w:rsidR="00F7725C" w:rsidRPr="004C66D9" w14:paraId="463B568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4CA6DF2"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Days per Person</w:t>
            </w:r>
          </w:p>
        </w:tc>
        <w:tc>
          <w:tcPr>
            <w:tcW w:w="840" w:type="dxa"/>
            <w:tcBorders>
              <w:top w:val="nil"/>
              <w:left w:val="nil"/>
              <w:bottom w:val="nil"/>
              <w:right w:val="nil"/>
            </w:tcBorders>
            <w:shd w:val="clear" w:color="auto" w:fill="auto"/>
            <w:noWrap/>
            <w:vAlign w:val="bottom"/>
            <w:hideMark/>
          </w:tcPr>
          <w:p w14:paraId="54E8B494" w14:textId="77777777" w:rsidR="00F7725C" w:rsidRPr="00793F1D" w:rsidRDefault="00F7725C" w:rsidP="00E72162">
            <w:pPr>
              <w:rPr>
                <w:rFonts w:cstheme="minorHAnsi"/>
                <w:b/>
                <w:bCs/>
                <w:i/>
                <w:color w:val="000000"/>
                <w:sz w:val="22"/>
                <w:szCs w:val="22"/>
              </w:rPr>
            </w:pPr>
          </w:p>
        </w:tc>
        <w:tc>
          <w:tcPr>
            <w:tcW w:w="1080" w:type="dxa"/>
            <w:tcBorders>
              <w:top w:val="nil"/>
              <w:left w:val="nil"/>
              <w:bottom w:val="nil"/>
              <w:right w:val="nil"/>
            </w:tcBorders>
            <w:shd w:val="clear" w:color="auto" w:fill="auto"/>
            <w:noWrap/>
            <w:vAlign w:val="bottom"/>
            <w:hideMark/>
          </w:tcPr>
          <w:p w14:paraId="7E647F88"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707D8894"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1AED7F7E"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2440C3A4" w14:textId="77777777" w:rsidR="00F7725C" w:rsidRPr="00793F1D" w:rsidRDefault="00F7725C" w:rsidP="00E72162">
            <w:pPr>
              <w:rPr>
                <w:rFonts w:cstheme="minorHAnsi"/>
                <w:i/>
                <w:sz w:val="22"/>
                <w:szCs w:val="22"/>
              </w:rPr>
            </w:pPr>
          </w:p>
        </w:tc>
        <w:tc>
          <w:tcPr>
            <w:tcW w:w="1017" w:type="dxa"/>
            <w:tcBorders>
              <w:top w:val="nil"/>
              <w:left w:val="nil"/>
              <w:bottom w:val="nil"/>
              <w:right w:val="nil"/>
            </w:tcBorders>
            <w:shd w:val="clear" w:color="auto" w:fill="auto"/>
            <w:noWrap/>
            <w:vAlign w:val="bottom"/>
            <w:hideMark/>
          </w:tcPr>
          <w:p w14:paraId="639E2D43" w14:textId="77777777" w:rsidR="00F7725C" w:rsidRPr="004C66D9" w:rsidRDefault="00F7725C" w:rsidP="00E72162">
            <w:pPr>
              <w:rPr>
                <w:rFonts w:cstheme="minorHAnsi"/>
                <w:sz w:val="22"/>
                <w:szCs w:val="22"/>
              </w:rPr>
            </w:pPr>
          </w:p>
        </w:tc>
      </w:tr>
      <w:tr w:rsidR="00F7725C" w:rsidRPr="004C66D9" w14:paraId="658F5954"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D7273A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ACC5B09"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-22.9%</w:t>
            </w:r>
          </w:p>
        </w:tc>
        <w:tc>
          <w:tcPr>
            <w:tcW w:w="1080" w:type="dxa"/>
            <w:tcBorders>
              <w:top w:val="nil"/>
              <w:left w:val="nil"/>
              <w:bottom w:val="nil"/>
              <w:right w:val="nil"/>
            </w:tcBorders>
            <w:shd w:val="clear" w:color="auto" w:fill="auto"/>
            <w:noWrap/>
            <w:vAlign w:val="bottom"/>
            <w:hideMark/>
          </w:tcPr>
          <w:p w14:paraId="6CCD421B"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-46.3%</w:t>
            </w:r>
          </w:p>
        </w:tc>
        <w:tc>
          <w:tcPr>
            <w:tcW w:w="920" w:type="dxa"/>
            <w:tcBorders>
              <w:top w:val="nil"/>
              <w:left w:val="nil"/>
              <w:bottom w:val="nil"/>
              <w:right w:val="nil"/>
            </w:tcBorders>
            <w:shd w:val="clear" w:color="auto" w:fill="auto"/>
            <w:noWrap/>
            <w:vAlign w:val="bottom"/>
            <w:hideMark/>
          </w:tcPr>
          <w:p w14:paraId="196DFDD9"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-55.8%</w:t>
            </w:r>
          </w:p>
        </w:tc>
        <w:tc>
          <w:tcPr>
            <w:tcW w:w="1184" w:type="dxa"/>
            <w:tcBorders>
              <w:top w:val="nil"/>
              <w:left w:val="nil"/>
              <w:bottom w:val="nil"/>
              <w:right w:val="nil"/>
            </w:tcBorders>
            <w:shd w:val="clear" w:color="auto" w:fill="auto"/>
            <w:noWrap/>
            <w:vAlign w:val="bottom"/>
            <w:hideMark/>
          </w:tcPr>
          <w:p w14:paraId="2BB0210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-21.1%</w:t>
            </w:r>
          </w:p>
        </w:tc>
        <w:tc>
          <w:tcPr>
            <w:tcW w:w="866" w:type="dxa"/>
            <w:tcBorders>
              <w:top w:val="nil"/>
              <w:left w:val="nil"/>
              <w:bottom w:val="nil"/>
              <w:right w:val="nil"/>
            </w:tcBorders>
            <w:shd w:val="clear" w:color="auto" w:fill="auto"/>
            <w:noWrap/>
            <w:vAlign w:val="bottom"/>
            <w:hideMark/>
          </w:tcPr>
          <w:p w14:paraId="1EEF25E4"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-21.5%</w:t>
            </w:r>
          </w:p>
        </w:tc>
        <w:tc>
          <w:tcPr>
            <w:tcW w:w="1017" w:type="dxa"/>
            <w:tcBorders>
              <w:top w:val="nil"/>
              <w:left w:val="nil"/>
              <w:bottom w:val="nil"/>
              <w:right w:val="nil"/>
            </w:tcBorders>
            <w:shd w:val="clear" w:color="auto" w:fill="auto"/>
            <w:noWrap/>
            <w:vAlign w:val="bottom"/>
            <w:hideMark/>
          </w:tcPr>
          <w:p w14:paraId="578D5F5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-97.2%</w:t>
            </w:r>
          </w:p>
        </w:tc>
      </w:tr>
      <w:tr w:rsidR="00F7725C" w:rsidRPr="004C66D9" w14:paraId="7E11B56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762EBB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8F9C38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-1.7%</w:t>
            </w:r>
          </w:p>
        </w:tc>
        <w:tc>
          <w:tcPr>
            <w:tcW w:w="1080" w:type="dxa"/>
            <w:tcBorders>
              <w:top w:val="nil"/>
              <w:left w:val="nil"/>
              <w:bottom w:val="nil"/>
              <w:right w:val="nil"/>
            </w:tcBorders>
            <w:shd w:val="clear" w:color="auto" w:fill="auto"/>
            <w:noWrap/>
            <w:vAlign w:val="bottom"/>
            <w:hideMark/>
          </w:tcPr>
          <w:p w14:paraId="60CE785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-13.0%</w:t>
            </w:r>
          </w:p>
        </w:tc>
        <w:tc>
          <w:tcPr>
            <w:tcW w:w="920" w:type="dxa"/>
            <w:tcBorders>
              <w:top w:val="nil"/>
              <w:left w:val="nil"/>
              <w:bottom w:val="nil"/>
              <w:right w:val="nil"/>
            </w:tcBorders>
            <w:shd w:val="clear" w:color="auto" w:fill="auto"/>
            <w:noWrap/>
            <w:vAlign w:val="bottom"/>
            <w:hideMark/>
          </w:tcPr>
          <w:p w14:paraId="6BEB963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-31.5%</w:t>
            </w:r>
          </w:p>
        </w:tc>
        <w:tc>
          <w:tcPr>
            <w:tcW w:w="1184" w:type="dxa"/>
            <w:tcBorders>
              <w:top w:val="nil"/>
              <w:left w:val="nil"/>
              <w:bottom w:val="nil"/>
              <w:right w:val="nil"/>
            </w:tcBorders>
            <w:shd w:val="clear" w:color="auto" w:fill="auto"/>
            <w:noWrap/>
            <w:vAlign w:val="bottom"/>
            <w:hideMark/>
          </w:tcPr>
          <w:p w14:paraId="47EDC7E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33.8%</w:t>
            </w:r>
          </w:p>
        </w:tc>
        <w:tc>
          <w:tcPr>
            <w:tcW w:w="866" w:type="dxa"/>
            <w:tcBorders>
              <w:top w:val="nil"/>
              <w:left w:val="nil"/>
              <w:bottom w:val="nil"/>
              <w:right w:val="nil"/>
            </w:tcBorders>
            <w:shd w:val="clear" w:color="auto" w:fill="auto"/>
            <w:noWrap/>
            <w:vAlign w:val="bottom"/>
            <w:hideMark/>
          </w:tcPr>
          <w:p w14:paraId="081B4E6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-3.8%</w:t>
            </w:r>
          </w:p>
        </w:tc>
        <w:tc>
          <w:tcPr>
            <w:tcW w:w="1017" w:type="dxa"/>
            <w:tcBorders>
              <w:top w:val="nil"/>
              <w:left w:val="nil"/>
              <w:bottom w:val="nil"/>
              <w:right w:val="nil"/>
            </w:tcBorders>
            <w:shd w:val="clear" w:color="auto" w:fill="auto"/>
            <w:noWrap/>
            <w:vAlign w:val="bottom"/>
            <w:hideMark/>
          </w:tcPr>
          <w:p w14:paraId="1A9C6D1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61.1%</w:t>
            </w:r>
          </w:p>
        </w:tc>
      </w:tr>
      <w:tr w:rsidR="00F7725C" w:rsidRPr="004C66D9" w14:paraId="558B65DB"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8689359"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Substance Use</w:t>
            </w:r>
          </w:p>
        </w:tc>
        <w:tc>
          <w:tcPr>
            <w:tcW w:w="840" w:type="dxa"/>
            <w:tcBorders>
              <w:top w:val="nil"/>
              <w:left w:val="nil"/>
              <w:bottom w:val="nil"/>
              <w:right w:val="nil"/>
            </w:tcBorders>
            <w:shd w:val="clear" w:color="auto" w:fill="auto"/>
            <w:noWrap/>
            <w:vAlign w:val="bottom"/>
            <w:hideMark/>
          </w:tcPr>
          <w:p w14:paraId="2EE984E4"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F9BE436"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A8ECD1A"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435F1DFC"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330E2796"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41117391" w14:textId="77777777" w:rsidR="00F7725C" w:rsidRPr="004C66D9" w:rsidRDefault="00F7725C" w:rsidP="00E72162">
            <w:pPr>
              <w:rPr>
                <w:rFonts w:cstheme="minorHAnsi"/>
                <w:sz w:val="22"/>
                <w:szCs w:val="22"/>
              </w:rPr>
            </w:pPr>
          </w:p>
        </w:tc>
      </w:tr>
      <w:tr w:rsidR="00F7725C" w:rsidRPr="004C66D9" w14:paraId="3EDE928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FCF56C7"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3040F06D"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6546129"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E203A63"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56CAF4C"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558DCD73"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3C0FA29F" w14:textId="77777777" w:rsidR="00F7725C" w:rsidRPr="004C66D9" w:rsidRDefault="00F7725C" w:rsidP="00E72162">
            <w:pPr>
              <w:rPr>
                <w:rFonts w:cstheme="minorHAnsi"/>
                <w:sz w:val="22"/>
                <w:szCs w:val="22"/>
              </w:rPr>
            </w:pPr>
          </w:p>
        </w:tc>
      </w:tr>
      <w:tr w:rsidR="00F7725C" w:rsidRPr="004C66D9" w14:paraId="209C978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BA89DB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EB81AD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-9.6%</w:t>
            </w:r>
          </w:p>
        </w:tc>
        <w:tc>
          <w:tcPr>
            <w:tcW w:w="1080" w:type="dxa"/>
            <w:tcBorders>
              <w:top w:val="nil"/>
              <w:left w:val="nil"/>
              <w:bottom w:val="nil"/>
              <w:right w:val="nil"/>
            </w:tcBorders>
            <w:shd w:val="clear" w:color="auto" w:fill="auto"/>
            <w:noWrap/>
            <w:vAlign w:val="bottom"/>
            <w:hideMark/>
          </w:tcPr>
          <w:p w14:paraId="47E9EF4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16.1%</w:t>
            </w:r>
          </w:p>
        </w:tc>
        <w:tc>
          <w:tcPr>
            <w:tcW w:w="920" w:type="dxa"/>
            <w:tcBorders>
              <w:top w:val="nil"/>
              <w:left w:val="nil"/>
              <w:bottom w:val="nil"/>
              <w:right w:val="nil"/>
            </w:tcBorders>
            <w:shd w:val="clear" w:color="auto" w:fill="auto"/>
            <w:noWrap/>
            <w:vAlign w:val="bottom"/>
            <w:hideMark/>
          </w:tcPr>
          <w:p w14:paraId="748DAD2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-6.2%</w:t>
            </w:r>
          </w:p>
        </w:tc>
        <w:tc>
          <w:tcPr>
            <w:tcW w:w="1184" w:type="dxa"/>
            <w:tcBorders>
              <w:top w:val="nil"/>
              <w:left w:val="nil"/>
              <w:bottom w:val="nil"/>
              <w:right w:val="nil"/>
            </w:tcBorders>
            <w:shd w:val="clear" w:color="auto" w:fill="auto"/>
            <w:noWrap/>
            <w:vAlign w:val="bottom"/>
            <w:hideMark/>
          </w:tcPr>
          <w:p w14:paraId="7A3928C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-30.9%</w:t>
            </w:r>
          </w:p>
        </w:tc>
        <w:tc>
          <w:tcPr>
            <w:tcW w:w="866" w:type="dxa"/>
            <w:tcBorders>
              <w:top w:val="nil"/>
              <w:left w:val="nil"/>
              <w:bottom w:val="nil"/>
              <w:right w:val="nil"/>
            </w:tcBorders>
            <w:shd w:val="clear" w:color="auto" w:fill="auto"/>
            <w:noWrap/>
            <w:vAlign w:val="bottom"/>
            <w:hideMark/>
          </w:tcPr>
          <w:p w14:paraId="7DDF4D1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-14.3%</w:t>
            </w:r>
          </w:p>
        </w:tc>
        <w:tc>
          <w:tcPr>
            <w:tcW w:w="1017" w:type="dxa"/>
            <w:tcBorders>
              <w:top w:val="nil"/>
              <w:left w:val="nil"/>
              <w:bottom w:val="nil"/>
              <w:right w:val="nil"/>
            </w:tcBorders>
            <w:shd w:val="clear" w:color="auto" w:fill="auto"/>
            <w:noWrap/>
            <w:vAlign w:val="bottom"/>
            <w:hideMark/>
          </w:tcPr>
          <w:p w14:paraId="7A9E292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94.0%</w:t>
            </w:r>
          </w:p>
        </w:tc>
      </w:tr>
      <w:tr w:rsidR="00F7725C" w:rsidRPr="004C66D9" w14:paraId="5A2B88E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26CF27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189EF82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-4.6%</w:t>
            </w:r>
          </w:p>
        </w:tc>
        <w:tc>
          <w:tcPr>
            <w:tcW w:w="1080" w:type="dxa"/>
            <w:tcBorders>
              <w:top w:val="nil"/>
              <w:left w:val="nil"/>
              <w:bottom w:val="nil"/>
              <w:right w:val="nil"/>
            </w:tcBorders>
            <w:shd w:val="clear" w:color="auto" w:fill="auto"/>
            <w:noWrap/>
            <w:vAlign w:val="bottom"/>
            <w:hideMark/>
          </w:tcPr>
          <w:p w14:paraId="25A2D51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51.7%</w:t>
            </w:r>
          </w:p>
        </w:tc>
        <w:tc>
          <w:tcPr>
            <w:tcW w:w="920" w:type="dxa"/>
            <w:tcBorders>
              <w:top w:val="nil"/>
              <w:left w:val="nil"/>
              <w:bottom w:val="nil"/>
              <w:right w:val="nil"/>
            </w:tcBorders>
            <w:shd w:val="clear" w:color="auto" w:fill="auto"/>
            <w:noWrap/>
            <w:vAlign w:val="bottom"/>
            <w:hideMark/>
          </w:tcPr>
          <w:p w14:paraId="72D5ED4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-38.5%</w:t>
            </w:r>
          </w:p>
        </w:tc>
        <w:tc>
          <w:tcPr>
            <w:tcW w:w="1184" w:type="dxa"/>
            <w:tcBorders>
              <w:top w:val="nil"/>
              <w:left w:val="nil"/>
              <w:bottom w:val="nil"/>
              <w:right w:val="nil"/>
            </w:tcBorders>
            <w:shd w:val="clear" w:color="auto" w:fill="auto"/>
            <w:noWrap/>
            <w:vAlign w:val="bottom"/>
            <w:hideMark/>
          </w:tcPr>
          <w:p w14:paraId="13FBDA4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-55.6%</w:t>
            </w:r>
          </w:p>
        </w:tc>
        <w:tc>
          <w:tcPr>
            <w:tcW w:w="866" w:type="dxa"/>
            <w:tcBorders>
              <w:top w:val="nil"/>
              <w:left w:val="nil"/>
              <w:bottom w:val="nil"/>
              <w:right w:val="nil"/>
            </w:tcBorders>
            <w:shd w:val="clear" w:color="auto" w:fill="auto"/>
            <w:noWrap/>
            <w:vAlign w:val="bottom"/>
            <w:hideMark/>
          </w:tcPr>
          <w:p w14:paraId="3FF11BB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-1.6%</w:t>
            </w:r>
          </w:p>
        </w:tc>
        <w:tc>
          <w:tcPr>
            <w:tcW w:w="1017" w:type="dxa"/>
            <w:tcBorders>
              <w:top w:val="nil"/>
              <w:left w:val="nil"/>
              <w:bottom w:val="nil"/>
              <w:right w:val="nil"/>
            </w:tcBorders>
            <w:shd w:val="clear" w:color="auto" w:fill="auto"/>
            <w:noWrap/>
            <w:vAlign w:val="bottom"/>
            <w:hideMark/>
          </w:tcPr>
          <w:p w14:paraId="1FC16AD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47.9%</w:t>
            </w:r>
          </w:p>
        </w:tc>
      </w:tr>
      <w:tr w:rsidR="00F7725C" w:rsidRPr="004C66D9" w14:paraId="50BAC82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32FC981"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Days per Person</w:t>
            </w:r>
          </w:p>
        </w:tc>
        <w:tc>
          <w:tcPr>
            <w:tcW w:w="840" w:type="dxa"/>
            <w:tcBorders>
              <w:top w:val="nil"/>
              <w:left w:val="nil"/>
              <w:bottom w:val="nil"/>
              <w:right w:val="nil"/>
            </w:tcBorders>
            <w:shd w:val="clear" w:color="auto" w:fill="auto"/>
            <w:noWrap/>
            <w:vAlign w:val="bottom"/>
            <w:hideMark/>
          </w:tcPr>
          <w:p w14:paraId="6B522D8E"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AAA9CAB"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E491E2C"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6172D7E"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6238F464"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3E049451" w14:textId="77777777" w:rsidR="00F7725C" w:rsidRPr="004C66D9" w:rsidRDefault="00F7725C" w:rsidP="00E72162">
            <w:pPr>
              <w:rPr>
                <w:rFonts w:cstheme="minorHAnsi"/>
                <w:sz w:val="22"/>
                <w:szCs w:val="22"/>
              </w:rPr>
            </w:pPr>
          </w:p>
        </w:tc>
      </w:tr>
      <w:tr w:rsidR="00F7725C" w:rsidRPr="004C66D9" w14:paraId="77E295C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89D937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402F8D3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-9.2%</w:t>
            </w:r>
          </w:p>
        </w:tc>
        <w:tc>
          <w:tcPr>
            <w:tcW w:w="1080" w:type="dxa"/>
            <w:tcBorders>
              <w:top w:val="nil"/>
              <w:left w:val="nil"/>
              <w:bottom w:val="nil"/>
              <w:right w:val="nil"/>
            </w:tcBorders>
            <w:shd w:val="clear" w:color="auto" w:fill="auto"/>
            <w:noWrap/>
            <w:vAlign w:val="bottom"/>
            <w:hideMark/>
          </w:tcPr>
          <w:p w14:paraId="7B48F49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-12.5%</w:t>
            </w:r>
          </w:p>
        </w:tc>
        <w:tc>
          <w:tcPr>
            <w:tcW w:w="920" w:type="dxa"/>
            <w:tcBorders>
              <w:top w:val="nil"/>
              <w:left w:val="nil"/>
              <w:bottom w:val="nil"/>
              <w:right w:val="nil"/>
            </w:tcBorders>
            <w:shd w:val="clear" w:color="auto" w:fill="auto"/>
            <w:noWrap/>
            <w:vAlign w:val="bottom"/>
            <w:hideMark/>
          </w:tcPr>
          <w:p w14:paraId="38DBD92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157.8%</w:t>
            </w:r>
          </w:p>
        </w:tc>
        <w:tc>
          <w:tcPr>
            <w:tcW w:w="1184" w:type="dxa"/>
            <w:tcBorders>
              <w:top w:val="nil"/>
              <w:left w:val="nil"/>
              <w:bottom w:val="nil"/>
              <w:right w:val="nil"/>
            </w:tcBorders>
            <w:shd w:val="clear" w:color="auto" w:fill="auto"/>
            <w:noWrap/>
            <w:vAlign w:val="bottom"/>
            <w:hideMark/>
          </w:tcPr>
          <w:p w14:paraId="6526DC6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21.3%</w:t>
            </w:r>
          </w:p>
        </w:tc>
        <w:tc>
          <w:tcPr>
            <w:tcW w:w="866" w:type="dxa"/>
            <w:tcBorders>
              <w:top w:val="nil"/>
              <w:left w:val="nil"/>
              <w:bottom w:val="nil"/>
              <w:right w:val="nil"/>
            </w:tcBorders>
            <w:shd w:val="clear" w:color="auto" w:fill="auto"/>
            <w:noWrap/>
            <w:vAlign w:val="bottom"/>
            <w:hideMark/>
          </w:tcPr>
          <w:p w14:paraId="1EE315F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13.0%</w:t>
            </w:r>
          </w:p>
        </w:tc>
        <w:tc>
          <w:tcPr>
            <w:tcW w:w="1017" w:type="dxa"/>
            <w:tcBorders>
              <w:top w:val="nil"/>
              <w:left w:val="nil"/>
              <w:bottom w:val="nil"/>
              <w:right w:val="nil"/>
            </w:tcBorders>
            <w:shd w:val="clear" w:color="auto" w:fill="auto"/>
            <w:noWrap/>
            <w:vAlign w:val="bottom"/>
            <w:hideMark/>
          </w:tcPr>
          <w:p w14:paraId="08CE92CE" w14:textId="77777777" w:rsidR="00F7725C" w:rsidRPr="004C66D9" w:rsidRDefault="00F7725C" w:rsidP="00E72162">
            <w:pPr>
              <w:jc w:val="right"/>
              <w:rPr>
                <w:rFonts w:cstheme="minorHAnsi"/>
                <w:color w:val="000000"/>
                <w:sz w:val="22"/>
                <w:szCs w:val="22"/>
              </w:rPr>
            </w:pPr>
            <w:r>
              <w:rPr>
                <w:rFonts w:cstheme="minorHAnsi"/>
                <w:color w:val="000000"/>
                <w:sz w:val="22"/>
                <w:szCs w:val="22"/>
              </w:rPr>
              <w:t>NR</w:t>
            </w:r>
          </w:p>
        </w:tc>
      </w:tr>
      <w:tr w:rsidR="00F7725C" w:rsidRPr="004C66D9" w14:paraId="5006E93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A9965F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79EA5B4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-33.2%</w:t>
            </w:r>
          </w:p>
        </w:tc>
        <w:tc>
          <w:tcPr>
            <w:tcW w:w="1080" w:type="dxa"/>
            <w:tcBorders>
              <w:top w:val="nil"/>
              <w:left w:val="nil"/>
              <w:bottom w:val="nil"/>
              <w:right w:val="nil"/>
            </w:tcBorders>
            <w:shd w:val="clear" w:color="auto" w:fill="auto"/>
            <w:noWrap/>
            <w:vAlign w:val="bottom"/>
            <w:hideMark/>
          </w:tcPr>
          <w:p w14:paraId="2EBC676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21.8%</w:t>
            </w:r>
          </w:p>
        </w:tc>
        <w:tc>
          <w:tcPr>
            <w:tcW w:w="920" w:type="dxa"/>
            <w:tcBorders>
              <w:top w:val="nil"/>
              <w:left w:val="nil"/>
              <w:bottom w:val="nil"/>
              <w:right w:val="nil"/>
            </w:tcBorders>
            <w:shd w:val="clear" w:color="auto" w:fill="auto"/>
            <w:noWrap/>
            <w:vAlign w:val="bottom"/>
            <w:hideMark/>
          </w:tcPr>
          <w:p w14:paraId="0CD754F4"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288.8%</w:t>
            </w:r>
          </w:p>
        </w:tc>
        <w:tc>
          <w:tcPr>
            <w:tcW w:w="1184" w:type="dxa"/>
            <w:tcBorders>
              <w:top w:val="nil"/>
              <w:left w:val="nil"/>
              <w:bottom w:val="nil"/>
              <w:right w:val="nil"/>
            </w:tcBorders>
            <w:shd w:val="clear" w:color="auto" w:fill="auto"/>
            <w:noWrap/>
            <w:vAlign w:val="bottom"/>
            <w:hideMark/>
          </w:tcPr>
          <w:p w14:paraId="3BE2BE2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-97.7%</w:t>
            </w:r>
          </w:p>
        </w:tc>
        <w:tc>
          <w:tcPr>
            <w:tcW w:w="866" w:type="dxa"/>
            <w:tcBorders>
              <w:top w:val="nil"/>
              <w:left w:val="nil"/>
              <w:bottom w:val="nil"/>
              <w:right w:val="nil"/>
            </w:tcBorders>
            <w:shd w:val="clear" w:color="auto" w:fill="auto"/>
            <w:noWrap/>
            <w:vAlign w:val="bottom"/>
            <w:hideMark/>
          </w:tcPr>
          <w:p w14:paraId="04A5A9C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36.5%</w:t>
            </w:r>
          </w:p>
        </w:tc>
        <w:tc>
          <w:tcPr>
            <w:tcW w:w="1017" w:type="dxa"/>
            <w:tcBorders>
              <w:top w:val="nil"/>
              <w:left w:val="nil"/>
              <w:bottom w:val="nil"/>
              <w:right w:val="nil"/>
            </w:tcBorders>
            <w:shd w:val="clear" w:color="auto" w:fill="auto"/>
            <w:noWrap/>
            <w:vAlign w:val="bottom"/>
            <w:hideMark/>
          </w:tcPr>
          <w:p w14:paraId="626ECEF8" w14:textId="77777777" w:rsidR="00F7725C" w:rsidRPr="004C66D9" w:rsidRDefault="00F7725C" w:rsidP="00E72162">
            <w:pPr>
              <w:jc w:val="right"/>
              <w:rPr>
                <w:rFonts w:cstheme="minorHAnsi"/>
                <w:color w:val="000000"/>
                <w:sz w:val="22"/>
                <w:szCs w:val="22"/>
              </w:rPr>
            </w:pPr>
            <w:r>
              <w:rPr>
                <w:rFonts w:cstheme="minorHAnsi"/>
                <w:color w:val="000000"/>
                <w:sz w:val="22"/>
                <w:szCs w:val="22"/>
              </w:rPr>
              <w:t>NR</w:t>
            </w:r>
          </w:p>
        </w:tc>
      </w:tr>
      <w:tr w:rsidR="00F7725C" w:rsidRPr="004C66D9" w14:paraId="295C7A5D"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42DDD1D"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Physical Health</w:t>
            </w:r>
          </w:p>
        </w:tc>
        <w:tc>
          <w:tcPr>
            <w:tcW w:w="840" w:type="dxa"/>
            <w:tcBorders>
              <w:top w:val="nil"/>
              <w:left w:val="nil"/>
              <w:bottom w:val="nil"/>
              <w:right w:val="nil"/>
            </w:tcBorders>
            <w:shd w:val="clear" w:color="auto" w:fill="auto"/>
            <w:noWrap/>
            <w:vAlign w:val="bottom"/>
            <w:hideMark/>
          </w:tcPr>
          <w:p w14:paraId="5E887E38"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355F1EA2"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1D270319"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7CAE8C2D"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4F44A018"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16BE9B67" w14:textId="77777777" w:rsidR="00F7725C" w:rsidRPr="004C66D9" w:rsidRDefault="00F7725C" w:rsidP="00E72162">
            <w:pPr>
              <w:rPr>
                <w:rFonts w:cstheme="minorHAnsi"/>
                <w:sz w:val="22"/>
                <w:szCs w:val="22"/>
              </w:rPr>
            </w:pPr>
          </w:p>
        </w:tc>
      </w:tr>
      <w:tr w:rsidR="00F7725C" w:rsidRPr="004C66D9" w14:paraId="05E60C9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BCF0140"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2F6FC852"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6E64C3FC"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ABF7E5A"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0F5F1A71"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4E860910"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07168481" w14:textId="77777777" w:rsidR="00F7725C" w:rsidRPr="004C66D9" w:rsidRDefault="00F7725C" w:rsidP="00E72162">
            <w:pPr>
              <w:rPr>
                <w:rFonts w:cstheme="minorHAnsi"/>
                <w:sz w:val="22"/>
                <w:szCs w:val="22"/>
              </w:rPr>
            </w:pPr>
          </w:p>
        </w:tc>
      </w:tr>
      <w:tr w:rsidR="00F7725C" w:rsidRPr="004C66D9" w14:paraId="08DC132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57E2B3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44CAA7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-6.4%</w:t>
            </w:r>
          </w:p>
        </w:tc>
        <w:tc>
          <w:tcPr>
            <w:tcW w:w="1080" w:type="dxa"/>
            <w:tcBorders>
              <w:top w:val="nil"/>
              <w:left w:val="nil"/>
              <w:bottom w:val="nil"/>
              <w:right w:val="nil"/>
            </w:tcBorders>
            <w:shd w:val="clear" w:color="auto" w:fill="auto"/>
            <w:noWrap/>
            <w:vAlign w:val="bottom"/>
            <w:hideMark/>
          </w:tcPr>
          <w:p w14:paraId="7C341D4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-18.6%</w:t>
            </w:r>
          </w:p>
        </w:tc>
        <w:tc>
          <w:tcPr>
            <w:tcW w:w="920" w:type="dxa"/>
            <w:tcBorders>
              <w:top w:val="nil"/>
              <w:left w:val="nil"/>
              <w:bottom w:val="nil"/>
              <w:right w:val="nil"/>
            </w:tcBorders>
            <w:shd w:val="clear" w:color="auto" w:fill="auto"/>
            <w:noWrap/>
            <w:vAlign w:val="bottom"/>
            <w:hideMark/>
          </w:tcPr>
          <w:p w14:paraId="7654E1C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-21.6%</w:t>
            </w:r>
          </w:p>
        </w:tc>
        <w:tc>
          <w:tcPr>
            <w:tcW w:w="1184" w:type="dxa"/>
            <w:tcBorders>
              <w:top w:val="nil"/>
              <w:left w:val="nil"/>
              <w:bottom w:val="nil"/>
              <w:right w:val="nil"/>
            </w:tcBorders>
            <w:shd w:val="clear" w:color="auto" w:fill="auto"/>
            <w:noWrap/>
            <w:vAlign w:val="bottom"/>
            <w:hideMark/>
          </w:tcPr>
          <w:p w14:paraId="31672C3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-3.8%</w:t>
            </w:r>
          </w:p>
        </w:tc>
        <w:tc>
          <w:tcPr>
            <w:tcW w:w="866" w:type="dxa"/>
            <w:tcBorders>
              <w:top w:val="nil"/>
              <w:left w:val="nil"/>
              <w:bottom w:val="nil"/>
              <w:right w:val="nil"/>
            </w:tcBorders>
            <w:shd w:val="clear" w:color="auto" w:fill="auto"/>
            <w:noWrap/>
            <w:vAlign w:val="bottom"/>
            <w:hideMark/>
          </w:tcPr>
          <w:p w14:paraId="5E193E5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-6.5%</w:t>
            </w:r>
          </w:p>
        </w:tc>
        <w:tc>
          <w:tcPr>
            <w:tcW w:w="1017" w:type="dxa"/>
            <w:tcBorders>
              <w:top w:val="nil"/>
              <w:left w:val="nil"/>
              <w:bottom w:val="nil"/>
              <w:right w:val="nil"/>
            </w:tcBorders>
            <w:shd w:val="clear" w:color="auto" w:fill="auto"/>
            <w:noWrap/>
            <w:vAlign w:val="bottom"/>
            <w:hideMark/>
          </w:tcPr>
          <w:p w14:paraId="09792DB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53.6%</w:t>
            </w:r>
          </w:p>
        </w:tc>
      </w:tr>
      <w:tr w:rsidR="00F7725C" w:rsidRPr="004C66D9" w14:paraId="0CF5A5A5"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DD7D68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C4DA93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-4.3%</w:t>
            </w:r>
          </w:p>
        </w:tc>
        <w:tc>
          <w:tcPr>
            <w:tcW w:w="1080" w:type="dxa"/>
            <w:tcBorders>
              <w:top w:val="nil"/>
              <w:left w:val="nil"/>
              <w:bottom w:val="nil"/>
              <w:right w:val="nil"/>
            </w:tcBorders>
            <w:shd w:val="clear" w:color="auto" w:fill="auto"/>
            <w:noWrap/>
            <w:vAlign w:val="bottom"/>
            <w:hideMark/>
          </w:tcPr>
          <w:p w14:paraId="2A61C1C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-4.8%</w:t>
            </w:r>
          </w:p>
        </w:tc>
        <w:tc>
          <w:tcPr>
            <w:tcW w:w="920" w:type="dxa"/>
            <w:tcBorders>
              <w:top w:val="nil"/>
              <w:left w:val="nil"/>
              <w:bottom w:val="nil"/>
              <w:right w:val="nil"/>
            </w:tcBorders>
            <w:shd w:val="clear" w:color="auto" w:fill="auto"/>
            <w:noWrap/>
            <w:vAlign w:val="bottom"/>
            <w:hideMark/>
          </w:tcPr>
          <w:p w14:paraId="0352DEF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-8.1%</w:t>
            </w:r>
          </w:p>
        </w:tc>
        <w:tc>
          <w:tcPr>
            <w:tcW w:w="1184" w:type="dxa"/>
            <w:tcBorders>
              <w:top w:val="nil"/>
              <w:left w:val="nil"/>
              <w:bottom w:val="nil"/>
              <w:right w:val="nil"/>
            </w:tcBorders>
            <w:shd w:val="clear" w:color="auto" w:fill="auto"/>
            <w:noWrap/>
            <w:vAlign w:val="bottom"/>
            <w:hideMark/>
          </w:tcPr>
          <w:p w14:paraId="1D41232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w:t>
            </w:r>
          </w:p>
        </w:tc>
        <w:tc>
          <w:tcPr>
            <w:tcW w:w="866" w:type="dxa"/>
            <w:tcBorders>
              <w:top w:val="nil"/>
              <w:left w:val="nil"/>
              <w:bottom w:val="nil"/>
              <w:right w:val="nil"/>
            </w:tcBorders>
            <w:shd w:val="clear" w:color="auto" w:fill="auto"/>
            <w:noWrap/>
            <w:vAlign w:val="bottom"/>
            <w:hideMark/>
          </w:tcPr>
          <w:p w14:paraId="66EEF63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-6.0%</w:t>
            </w:r>
          </w:p>
        </w:tc>
        <w:tc>
          <w:tcPr>
            <w:tcW w:w="1017" w:type="dxa"/>
            <w:tcBorders>
              <w:top w:val="nil"/>
              <w:left w:val="nil"/>
              <w:bottom w:val="nil"/>
              <w:right w:val="nil"/>
            </w:tcBorders>
            <w:shd w:val="clear" w:color="auto" w:fill="auto"/>
            <w:noWrap/>
            <w:vAlign w:val="bottom"/>
            <w:hideMark/>
          </w:tcPr>
          <w:p w14:paraId="7869C69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23.2%</w:t>
            </w:r>
          </w:p>
        </w:tc>
      </w:tr>
      <w:tr w:rsidR="00F7725C" w:rsidRPr="004C66D9" w14:paraId="1A05861C"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6E0635D"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Days per Person</w:t>
            </w:r>
          </w:p>
        </w:tc>
        <w:tc>
          <w:tcPr>
            <w:tcW w:w="840" w:type="dxa"/>
            <w:tcBorders>
              <w:top w:val="nil"/>
              <w:left w:val="nil"/>
              <w:bottom w:val="nil"/>
              <w:right w:val="nil"/>
            </w:tcBorders>
            <w:shd w:val="clear" w:color="auto" w:fill="auto"/>
            <w:noWrap/>
            <w:vAlign w:val="bottom"/>
            <w:hideMark/>
          </w:tcPr>
          <w:p w14:paraId="2950B802"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18AFFAAC"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32305913"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03D5F769" w14:textId="77777777" w:rsidR="00F7725C" w:rsidRPr="004C66D9" w:rsidRDefault="00F7725C" w:rsidP="00E72162">
            <w:pPr>
              <w:rPr>
                <w:rFonts w:cstheme="minorHAnsi"/>
                <w:sz w:val="22"/>
                <w:szCs w:val="22"/>
              </w:rPr>
            </w:pPr>
          </w:p>
        </w:tc>
        <w:tc>
          <w:tcPr>
            <w:tcW w:w="866" w:type="dxa"/>
            <w:tcBorders>
              <w:top w:val="nil"/>
              <w:left w:val="nil"/>
              <w:bottom w:val="nil"/>
              <w:right w:val="nil"/>
            </w:tcBorders>
            <w:shd w:val="clear" w:color="auto" w:fill="auto"/>
            <w:noWrap/>
            <w:vAlign w:val="bottom"/>
            <w:hideMark/>
          </w:tcPr>
          <w:p w14:paraId="428131E3"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7163BAE3" w14:textId="77777777" w:rsidR="00F7725C" w:rsidRPr="004C66D9" w:rsidRDefault="00F7725C" w:rsidP="00E72162">
            <w:pPr>
              <w:rPr>
                <w:rFonts w:cstheme="minorHAnsi"/>
                <w:sz w:val="22"/>
                <w:szCs w:val="22"/>
              </w:rPr>
            </w:pPr>
          </w:p>
        </w:tc>
      </w:tr>
      <w:tr w:rsidR="00F7725C" w:rsidRPr="004C66D9" w14:paraId="30FBEE1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0F6AC8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2456E0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-7.0%</w:t>
            </w:r>
          </w:p>
        </w:tc>
        <w:tc>
          <w:tcPr>
            <w:tcW w:w="1080" w:type="dxa"/>
            <w:tcBorders>
              <w:top w:val="nil"/>
              <w:left w:val="nil"/>
              <w:bottom w:val="nil"/>
              <w:right w:val="nil"/>
            </w:tcBorders>
            <w:shd w:val="clear" w:color="auto" w:fill="auto"/>
            <w:noWrap/>
            <w:vAlign w:val="bottom"/>
            <w:hideMark/>
          </w:tcPr>
          <w:p w14:paraId="6C9B5BE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-23.7%</w:t>
            </w:r>
          </w:p>
        </w:tc>
        <w:tc>
          <w:tcPr>
            <w:tcW w:w="920" w:type="dxa"/>
            <w:tcBorders>
              <w:top w:val="nil"/>
              <w:left w:val="nil"/>
              <w:bottom w:val="nil"/>
              <w:right w:val="nil"/>
            </w:tcBorders>
            <w:shd w:val="clear" w:color="auto" w:fill="auto"/>
            <w:noWrap/>
            <w:vAlign w:val="bottom"/>
            <w:hideMark/>
          </w:tcPr>
          <w:p w14:paraId="1F21D13D"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-17.3%</w:t>
            </w:r>
          </w:p>
        </w:tc>
        <w:tc>
          <w:tcPr>
            <w:tcW w:w="1184" w:type="dxa"/>
            <w:tcBorders>
              <w:top w:val="nil"/>
              <w:left w:val="nil"/>
              <w:bottom w:val="nil"/>
              <w:right w:val="nil"/>
            </w:tcBorders>
            <w:shd w:val="clear" w:color="auto" w:fill="auto"/>
            <w:noWrap/>
            <w:vAlign w:val="bottom"/>
            <w:hideMark/>
          </w:tcPr>
          <w:p w14:paraId="6F64D1A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25.0%</w:t>
            </w:r>
          </w:p>
        </w:tc>
        <w:tc>
          <w:tcPr>
            <w:tcW w:w="866" w:type="dxa"/>
            <w:tcBorders>
              <w:top w:val="nil"/>
              <w:left w:val="nil"/>
              <w:bottom w:val="nil"/>
              <w:right w:val="nil"/>
            </w:tcBorders>
            <w:shd w:val="clear" w:color="auto" w:fill="auto"/>
            <w:noWrap/>
            <w:vAlign w:val="bottom"/>
            <w:hideMark/>
          </w:tcPr>
          <w:p w14:paraId="09CC9C6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-8.9%</w:t>
            </w:r>
          </w:p>
        </w:tc>
        <w:tc>
          <w:tcPr>
            <w:tcW w:w="1017" w:type="dxa"/>
            <w:tcBorders>
              <w:top w:val="nil"/>
              <w:left w:val="nil"/>
              <w:bottom w:val="nil"/>
              <w:right w:val="nil"/>
            </w:tcBorders>
            <w:shd w:val="clear" w:color="auto" w:fill="auto"/>
            <w:noWrap/>
            <w:vAlign w:val="bottom"/>
            <w:hideMark/>
          </w:tcPr>
          <w:p w14:paraId="099840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156.5%</w:t>
            </w:r>
          </w:p>
        </w:tc>
      </w:tr>
      <w:tr w:rsidR="00F7725C" w:rsidRPr="004C66D9" w14:paraId="1147ED31"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4BE8CEF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3D592DA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-8.3%</w:t>
            </w:r>
          </w:p>
        </w:tc>
        <w:tc>
          <w:tcPr>
            <w:tcW w:w="1080" w:type="dxa"/>
            <w:tcBorders>
              <w:top w:val="nil"/>
              <w:left w:val="nil"/>
              <w:bottom w:val="single" w:sz="4" w:space="0" w:color="auto"/>
              <w:right w:val="nil"/>
            </w:tcBorders>
            <w:shd w:val="clear" w:color="auto" w:fill="auto"/>
            <w:noWrap/>
            <w:vAlign w:val="bottom"/>
            <w:hideMark/>
          </w:tcPr>
          <w:p w14:paraId="2138470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-9.3%</w:t>
            </w:r>
          </w:p>
        </w:tc>
        <w:tc>
          <w:tcPr>
            <w:tcW w:w="920" w:type="dxa"/>
            <w:tcBorders>
              <w:top w:val="nil"/>
              <w:left w:val="nil"/>
              <w:bottom w:val="single" w:sz="4" w:space="0" w:color="auto"/>
              <w:right w:val="nil"/>
            </w:tcBorders>
            <w:shd w:val="clear" w:color="auto" w:fill="auto"/>
            <w:noWrap/>
            <w:vAlign w:val="bottom"/>
            <w:hideMark/>
          </w:tcPr>
          <w:p w14:paraId="070A246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45.4%</w:t>
            </w:r>
          </w:p>
        </w:tc>
        <w:tc>
          <w:tcPr>
            <w:tcW w:w="1184" w:type="dxa"/>
            <w:tcBorders>
              <w:top w:val="nil"/>
              <w:left w:val="nil"/>
              <w:bottom w:val="single" w:sz="4" w:space="0" w:color="auto"/>
              <w:right w:val="nil"/>
            </w:tcBorders>
            <w:shd w:val="clear" w:color="auto" w:fill="auto"/>
            <w:noWrap/>
            <w:vAlign w:val="bottom"/>
            <w:hideMark/>
          </w:tcPr>
          <w:p w14:paraId="2B2327C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28.3%</w:t>
            </w:r>
          </w:p>
        </w:tc>
        <w:tc>
          <w:tcPr>
            <w:tcW w:w="866" w:type="dxa"/>
            <w:tcBorders>
              <w:top w:val="nil"/>
              <w:left w:val="nil"/>
              <w:bottom w:val="single" w:sz="4" w:space="0" w:color="auto"/>
              <w:right w:val="nil"/>
            </w:tcBorders>
            <w:shd w:val="clear" w:color="auto" w:fill="auto"/>
            <w:noWrap/>
            <w:vAlign w:val="bottom"/>
            <w:hideMark/>
          </w:tcPr>
          <w:p w14:paraId="7EB91AF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-14.1%</w:t>
            </w:r>
          </w:p>
        </w:tc>
        <w:tc>
          <w:tcPr>
            <w:tcW w:w="1017" w:type="dxa"/>
            <w:tcBorders>
              <w:top w:val="nil"/>
              <w:left w:val="nil"/>
              <w:bottom w:val="single" w:sz="4" w:space="0" w:color="auto"/>
              <w:right w:val="nil"/>
            </w:tcBorders>
            <w:shd w:val="clear" w:color="auto" w:fill="auto"/>
            <w:noWrap/>
            <w:vAlign w:val="bottom"/>
            <w:hideMark/>
          </w:tcPr>
          <w:p w14:paraId="1E4D29C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35.6%</w:t>
            </w:r>
          </w:p>
        </w:tc>
      </w:tr>
    </w:tbl>
    <w:p w14:paraId="64081E18" w14:textId="77777777" w:rsidR="00E847F0" w:rsidRPr="004C66D9" w:rsidRDefault="00E847F0" w:rsidP="00E847F0">
      <w:pPr>
        <w:rPr>
          <w:rFonts w:cstheme="minorHAnsi"/>
          <w:sz w:val="22"/>
          <w:szCs w:val="22"/>
        </w:rPr>
      </w:pPr>
    </w:p>
    <w:p w14:paraId="267777CE" w14:textId="77777777" w:rsidR="00E847F0" w:rsidRPr="004C66D9" w:rsidRDefault="00E847F0" w:rsidP="00E847F0">
      <w:pPr>
        <w:jc w:val="center"/>
        <w:rPr>
          <w:rFonts w:cstheme="minorHAnsi"/>
          <w:sz w:val="22"/>
          <w:szCs w:val="22"/>
        </w:rPr>
      </w:pPr>
    </w:p>
    <w:p w14:paraId="503BE1B1" w14:textId="77777777" w:rsidR="00E847F0" w:rsidRPr="004C66D9" w:rsidRDefault="00E847F0" w:rsidP="00E847F0">
      <w:pPr>
        <w:jc w:val="center"/>
        <w:rPr>
          <w:rFonts w:cstheme="minorHAnsi"/>
          <w:sz w:val="22"/>
          <w:szCs w:val="22"/>
        </w:rPr>
      </w:pPr>
    </w:p>
    <w:p w14:paraId="244E248F" w14:textId="77777777" w:rsidR="00E847F0" w:rsidRPr="004C66D9" w:rsidRDefault="00E847F0" w:rsidP="00E847F0">
      <w:pPr>
        <w:rPr>
          <w:rFonts w:cstheme="minorHAnsi"/>
          <w:sz w:val="22"/>
          <w:szCs w:val="22"/>
        </w:rPr>
      </w:pPr>
      <w:r w:rsidRPr="004C66D9">
        <w:rPr>
          <w:rFonts w:cstheme="minorHAnsi"/>
          <w:sz w:val="22"/>
          <w:szCs w:val="22"/>
        </w:rPr>
        <w:br w:type="page"/>
      </w:r>
    </w:p>
    <w:p w14:paraId="64DD52F2" w14:textId="34704804" w:rsidR="00E847F0" w:rsidRPr="00000D4B" w:rsidRDefault="00E847F0" w:rsidP="00E847F0">
      <w:pPr>
        <w:ind w:left="1152" w:hanging="1152"/>
        <w:jc w:val="center"/>
        <w:rPr>
          <w:rFonts w:cstheme="minorHAnsi"/>
          <w:b/>
          <w:bCs/>
          <w:color w:val="6A7F0F"/>
          <w:sz w:val="22"/>
          <w:szCs w:val="22"/>
        </w:rPr>
      </w:pPr>
      <w:bookmarkStart w:id="141" w:name="Appendix6_Table_A66d"/>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.6d: Change in Inpatient Service Quarterly Use and Days </w:t>
      </w:r>
    </w:p>
    <w:p w14:paraId="19C3F551" w14:textId="77777777" w:rsidR="00E847F0" w:rsidRPr="00000D4B" w:rsidRDefault="00E847F0" w:rsidP="00E847F0">
      <w:pPr>
        <w:ind w:left="1152" w:hanging="1152"/>
        <w:jc w:val="center"/>
        <w:rPr>
          <w:rFonts w:cstheme="minorHAnsi"/>
          <w:b/>
          <w:bCs/>
          <w:color w:val="6A7F0F"/>
          <w:sz w:val="22"/>
          <w:szCs w:val="22"/>
        </w:rPr>
      </w:pPr>
      <w:r w:rsidRPr="00000D4B">
        <w:rPr>
          <w:rFonts w:cstheme="minorHAnsi"/>
          <w:b/>
          <w:bCs/>
          <w:color w:val="6A7F0F"/>
          <w:sz w:val="22"/>
          <w:szCs w:val="22"/>
        </w:rPr>
        <w:t>Overall and by Place of Residence for CCBHC OHP Members</w:t>
      </w:r>
    </w:p>
    <w:bookmarkEnd w:id="141"/>
    <w:p w14:paraId="0DA6F161" w14:textId="77777777" w:rsidR="00E847F0" w:rsidRPr="00A76A99" w:rsidRDefault="00E847F0" w:rsidP="00E847F0">
      <w:pPr>
        <w:ind w:left="1152" w:hanging="1152"/>
        <w:jc w:val="center"/>
        <w:rPr>
          <w:rFonts w:cstheme="minorHAnsi"/>
          <w:sz w:val="22"/>
          <w:szCs w:val="22"/>
          <w:u w:val="single"/>
        </w:rPr>
      </w:pPr>
    </w:p>
    <w:p w14:paraId="5886DE9E" w14:textId="77777777" w:rsidR="00E847F0" w:rsidRPr="004C66D9" w:rsidRDefault="00E847F0" w:rsidP="00E847F0">
      <w:pPr>
        <w:rPr>
          <w:rFonts w:cstheme="minorHAnsi"/>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E60BC4" w14:paraId="63A937F1" w14:textId="77777777" w:rsidTr="00E72162">
        <w:trPr>
          <w:trHeight w:val="290"/>
          <w:jc w:val="center"/>
        </w:trPr>
        <w:tc>
          <w:tcPr>
            <w:tcW w:w="2707" w:type="dxa"/>
            <w:tcBorders>
              <w:top w:val="nil"/>
              <w:left w:val="nil"/>
              <w:bottom w:val="nil"/>
              <w:right w:val="nil"/>
            </w:tcBorders>
          </w:tcPr>
          <w:p w14:paraId="037A2202"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951" w:type="dxa"/>
            <w:tcBorders>
              <w:top w:val="nil"/>
              <w:left w:val="nil"/>
              <w:bottom w:val="nil"/>
              <w:right w:val="nil"/>
            </w:tcBorders>
          </w:tcPr>
          <w:p w14:paraId="7F77460B"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1DC7115B"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78F17F2F"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Rural or</w:t>
            </w:r>
          </w:p>
        </w:tc>
      </w:tr>
      <w:tr w:rsidR="00F7725C" w:rsidRPr="00E60BC4" w14:paraId="32515B52" w14:textId="77777777" w:rsidTr="00E72162">
        <w:trPr>
          <w:trHeight w:val="290"/>
          <w:jc w:val="center"/>
        </w:trPr>
        <w:tc>
          <w:tcPr>
            <w:tcW w:w="2707" w:type="dxa"/>
            <w:tcBorders>
              <w:top w:val="nil"/>
              <w:left w:val="nil"/>
              <w:bottom w:val="single" w:sz="6" w:space="0" w:color="auto"/>
              <w:right w:val="nil"/>
            </w:tcBorders>
          </w:tcPr>
          <w:p w14:paraId="6DD3FAC8"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Inpatient</w:t>
            </w:r>
          </w:p>
        </w:tc>
        <w:tc>
          <w:tcPr>
            <w:tcW w:w="951" w:type="dxa"/>
            <w:tcBorders>
              <w:top w:val="nil"/>
              <w:left w:val="nil"/>
              <w:bottom w:val="single" w:sz="6" w:space="0" w:color="auto"/>
              <w:right w:val="nil"/>
            </w:tcBorders>
          </w:tcPr>
          <w:p w14:paraId="7848A983"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169C054C"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7A83EE13"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Remote</w:t>
            </w:r>
          </w:p>
        </w:tc>
      </w:tr>
      <w:tr w:rsidR="00F7725C" w:rsidRPr="00E60BC4" w14:paraId="4AFF2145" w14:textId="77777777" w:rsidTr="00E72162">
        <w:trPr>
          <w:trHeight w:val="290"/>
          <w:jc w:val="center"/>
        </w:trPr>
        <w:tc>
          <w:tcPr>
            <w:tcW w:w="2707" w:type="dxa"/>
            <w:tcBorders>
              <w:top w:val="nil"/>
              <w:left w:val="nil"/>
              <w:bottom w:val="nil"/>
              <w:right w:val="nil"/>
            </w:tcBorders>
          </w:tcPr>
          <w:p w14:paraId="76291B8C"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Mental Health</w:t>
            </w:r>
          </w:p>
        </w:tc>
        <w:tc>
          <w:tcPr>
            <w:tcW w:w="951" w:type="dxa"/>
            <w:tcBorders>
              <w:top w:val="nil"/>
              <w:left w:val="nil"/>
              <w:bottom w:val="nil"/>
              <w:right w:val="nil"/>
            </w:tcBorders>
          </w:tcPr>
          <w:p w14:paraId="2212C3F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4F5C41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371420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6A3FCB5" w14:textId="77777777" w:rsidTr="00E72162">
        <w:trPr>
          <w:trHeight w:val="290"/>
          <w:jc w:val="center"/>
        </w:trPr>
        <w:tc>
          <w:tcPr>
            <w:tcW w:w="2707" w:type="dxa"/>
            <w:tcBorders>
              <w:top w:val="nil"/>
              <w:left w:val="nil"/>
              <w:bottom w:val="nil"/>
              <w:right w:val="nil"/>
            </w:tcBorders>
          </w:tcPr>
          <w:p w14:paraId="38AC3147"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40EB4922"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D617D1D"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0097A42"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7210504B" w14:textId="77777777" w:rsidTr="00E72162">
        <w:trPr>
          <w:trHeight w:val="290"/>
          <w:jc w:val="center"/>
        </w:trPr>
        <w:tc>
          <w:tcPr>
            <w:tcW w:w="2707" w:type="dxa"/>
            <w:tcBorders>
              <w:top w:val="nil"/>
              <w:left w:val="nil"/>
              <w:bottom w:val="nil"/>
              <w:right w:val="nil"/>
            </w:tcBorders>
          </w:tcPr>
          <w:p w14:paraId="1C22979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761DCAD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-22.4%</w:t>
            </w:r>
          </w:p>
        </w:tc>
        <w:tc>
          <w:tcPr>
            <w:tcW w:w="1032" w:type="dxa"/>
            <w:tcBorders>
              <w:top w:val="nil"/>
              <w:left w:val="nil"/>
              <w:bottom w:val="nil"/>
              <w:right w:val="nil"/>
            </w:tcBorders>
          </w:tcPr>
          <w:p w14:paraId="6FFBEEF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-22.7%</w:t>
            </w:r>
          </w:p>
        </w:tc>
        <w:tc>
          <w:tcPr>
            <w:tcW w:w="1032" w:type="dxa"/>
            <w:tcBorders>
              <w:top w:val="nil"/>
              <w:left w:val="nil"/>
              <w:bottom w:val="nil"/>
              <w:right w:val="nil"/>
            </w:tcBorders>
          </w:tcPr>
          <w:p w14:paraId="2F0BC84F"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-22.0%</w:t>
            </w:r>
          </w:p>
        </w:tc>
      </w:tr>
      <w:tr w:rsidR="00F7725C" w:rsidRPr="00E60BC4" w14:paraId="01A4EEF3" w14:textId="77777777" w:rsidTr="00E72162">
        <w:trPr>
          <w:trHeight w:val="290"/>
          <w:jc w:val="center"/>
        </w:trPr>
        <w:tc>
          <w:tcPr>
            <w:tcW w:w="2707" w:type="dxa"/>
            <w:tcBorders>
              <w:top w:val="nil"/>
              <w:left w:val="nil"/>
              <w:bottom w:val="nil"/>
              <w:right w:val="nil"/>
            </w:tcBorders>
          </w:tcPr>
          <w:p w14:paraId="76E5460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54BC734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-12.9%</w:t>
            </w:r>
          </w:p>
        </w:tc>
        <w:tc>
          <w:tcPr>
            <w:tcW w:w="1032" w:type="dxa"/>
            <w:tcBorders>
              <w:top w:val="nil"/>
              <w:left w:val="nil"/>
              <w:bottom w:val="nil"/>
              <w:right w:val="nil"/>
            </w:tcBorders>
          </w:tcPr>
          <w:p w14:paraId="5C9E501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-9.8%</w:t>
            </w:r>
          </w:p>
        </w:tc>
        <w:tc>
          <w:tcPr>
            <w:tcW w:w="1032" w:type="dxa"/>
            <w:tcBorders>
              <w:top w:val="nil"/>
              <w:left w:val="nil"/>
              <w:bottom w:val="nil"/>
              <w:right w:val="nil"/>
            </w:tcBorders>
          </w:tcPr>
          <w:p w14:paraId="407272A5"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-21.6%</w:t>
            </w:r>
          </w:p>
        </w:tc>
      </w:tr>
      <w:tr w:rsidR="00F7725C" w:rsidRPr="00E60BC4" w14:paraId="738915F7" w14:textId="77777777" w:rsidTr="00E72162">
        <w:trPr>
          <w:trHeight w:val="290"/>
          <w:jc w:val="center"/>
        </w:trPr>
        <w:tc>
          <w:tcPr>
            <w:tcW w:w="2707" w:type="dxa"/>
            <w:tcBorders>
              <w:top w:val="nil"/>
              <w:left w:val="nil"/>
              <w:bottom w:val="nil"/>
              <w:right w:val="nil"/>
            </w:tcBorders>
          </w:tcPr>
          <w:p w14:paraId="2F6F8CF0"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Days per Person</w:t>
            </w:r>
          </w:p>
        </w:tc>
        <w:tc>
          <w:tcPr>
            <w:tcW w:w="951" w:type="dxa"/>
            <w:tcBorders>
              <w:top w:val="nil"/>
              <w:left w:val="nil"/>
              <w:bottom w:val="nil"/>
              <w:right w:val="nil"/>
            </w:tcBorders>
          </w:tcPr>
          <w:p w14:paraId="657E908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37C73D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875A008"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747B1C6F" w14:textId="77777777" w:rsidTr="00E72162">
        <w:trPr>
          <w:trHeight w:val="290"/>
          <w:jc w:val="center"/>
        </w:trPr>
        <w:tc>
          <w:tcPr>
            <w:tcW w:w="2707" w:type="dxa"/>
            <w:tcBorders>
              <w:top w:val="nil"/>
              <w:left w:val="nil"/>
              <w:bottom w:val="nil"/>
              <w:right w:val="nil"/>
            </w:tcBorders>
          </w:tcPr>
          <w:p w14:paraId="6D1C945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7C74F33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-22.9%</w:t>
            </w:r>
          </w:p>
        </w:tc>
        <w:tc>
          <w:tcPr>
            <w:tcW w:w="1032" w:type="dxa"/>
            <w:tcBorders>
              <w:top w:val="nil"/>
              <w:left w:val="nil"/>
              <w:bottom w:val="nil"/>
              <w:right w:val="nil"/>
            </w:tcBorders>
          </w:tcPr>
          <w:p w14:paraId="2DA3D58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-15.2%</w:t>
            </w:r>
          </w:p>
        </w:tc>
        <w:tc>
          <w:tcPr>
            <w:tcW w:w="1032" w:type="dxa"/>
            <w:tcBorders>
              <w:top w:val="nil"/>
              <w:left w:val="nil"/>
              <w:bottom w:val="nil"/>
              <w:right w:val="nil"/>
            </w:tcBorders>
          </w:tcPr>
          <w:p w14:paraId="0142A33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-42.9%</w:t>
            </w:r>
          </w:p>
        </w:tc>
      </w:tr>
      <w:tr w:rsidR="00F7725C" w:rsidRPr="00E60BC4" w14:paraId="78E10868" w14:textId="77777777" w:rsidTr="00E72162">
        <w:trPr>
          <w:trHeight w:val="290"/>
          <w:jc w:val="center"/>
        </w:trPr>
        <w:tc>
          <w:tcPr>
            <w:tcW w:w="2707" w:type="dxa"/>
            <w:tcBorders>
              <w:top w:val="nil"/>
              <w:left w:val="nil"/>
              <w:bottom w:val="nil"/>
              <w:right w:val="nil"/>
            </w:tcBorders>
          </w:tcPr>
          <w:p w14:paraId="31FED0C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179C2A7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-1.7%</w:t>
            </w:r>
          </w:p>
        </w:tc>
        <w:tc>
          <w:tcPr>
            <w:tcW w:w="1032" w:type="dxa"/>
            <w:tcBorders>
              <w:top w:val="nil"/>
              <w:left w:val="nil"/>
              <w:bottom w:val="nil"/>
              <w:right w:val="nil"/>
            </w:tcBorders>
          </w:tcPr>
          <w:p w14:paraId="5D15548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11.1%</w:t>
            </w:r>
          </w:p>
        </w:tc>
        <w:tc>
          <w:tcPr>
            <w:tcW w:w="1032" w:type="dxa"/>
            <w:tcBorders>
              <w:top w:val="nil"/>
              <w:left w:val="nil"/>
              <w:bottom w:val="nil"/>
              <w:right w:val="nil"/>
            </w:tcBorders>
          </w:tcPr>
          <w:p w14:paraId="16593F6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-29.4%</w:t>
            </w:r>
          </w:p>
        </w:tc>
      </w:tr>
      <w:tr w:rsidR="00F7725C" w:rsidRPr="00E60BC4" w14:paraId="1BCA279E" w14:textId="77777777" w:rsidTr="00E72162">
        <w:trPr>
          <w:trHeight w:val="290"/>
          <w:jc w:val="center"/>
        </w:trPr>
        <w:tc>
          <w:tcPr>
            <w:tcW w:w="2707" w:type="dxa"/>
            <w:tcBorders>
              <w:top w:val="nil"/>
              <w:left w:val="nil"/>
              <w:bottom w:val="nil"/>
              <w:right w:val="nil"/>
            </w:tcBorders>
          </w:tcPr>
          <w:p w14:paraId="6C0C895F"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Substance Use</w:t>
            </w:r>
          </w:p>
        </w:tc>
        <w:tc>
          <w:tcPr>
            <w:tcW w:w="951" w:type="dxa"/>
            <w:tcBorders>
              <w:top w:val="nil"/>
              <w:left w:val="nil"/>
              <w:bottom w:val="nil"/>
              <w:right w:val="nil"/>
            </w:tcBorders>
          </w:tcPr>
          <w:p w14:paraId="37FEEAA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97C430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F257A1B"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0BC773B6" w14:textId="77777777" w:rsidTr="00E72162">
        <w:trPr>
          <w:trHeight w:val="290"/>
          <w:jc w:val="center"/>
        </w:trPr>
        <w:tc>
          <w:tcPr>
            <w:tcW w:w="2707" w:type="dxa"/>
            <w:tcBorders>
              <w:top w:val="nil"/>
              <w:left w:val="nil"/>
              <w:bottom w:val="nil"/>
              <w:right w:val="nil"/>
            </w:tcBorders>
          </w:tcPr>
          <w:p w14:paraId="355E88A7"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06AD479D"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0A0F67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A1B7E4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01971C65" w14:textId="77777777" w:rsidTr="00E72162">
        <w:trPr>
          <w:trHeight w:val="290"/>
          <w:jc w:val="center"/>
        </w:trPr>
        <w:tc>
          <w:tcPr>
            <w:tcW w:w="2707" w:type="dxa"/>
            <w:tcBorders>
              <w:top w:val="nil"/>
              <w:left w:val="nil"/>
              <w:bottom w:val="nil"/>
              <w:right w:val="nil"/>
            </w:tcBorders>
          </w:tcPr>
          <w:p w14:paraId="7DAEB66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32986A7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-9.6%</w:t>
            </w:r>
          </w:p>
        </w:tc>
        <w:tc>
          <w:tcPr>
            <w:tcW w:w="1032" w:type="dxa"/>
            <w:tcBorders>
              <w:top w:val="nil"/>
              <w:left w:val="nil"/>
              <w:bottom w:val="nil"/>
              <w:right w:val="nil"/>
            </w:tcBorders>
          </w:tcPr>
          <w:p w14:paraId="1C39BB3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-18.3%</w:t>
            </w:r>
          </w:p>
        </w:tc>
        <w:tc>
          <w:tcPr>
            <w:tcW w:w="1032" w:type="dxa"/>
            <w:tcBorders>
              <w:top w:val="nil"/>
              <w:left w:val="nil"/>
              <w:bottom w:val="nil"/>
              <w:right w:val="nil"/>
            </w:tcBorders>
          </w:tcPr>
          <w:p w14:paraId="6DD0E2B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7.6%</w:t>
            </w:r>
          </w:p>
        </w:tc>
      </w:tr>
      <w:tr w:rsidR="00F7725C" w:rsidRPr="00E60BC4" w14:paraId="0E8A1D9C" w14:textId="77777777" w:rsidTr="00E72162">
        <w:trPr>
          <w:trHeight w:val="290"/>
          <w:jc w:val="center"/>
        </w:trPr>
        <w:tc>
          <w:tcPr>
            <w:tcW w:w="2707" w:type="dxa"/>
            <w:tcBorders>
              <w:top w:val="nil"/>
              <w:left w:val="nil"/>
              <w:bottom w:val="nil"/>
              <w:right w:val="nil"/>
            </w:tcBorders>
          </w:tcPr>
          <w:p w14:paraId="1D28F6E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4795D0B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-4.6%</w:t>
            </w:r>
          </w:p>
        </w:tc>
        <w:tc>
          <w:tcPr>
            <w:tcW w:w="1032" w:type="dxa"/>
            <w:tcBorders>
              <w:top w:val="nil"/>
              <w:left w:val="nil"/>
              <w:bottom w:val="nil"/>
              <w:right w:val="nil"/>
            </w:tcBorders>
          </w:tcPr>
          <w:p w14:paraId="5973FF8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-0.7%</w:t>
            </w:r>
          </w:p>
        </w:tc>
        <w:tc>
          <w:tcPr>
            <w:tcW w:w="1032" w:type="dxa"/>
            <w:tcBorders>
              <w:top w:val="nil"/>
              <w:left w:val="nil"/>
              <w:bottom w:val="nil"/>
              <w:right w:val="nil"/>
            </w:tcBorders>
          </w:tcPr>
          <w:p w14:paraId="521F1C3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-6.4%</w:t>
            </w:r>
          </w:p>
        </w:tc>
      </w:tr>
      <w:tr w:rsidR="00F7725C" w:rsidRPr="00E60BC4" w14:paraId="0C2DAC23" w14:textId="77777777" w:rsidTr="00E72162">
        <w:trPr>
          <w:trHeight w:val="290"/>
          <w:jc w:val="center"/>
        </w:trPr>
        <w:tc>
          <w:tcPr>
            <w:tcW w:w="2707" w:type="dxa"/>
            <w:tcBorders>
              <w:top w:val="nil"/>
              <w:left w:val="nil"/>
              <w:bottom w:val="nil"/>
              <w:right w:val="nil"/>
            </w:tcBorders>
          </w:tcPr>
          <w:p w14:paraId="639EA2EA"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Days per Person</w:t>
            </w:r>
          </w:p>
        </w:tc>
        <w:tc>
          <w:tcPr>
            <w:tcW w:w="951" w:type="dxa"/>
            <w:tcBorders>
              <w:top w:val="nil"/>
              <w:left w:val="nil"/>
              <w:bottom w:val="nil"/>
              <w:right w:val="nil"/>
            </w:tcBorders>
          </w:tcPr>
          <w:p w14:paraId="57DCE28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FEAD74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F521CF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5C1E20D6" w14:textId="77777777" w:rsidTr="00E72162">
        <w:trPr>
          <w:trHeight w:val="290"/>
          <w:jc w:val="center"/>
        </w:trPr>
        <w:tc>
          <w:tcPr>
            <w:tcW w:w="2707" w:type="dxa"/>
            <w:tcBorders>
              <w:top w:val="nil"/>
              <w:left w:val="nil"/>
              <w:bottom w:val="nil"/>
              <w:right w:val="nil"/>
            </w:tcBorders>
          </w:tcPr>
          <w:p w14:paraId="4F3178F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37FB0CD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-9.2%</w:t>
            </w:r>
          </w:p>
        </w:tc>
        <w:tc>
          <w:tcPr>
            <w:tcW w:w="1032" w:type="dxa"/>
            <w:tcBorders>
              <w:top w:val="nil"/>
              <w:left w:val="nil"/>
              <w:bottom w:val="nil"/>
              <w:right w:val="nil"/>
            </w:tcBorders>
          </w:tcPr>
          <w:p w14:paraId="3528CE9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37.7%</w:t>
            </w:r>
          </w:p>
        </w:tc>
        <w:tc>
          <w:tcPr>
            <w:tcW w:w="1032" w:type="dxa"/>
            <w:tcBorders>
              <w:top w:val="nil"/>
              <w:left w:val="nil"/>
              <w:bottom w:val="nil"/>
              <w:right w:val="nil"/>
            </w:tcBorders>
          </w:tcPr>
          <w:p w14:paraId="798AC7C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52.3%</w:t>
            </w:r>
          </w:p>
        </w:tc>
      </w:tr>
      <w:tr w:rsidR="00F7725C" w:rsidRPr="00E60BC4" w14:paraId="2ECD166E" w14:textId="77777777" w:rsidTr="00E72162">
        <w:trPr>
          <w:trHeight w:val="290"/>
          <w:jc w:val="center"/>
        </w:trPr>
        <w:tc>
          <w:tcPr>
            <w:tcW w:w="2707" w:type="dxa"/>
            <w:tcBorders>
              <w:top w:val="nil"/>
              <w:left w:val="nil"/>
              <w:bottom w:val="nil"/>
              <w:right w:val="nil"/>
            </w:tcBorders>
          </w:tcPr>
          <w:p w14:paraId="0ADE96F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1852912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-33.2%</w:t>
            </w:r>
          </w:p>
        </w:tc>
        <w:tc>
          <w:tcPr>
            <w:tcW w:w="1032" w:type="dxa"/>
            <w:tcBorders>
              <w:top w:val="nil"/>
              <w:left w:val="nil"/>
              <w:bottom w:val="nil"/>
              <w:right w:val="nil"/>
            </w:tcBorders>
          </w:tcPr>
          <w:p w14:paraId="3297053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-45.9%</w:t>
            </w:r>
          </w:p>
        </w:tc>
        <w:tc>
          <w:tcPr>
            <w:tcW w:w="1032" w:type="dxa"/>
            <w:tcBorders>
              <w:top w:val="nil"/>
              <w:left w:val="nil"/>
              <w:bottom w:val="nil"/>
              <w:right w:val="nil"/>
            </w:tcBorders>
          </w:tcPr>
          <w:p w14:paraId="66B0FC5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45.9%</w:t>
            </w:r>
          </w:p>
        </w:tc>
      </w:tr>
      <w:tr w:rsidR="00F7725C" w:rsidRPr="00E60BC4" w14:paraId="46515CB1" w14:textId="77777777" w:rsidTr="00E72162">
        <w:trPr>
          <w:trHeight w:val="290"/>
          <w:jc w:val="center"/>
        </w:trPr>
        <w:tc>
          <w:tcPr>
            <w:tcW w:w="2707" w:type="dxa"/>
            <w:tcBorders>
              <w:top w:val="nil"/>
              <w:left w:val="nil"/>
              <w:bottom w:val="nil"/>
              <w:right w:val="nil"/>
            </w:tcBorders>
          </w:tcPr>
          <w:p w14:paraId="0CE253BA"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Physical Health</w:t>
            </w:r>
          </w:p>
        </w:tc>
        <w:tc>
          <w:tcPr>
            <w:tcW w:w="951" w:type="dxa"/>
            <w:tcBorders>
              <w:top w:val="nil"/>
              <w:left w:val="nil"/>
              <w:bottom w:val="nil"/>
              <w:right w:val="nil"/>
            </w:tcBorders>
          </w:tcPr>
          <w:p w14:paraId="61B2D14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41347F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2BBB668"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F162B4C" w14:textId="77777777" w:rsidTr="00E72162">
        <w:trPr>
          <w:trHeight w:val="290"/>
          <w:jc w:val="center"/>
        </w:trPr>
        <w:tc>
          <w:tcPr>
            <w:tcW w:w="2707" w:type="dxa"/>
            <w:tcBorders>
              <w:top w:val="nil"/>
              <w:left w:val="nil"/>
              <w:bottom w:val="nil"/>
              <w:right w:val="nil"/>
            </w:tcBorders>
          </w:tcPr>
          <w:p w14:paraId="3A5DD2E2"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3C70071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0CDA34D"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BFE8A8D"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5EF2450A" w14:textId="77777777" w:rsidTr="00E72162">
        <w:trPr>
          <w:trHeight w:val="290"/>
          <w:jc w:val="center"/>
        </w:trPr>
        <w:tc>
          <w:tcPr>
            <w:tcW w:w="2707" w:type="dxa"/>
            <w:tcBorders>
              <w:top w:val="nil"/>
              <w:left w:val="nil"/>
              <w:bottom w:val="nil"/>
              <w:right w:val="nil"/>
            </w:tcBorders>
          </w:tcPr>
          <w:p w14:paraId="2087E7E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18D8C5A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-6.4%</w:t>
            </w:r>
          </w:p>
        </w:tc>
        <w:tc>
          <w:tcPr>
            <w:tcW w:w="1032" w:type="dxa"/>
            <w:tcBorders>
              <w:top w:val="nil"/>
              <w:left w:val="nil"/>
              <w:bottom w:val="nil"/>
              <w:right w:val="nil"/>
            </w:tcBorders>
          </w:tcPr>
          <w:p w14:paraId="4F23D37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-6.6%</w:t>
            </w:r>
          </w:p>
        </w:tc>
        <w:tc>
          <w:tcPr>
            <w:tcW w:w="1032" w:type="dxa"/>
            <w:tcBorders>
              <w:top w:val="nil"/>
              <w:left w:val="nil"/>
              <w:bottom w:val="nil"/>
              <w:right w:val="nil"/>
            </w:tcBorders>
          </w:tcPr>
          <w:p w14:paraId="2C7350D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-6.6%</w:t>
            </w:r>
          </w:p>
        </w:tc>
      </w:tr>
      <w:tr w:rsidR="00F7725C" w:rsidRPr="00E60BC4" w14:paraId="13EA5584" w14:textId="77777777" w:rsidTr="00E72162">
        <w:trPr>
          <w:trHeight w:val="290"/>
          <w:jc w:val="center"/>
        </w:trPr>
        <w:tc>
          <w:tcPr>
            <w:tcW w:w="2707" w:type="dxa"/>
            <w:tcBorders>
              <w:top w:val="nil"/>
              <w:left w:val="nil"/>
              <w:bottom w:val="nil"/>
              <w:right w:val="nil"/>
            </w:tcBorders>
          </w:tcPr>
          <w:p w14:paraId="0F4F7C2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775AD71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-4.3%</w:t>
            </w:r>
          </w:p>
        </w:tc>
        <w:tc>
          <w:tcPr>
            <w:tcW w:w="1032" w:type="dxa"/>
            <w:tcBorders>
              <w:top w:val="nil"/>
              <w:left w:val="nil"/>
              <w:bottom w:val="nil"/>
              <w:right w:val="nil"/>
            </w:tcBorders>
          </w:tcPr>
          <w:p w14:paraId="72FB191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-2.5%</w:t>
            </w:r>
          </w:p>
        </w:tc>
        <w:tc>
          <w:tcPr>
            <w:tcW w:w="1032" w:type="dxa"/>
            <w:tcBorders>
              <w:top w:val="nil"/>
              <w:left w:val="nil"/>
              <w:bottom w:val="nil"/>
              <w:right w:val="nil"/>
            </w:tcBorders>
          </w:tcPr>
          <w:p w14:paraId="25FDC7E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-8.0%</w:t>
            </w:r>
          </w:p>
        </w:tc>
      </w:tr>
      <w:tr w:rsidR="00F7725C" w:rsidRPr="00E60BC4" w14:paraId="002BAD18" w14:textId="77777777" w:rsidTr="00E72162">
        <w:trPr>
          <w:trHeight w:val="290"/>
          <w:jc w:val="center"/>
        </w:trPr>
        <w:tc>
          <w:tcPr>
            <w:tcW w:w="2707" w:type="dxa"/>
            <w:tcBorders>
              <w:top w:val="nil"/>
              <w:left w:val="nil"/>
              <w:bottom w:val="nil"/>
              <w:right w:val="nil"/>
            </w:tcBorders>
          </w:tcPr>
          <w:p w14:paraId="1FDF5AB5"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Days per Person</w:t>
            </w:r>
          </w:p>
        </w:tc>
        <w:tc>
          <w:tcPr>
            <w:tcW w:w="951" w:type="dxa"/>
            <w:tcBorders>
              <w:top w:val="nil"/>
              <w:left w:val="nil"/>
              <w:bottom w:val="nil"/>
              <w:right w:val="nil"/>
            </w:tcBorders>
          </w:tcPr>
          <w:p w14:paraId="56A79C9B"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72FD1C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08EC51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758B1D7" w14:textId="77777777" w:rsidTr="00E72162">
        <w:trPr>
          <w:trHeight w:val="290"/>
          <w:jc w:val="center"/>
        </w:trPr>
        <w:tc>
          <w:tcPr>
            <w:tcW w:w="2707" w:type="dxa"/>
            <w:tcBorders>
              <w:top w:val="nil"/>
              <w:left w:val="nil"/>
              <w:bottom w:val="nil"/>
              <w:right w:val="nil"/>
            </w:tcBorders>
          </w:tcPr>
          <w:p w14:paraId="269C2BD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504BA0D3"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-7.0%</w:t>
            </w:r>
          </w:p>
        </w:tc>
        <w:tc>
          <w:tcPr>
            <w:tcW w:w="1032" w:type="dxa"/>
            <w:tcBorders>
              <w:top w:val="nil"/>
              <w:left w:val="nil"/>
              <w:bottom w:val="nil"/>
              <w:right w:val="nil"/>
            </w:tcBorders>
          </w:tcPr>
          <w:p w14:paraId="0065A36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-8.0%</w:t>
            </w:r>
          </w:p>
        </w:tc>
        <w:tc>
          <w:tcPr>
            <w:tcW w:w="1032" w:type="dxa"/>
            <w:tcBorders>
              <w:top w:val="nil"/>
              <w:left w:val="nil"/>
              <w:bottom w:val="nil"/>
              <w:right w:val="nil"/>
            </w:tcBorders>
          </w:tcPr>
          <w:p w14:paraId="563B989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-5.8%</w:t>
            </w:r>
          </w:p>
        </w:tc>
      </w:tr>
      <w:tr w:rsidR="00F7725C" w:rsidRPr="00E60BC4" w14:paraId="70E6B76F" w14:textId="77777777" w:rsidTr="00E72162">
        <w:trPr>
          <w:trHeight w:val="290"/>
          <w:jc w:val="center"/>
        </w:trPr>
        <w:tc>
          <w:tcPr>
            <w:tcW w:w="2707" w:type="dxa"/>
            <w:tcBorders>
              <w:top w:val="nil"/>
              <w:left w:val="nil"/>
              <w:bottom w:val="single" w:sz="6" w:space="0" w:color="auto"/>
              <w:right w:val="nil"/>
            </w:tcBorders>
          </w:tcPr>
          <w:p w14:paraId="30AB720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3C433A9C"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-8.3%</w:t>
            </w:r>
          </w:p>
        </w:tc>
        <w:tc>
          <w:tcPr>
            <w:tcW w:w="1032" w:type="dxa"/>
            <w:tcBorders>
              <w:top w:val="nil"/>
              <w:left w:val="nil"/>
              <w:bottom w:val="single" w:sz="6" w:space="0" w:color="auto"/>
              <w:right w:val="nil"/>
            </w:tcBorders>
          </w:tcPr>
          <w:p w14:paraId="7A2C3CF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-11.8%</w:t>
            </w:r>
          </w:p>
        </w:tc>
        <w:tc>
          <w:tcPr>
            <w:tcW w:w="1032" w:type="dxa"/>
            <w:tcBorders>
              <w:top w:val="nil"/>
              <w:left w:val="nil"/>
              <w:bottom w:val="single" w:sz="6" w:space="0" w:color="auto"/>
              <w:right w:val="nil"/>
            </w:tcBorders>
          </w:tcPr>
          <w:p w14:paraId="0E2D0A0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-1.5%</w:t>
            </w:r>
          </w:p>
        </w:tc>
      </w:tr>
    </w:tbl>
    <w:p w14:paraId="16FD002D" w14:textId="77777777" w:rsidR="00E847F0" w:rsidRPr="004C66D9" w:rsidRDefault="00E847F0" w:rsidP="00E847F0">
      <w:pPr>
        <w:rPr>
          <w:rFonts w:cstheme="minorHAnsi"/>
          <w:sz w:val="22"/>
          <w:szCs w:val="22"/>
        </w:rPr>
      </w:pPr>
    </w:p>
    <w:p w14:paraId="02FC89F4" w14:textId="77777777" w:rsidR="00E847F0" w:rsidRPr="004C66D9" w:rsidRDefault="00E847F0" w:rsidP="00E847F0">
      <w:pPr>
        <w:jc w:val="center"/>
        <w:rPr>
          <w:rFonts w:cstheme="minorHAnsi"/>
          <w:sz w:val="22"/>
          <w:szCs w:val="22"/>
        </w:rPr>
      </w:pPr>
    </w:p>
    <w:p w14:paraId="2D4513AF" w14:textId="77777777" w:rsidR="00E847F0" w:rsidRPr="004C66D9" w:rsidRDefault="00E847F0" w:rsidP="00E847F0">
      <w:pPr>
        <w:jc w:val="center"/>
        <w:rPr>
          <w:rFonts w:cstheme="minorHAnsi"/>
          <w:sz w:val="22"/>
          <w:szCs w:val="22"/>
        </w:rPr>
      </w:pPr>
    </w:p>
    <w:p w14:paraId="4E10E356" w14:textId="77777777" w:rsidR="00E847F0" w:rsidRDefault="00E847F0" w:rsidP="00E847F0">
      <w:pPr>
        <w:rPr>
          <w:rFonts w:cstheme="minorHAnsi"/>
          <w:sz w:val="22"/>
          <w:szCs w:val="22"/>
          <w:u w:val="single"/>
        </w:rPr>
      </w:pPr>
      <w:r>
        <w:rPr>
          <w:rFonts w:cstheme="minorHAnsi"/>
          <w:sz w:val="22"/>
          <w:szCs w:val="22"/>
          <w:u w:val="single"/>
        </w:rPr>
        <w:br w:type="page"/>
      </w:r>
    </w:p>
    <w:p w14:paraId="78EE4503" w14:textId="355F24E0" w:rsidR="00E847F0" w:rsidRPr="00000D4B" w:rsidRDefault="00E847F0" w:rsidP="00E847F0">
      <w:pPr>
        <w:jc w:val="center"/>
        <w:rPr>
          <w:rFonts w:cstheme="minorHAnsi"/>
          <w:b/>
          <w:bCs/>
          <w:color w:val="6A7F0F"/>
          <w:sz w:val="22"/>
          <w:szCs w:val="22"/>
        </w:rPr>
      </w:pPr>
      <w:bookmarkStart w:id="142" w:name="Appendix6_Table_A66e"/>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.6e: Change in Residential Treatment Facility Service Quarterly Use and Days </w:t>
      </w:r>
    </w:p>
    <w:p w14:paraId="67DA7E12" w14:textId="77777777" w:rsidR="00E847F0" w:rsidRPr="00000D4B" w:rsidRDefault="00E847F0" w:rsidP="00E847F0">
      <w:pPr>
        <w:jc w:val="center"/>
        <w:rPr>
          <w:rFonts w:cstheme="minorHAnsi"/>
          <w:b/>
          <w:bCs/>
          <w:color w:val="6A7F0F"/>
          <w:sz w:val="22"/>
          <w:szCs w:val="22"/>
        </w:rPr>
      </w:pPr>
      <w:r w:rsidRPr="00000D4B">
        <w:rPr>
          <w:rFonts w:cstheme="minorHAnsi"/>
          <w:b/>
          <w:bCs/>
          <w:color w:val="6A7F0F"/>
          <w:sz w:val="22"/>
          <w:szCs w:val="22"/>
        </w:rPr>
        <w:t>Overall and by Race/Ethnicity Services for CCBHC OHP Members</w:t>
      </w:r>
    </w:p>
    <w:bookmarkEnd w:id="142"/>
    <w:p w14:paraId="44236DA7" w14:textId="77777777" w:rsidR="00E847F0" w:rsidRPr="00793F1D" w:rsidRDefault="00E847F0" w:rsidP="00E847F0">
      <w:pPr>
        <w:jc w:val="center"/>
        <w:rPr>
          <w:rFonts w:cstheme="minorHAnsi"/>
          <w:sz w:val="22"/>
          <w:szCs w:val="22"/>
        </w:rPr>
      </w:pPr>
    </w:p>
    <w:tbl>
      <w:tblPr>
        <w:tblW w:w="8577" w:type="dxa"/>
        <w:jc w:val="center"/>
        <w:tblLook w:val="04A0" w:firstRow="1" w:lastRow="0" w:firstColumn="1" w:lastColumn="0" w:noHBand="0" w:noVBand="1"/>
      </w:tblPr>
      <w:tblGrid>
        <w:gridCol w:w="2400"/>
        <w:gridCol w:w="840"/>
        <w:gridCol w:w="1080"/>
        <w:gridCol w:w="920"/>
        <w:gridCol w:w="1184"/>
        <w:gridCol w:w="1136"/>
        <w:gridCol w:w="1017"/>
      </w:tblGrid>
      <w:tr w:rsidR="00F7725C" w:rsidRPr="004C66D9" w14:paraId="73137A80"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2786E9B3" w14:textId="77777777" w:rsidR="00F7725C" w:rsidRPr="004C66D9" w:rsidRDefault="00F7725C" w:rsidP="00E72162">
            <w:pPr>
              <w:rPr>
                <w:rFonts w:cstheme="minorHAnsi"/>
                <w:sz w:val="22"/>
                <w:szCs w:val="22"/>
              </w:rPr>
            </w:pPr>
          </w:p>
          <w:p w14:paraId="7DC04068" w14:textId="77777777" w:rsidR="00F7725C" w:rsidRPr="004C66D9" w:rsidRDefault="00F7725C" w:rsidP="00E72162">
            <w:pPr>
              <w:rPr>
                <w:rFonts w:cstheme="minorHAnsi"/>
                <w:sz w:val="22"/>
                <w:szCs w:val="22"/>
              </w:rPr>
            </w:pPr>
          </w:p>
          <w:p w14:paraId="5373C174" w14:textId="77777777" w:rsidR="00F7725C" w:rsidRPr="004C66D9" w:rsidRDefault="00F7725C"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1AD159BB" w14:textId="77777777" w:rsidR="00F7725C" w:rsidRPr="004C66D9" w:rsidRDefault="00F7725C"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6C6C258F" w14:textId="77777777" w:rsidR="00F7725C" w:rsidRPr="004C66D9" w:rsidRDefault="00F7725C"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0BE9DBDC" w14:textId="77777777" w:rsidR="00F7725C" w:rsidRPr="004C66D9" w:rsidRDefault="00F7725C" w:rsidP="00E72162">
            <w:pPr>
              <w:jc w:val="center"/>
              <w:rPr>
                <w:rFonts w:cstheme="minorHAnsi"/>
                <w:sz w:val="22"/>
                <w:szCs w:val="22"/>
              </w:rPr>
            </w:pPr>
          </w:p>
        </w:tc>
        <w:tc>
          <w:tcPr>
            <w:tcW w:w="1184" w:type="dxa"/>
            <w:tcBorders>
              <w:top w:val="nil"/>
              <w:left w:val="nil"/>
              <w:bottom w:val="nil"/>
              <w:right w:val="nil"/>
            </w:tcBorders>
            <w:shd w:val="clear" w:color="auto" w:fill="auto"/>
            <w:noWrap/>
            <w:vAlign w:val="bottom"/>
            <w:hideMark/>
          </w:tcPr>
          <w:p w14:paraId="25A4329B" w14:textId="77777777" w:rsidR="00F7725C" w:rsidRPr="004C66D9" w:rsidRDefault="00F7725C" w:rsidP="00E72162">
            <w:pPr>
              <w:jc w:val="center"/>
              <w:rPr>
                <w:rFonts w:cstheme="minorHAnsi"/>
                <w:sz w:val="22"/>
                <w:szCs w:val="22"/>
              </w:rPr>
            </w:pPr>
          </w:p>
        </w:tc>
        <w:tc>
          <w:tcPr>
            <w:tcW w:w="1136" w:type="dxa"/>
            <w:tcBorders>
              <w:top w:val="nil"/>
              <w:left w:val="nil"/>
              <w:bottom w:val="nil"/>
              <w:right w:val="nil"/>
            </w:tcBorders>
            <w:shd w:val="clear" w:color="auto" w:fill="auto"/>
            <w:noWrap/>
            <w:vAlign w:val="bottom"/>
            <w:hideMark/>
          </w:tcPr>
          <w:p w14:paraId="27363A2E" w14:textId="77777777" w:rsidR="00F7725C" w:rsidRPr="004C66D9" w:rsidRDefault="00F7725C" w:rsidP="00E72162">
            <w:pPr>
              <w:jc w:val="center"/>
              <w:rPr>
                <w:rFonts w:cstheme="minorHAnsi"/>
                <w:sz w:val="22"/>
                <w:szCs w:val="22"/>
              </w:rPr>
            </w:pPr>
          </w:p>
        </w:tc>
        <w:tc>
          <w:tcPr>
            <w:tcW w:w="1017" w:type="dxa"/>
            <w:tcBorders>
              <w:top w:val="nil"/>
              <w:left w:val="nil"/>
              <w:bottom w:val="nil"/>
              <w:right w:val="nil"/>
            </w:tcBorders>
            <w:shd w:val="clear" w:color="auto" w:fill="auto"/>
            <w:noWrap/>
            <w:vAlign w:val="bottom"/>
            <w:hideMark/>
          </w:tcPr>
          <w:p w14:paraId="6662B054"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 Other</w:t>
            </w:r>
          </w:p>
        </w:tc>
      </w:tr>
      <w:tr w:rsidR="00F7725C" w:rsidRPr="004C66D9" w14:paraId="6A28BBDC"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D4F8798" w14:textId="77777777" w:rsidR="00F7725C" w:rsidRPr="004C66D9" w:rsidRDefault="00F7725C" w:rsidP="00E72162">
            <w:pPr>
              <w:jc w:val="center"/>
              <w:rPr>
                <w:rFonts w:cstheme="minorHAnsi"/>
                <w:b/>
                <w:bCs/>
                <w:color w:val="000000"/>
                <w:sz w:val="22"/>
                <w:szCs w:val="22"/>
              </w:rPr>
            </w:pPr>
          </w:p>
        </w:tc>
        <w:tc>
          <w:tcPr>
            <w:tcW w:w="840" w:type="dxa"/>
            <w:tcBorders>
              <w:top w:val="nil"/>
              <w:left w:val="nil"/>
              <w:bottom w:val="nil"/>
              <w:right w:val="nil"/>
            </w:tcBorders>
            <w:shd w:val="clear" w:color="auto" w:fill="auto"/>
            <w:noWrap/>
            <w:vAlign w:val="bottom"/>
            <w:hideMark/>
          </w:tcPr>
          <w:p w14:paraId="7F11BF3C"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66E26C03"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17569BD0"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Black/</w:t>
            </w:r>
          </w:p>
        </w:tc>
        <w:tc>
          <w:tcPr>
            <w:tcW w:w="1184" w:type="dxa"/>
            <w:tcBorders>
              <w:top w:val="nil"/>
              <w:left w:val="nil"/>
              <w:bottom w:val="nil"/>
              <w:right w:val="nil"/>
            </w:tcBorders>
            <w:shd w:val="clear" w:color="auto" w:fill="auto"/>
            <w:noWrap/>
            <w:vAlign w:val="bottom"/>
            <w:hideMark/>
          </w:tcPr>
          <w:p w14:paraId="70A4438A"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Hispanic/</w:t>
            </w:r>
          </w:p>
        </w:tc>
        <w:tc>
          <w:tcPr>
            <w:tcW w:w="1136" w:type="dxa"/>
            <w:tcBorders>
              <w:top w:val="nil"/>
              <w:left w:val="nil"/>
              <w:bottom w:val="nil"/>
              <w:right w:val="nil"/>
            </w:tcBorders>
            <w:shd w:val="clear" w:color="auto" w:fill="auto"/>
            <w:noWrap/>
            <w:vAlign w:val="bottom"/>
            <w:hideMark/>
          </w:tcPr>
          <w:p w14:paraId="68C00230" w14:textId="77777777" w:rsidR="00F7725C" w:rsidRPr="004C66D9" w:rsidRDefault="00F7725C" w:rsidP="00E72162">
            <w:pPr>
              <w:ind w:right="-234"/>
              <w:jc w:val="center"/>
              <w:rPr>
                <w:rFonts w:cstheme="minorHAnsi"/>
                <w:b/>
                <w:bCs/>
                <w:color w:val="000000"/>
                <w:sz w:val="22"/>
                <w:szCs w:val="22"/>
              </w:rPr>
            </w:pPr>
          </w:p>
        </w:tc>
        <w:tc>
          <w:tcPr>
            <w:tcW w:w="1017" w:type="dxa"/>
            <w:tcBorders>
              <w:top w:val="nil"/>
              <w:left w:val="nil"/>
              <w:bottom w:val="nil"/>
              <w:right w:val="nil"/>
            </w:tcBorders>
            <w:shd w:val="clear" w:color="auto" w:fill="auto"/>
            <w:noWrap/>
            <w:vAlign w:val="bottom"/>
            <w:hideMark/>
          </w:tcPr>
          <w:p w14:paraId="2920CB6C"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Race/</w:t>
            </w:r>
          </w:p>
        </w:tc>
      </w:tr>
      <w:tr w:rsidR="00F7725C" w:rsidRPr="004C66D9" w14:paraId="72F54F53"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37BBC7A8"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Resid. Trt. Facility (RTF)</w:t>
            </w:r>
          </w:p>
        </w:tc>
        <w:tc>
          <w:tcPr>
            <w:tcW w:w="840" w:type="dxa"/>
            <w:tcBorders>
              <w:top w:val="nil"/>
              <w:left w:val="nil"/>
              <w:bottom w:val="single" w:sz="4" w:space="0" w:color="auto"/>
              <w:right w:val="nil"/>
            </w:tcBorders>
            <w:shd w:val="clear" w:color="auto" w:fill="auto"/>
            <w:noWrap/>
            <w:vAlign w:val="bottom"/>
            <w:hideMark/>
          </w:tcPr>
          <w:p w14:paraId="39E73E9D"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7759EAEB"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4F962A10"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4ED888D8"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Latino/a/x</w:t>
            </w:r>
          </w:p>
        </w:tc>
        <w:tc>
          <w:tcPr>
            <w:tcW w:w="1136" w:type="dxa"/>
            <w:tcBorders>
              <w:top w:val="nil"/>
              <w:left w:val="nil"/>
              <w:bottom w:val="single" w:sz="4" w:space="0" w:color="auto"/>
              <w:right w:val="nil"/>
            </w:tcBorders>
            <w:shd w:val="clear" w:color="auto" w:fill="auto"/>
            <w:noWrap/>
            <w:vAlign w:val="bottom"/>
            <w:hideMark/>
          </w:tcPr>
          <w:p w14:paraId="6406A8EC"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6E8B597F" w14:textId="77777777" w:rsidR="00F7725C" w:rsidRPr="004C66D9" w:rsidRDefault="00F7725C" w:rsidP="00E72162">
            <w:pPr>
              <w:jc w:val="center"/>
              <w:rPr>
                <w:rFonts w:cstheme="minorHAnsi"/>
                <w:b/>
                <w:bCs/>
                <w:color w:val="000000"/>
                <w:sz w:val="22"/>
                <w:szCs w:val="22"/>
              </w:rPr>
            </w:pPr>
            <w:r w:rsidRPr="004C66D9">
              <w:rPr>
                <w:rFonts w:cstheme="minorHAnsi"/>
                <w:b/>
                <w:bCs/>
                <w:color w:val="000000"/>
                <w:sz w:val="22"/>
                <w:szCs w:val="22"/>
              </w:rPr>
              <w:t>Ethnicity</w:t>
            </w:r>
          </w:p>
        </w:tc>
      </w:tr>
      <w:tr w:rsidR="00F7725C" w:rsidRPr="004C66D9" w14:paraId="6C93C41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47F11C76" w14:textId="77777777" w:rsidR="00F7725C" w:rsidRPr="004C66D9" w:rsidRDefault="00F7725C" w:rsidP="00E72162">
            <w:pPr>
              <w:rPr>
                <w:rFonts w:cstheme="minorHAnsi"/>
                <w:b/>
                <w:bCs/>
                <w:color w:val="000000"/>
                <w:sz w:val="22"/>
                <w:szCs w:val="22"/>
                <w:u w:val="single"/>
              </w:rPr>
            </w:pPr>
            <w:r w:rsidRPr="004C66D9">
              <w:rPr>
                <w:rFonts w:cstheme="minorHAnsi"/>
                <w:b/>
                <w:bCs/>
                <w:color w:val="000000"/>
                <w:sz w:val="22"/>
                <w:szCs w:val="22"/>
                <w:u w:val="single"/>
              </w:rPr>
              <w:t>Mental Health</w:t>
            </w:r>
          </w:p>
        </w:tc>
        <w:tc>
          <w:tcPr>
            <w:tcW w:w="840" w:type="dxa"/>
            <w:tcBorders>
              <w:top w:val="nil"/>
              <w:left w:val="nil"/>
              <w:bottom w:val="nil"/>
              <w:right w:val="nil"/>
            </w:tcBorders>
            <w:shd w:val="clear" w:color="auto" w:fill="auto"/>
            <w:noWrap/>
            <w:vAlign w:val="bottom"/>
            <w:hideMark/>
          </w:tcPr>
          <w:p w14:paraId="07DDB7B5" w14:textId="77777777" w:rsidR="00F7725C" w:rsidRPr="004C66D9" w:rsidRDefault="00F7725C" w:rsidP="00E72162">
            <w:pPr>
              <w:rPr>
                <w:rFonts w:cstheme="minorHAnsi"/>
                <w:b/>
                <w:bCs/>
                <w:color w:val="000000"/>
                <w:sz w:val="22"/>
                <w:szCs w:val="22"/>
                <w:u w:val="single"/>
              </w:rPr>
            </w:pPr>
          </w:p>
        </w:tc>
        <w:tc>
          <w:tcPr>
            <w:tcW w:w="1080" w:type="dxa"/>
            <w:tcBorders>
              <w:top w:val="nil"/>
              <w:left w:val="nil"/>
              <w:bottom w:val="nil"/>
              <w:right w:val="nil"/>
            </w:tcBorders>
            <w:shd w:val="clear" w:color="auto" w:fill="auto"/>
            <w:noWrap/>
            <w:vAlign w:val="bottom"/>
            <w:hideMark/>
          </w:tcPr>
          <w:p w14:paraId="5FDD5040" w14:textId="77777777" w:rsidR="00F7725C" w:rsidRPr="004C66D9" w:rsidRDefault="00F7725C" w:rsidP="00E72162">
            <w:pPr>
              <w:rPr>
                <w:rFonts w:cstheme="minorHAnsi"/>
                <w:sz w:val="22"/>
                <w:szCs w:val="22"/>
                <w:u w:val="single"/>
              </w:rPr>
            </w:pPr>
          </w:p>
        </w:tc>
        <w:tc>
          <w:tcPr>
            <w:tcW w:w="920" w:type="dxa"/>
            <w:tcBorders>
              <w:top w:val="nil"/>
              <w:left w:val="nil"/>
              <w:bottom w:val="nil"/>
              <w:right w:val="nil"/>
            </w:tcBorders>
            <w:shd w:val="clear" w:color="auto" w:fill="auto"/>
            <w:noWrap/>
            <w:vAlign w:val="bottom"/>
            <w:hideMark/>
          </w:tcPr>
          <w:p w14:paraId="485C9B9D" w14:textId="77777777" w:rsidR="00F7725C" w:rsidRPr="004C66D9" w:rsidRDefault="00F7725C" w:rsidP="00E72162">
            <w:pPr>
              <w:rPr>
                <w:rFonts w:cstheme="minorHAnsi"/>
                <w:sz w:val="22"/>
                <w:szCs w:val="22"/>
                <w:u w:val="single"/>
              </w:rPr>
            </w:pPr>
          </w:p>
        </w:tc>
        <w:tc>
          <w:tcPr>
            <w:tcW w:w="1184" w:type="dxa"/>
            <w:tcBorders>
              <w:top w:val="nil"/>
              <w:left w:val="nil"/>
              <w:bottom w:val="nil"/>
              <w:right w:val="nil"/>
            </w:tcBorders>
            <w:shd w:val="clear" w:color="auto" w:fill="auto"/>
            <w:noWrap/>
            <w:vAlign w:val="bottom"/>
            <w:hideMark/>
          </w:tcPr>
          <w:p w14:paraId="23CAB33F" w14:textId="77777777" w:rsidR="00F7725C" w:rsidRPr="004C66D9" w:rsidRDefault="00F7725C" w:rsidP="00E72162">
            <w:pPr>
              <w:rPr>
                <w:rFonts w:cstheme="minorHAnsi"/>
                <w:sz w:val="22"/>
                <w:szCs w:val="22"/>
                <w:u w:val="single"/>
              </w:rPr>
            </w:pPr>
          </w:p>
        </w:tc>
        <w:tc>
          <w:tcPr>
            <w:tcW w:w="1136" w:type="dxa"/>
            <w:tcBorders>
              <w:top w:val="nil"/>
              <w:left w:val="nil"/>
              <w:bottom w:val="nil"/>
              <w:right w:val="nil"/>
            </w:tcBorders>
            <w:shd w:val="clear" w:color="auto" w:fill="auto"/>
            <w:noWrap/>
            <w:vAlign w:val="bottom"/>
            <w:hideMark/>
          </w:tcPr>
          <w:p w14:paraId="324B503A" w14:textId="77777777" w:rsidR="00F7725C" w:rsidRPr="004C66D9" w:rsidRDefault="00F7725C" w:rsidP="00E72162">
            <w:pPr>
              <w:rPr>
                <w:rFonts w:cstheme="minorHAnsi"/>
                <w:sz w:val="22"/>
                <w:szCs w:val="22"/>
                <w:u w:val="single"/>
              </w:rPr>
            </w:pPr>
          </w:p>
        </w:tc>
        <w:tc>
          <w:tcPr>
            <w:tcW w:w="1017" w:type="dxa"/>
            <w:tcBorders>
              <w:top w:val="nil"/>
              <w:left w:val="nil"/>
              <w:bottom w:val="nil"/>
              <w:right w:val="nil"/>
            </w:tcBorders>
            <w:shd w:val="clear" w:color="auto" w:fill="auto"/>
            <w:noWrap/>
            <w:vAlign w:val="bottom"/>
            <w:hideMark/>
          </w:tcPr>
          <w:p w14:paraId="0E51A0D5" w14:textId="77777777" w:rsidR="00F7725C" w:rsidRPr="004C66D9" w:rsidRDefault="00F7725C" w:rsidP="00E72162">
            <w:pPr>
              <w:rPr>
                <w:rFonts w:cstheme="minorHAnsi"/>
                <w:sz w:val="22"/>
                <w:szCs w:val="22"/>
                <w:u w:val="single"/>
              </w:rPr>
            </w:pPr>
          </w:p>
        </w:tc>
      </w:tr>
      <w:tr w:rsidR="00F7725C" w:rsidRPr="004C66D9" w14:paraId="37926426"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BD6E02D"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7D630A2B"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5B89FC25"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579B0044"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70660EF6" w14:textId="77777777" w:rsidR="00F7725C" w:rsidRPr="004C66D9" w:rsidRDefault="00F7725C"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1658E08A"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6AAADAA2" w14:textId="77777777" w:rsidR="00F7725C" w:rsidRPr="004C66D9" w:rsidRDefault="00F7725C" w:rsidP="00E72162">
            <w:pPr>
              <w:rPr>
                <w:rFonts w:cstheme="minorHAnsi"/>
                <w:sz w:val="22"/>
                <w:szCs w:val="22"/>
              </w:rPr>
            </w:pPr>
          </w:p>
        </w:tc>
      </w:tr>
      <w:tr w:rsidR="00F7725C" w:rsidRPr="004C66D9" w14:paraId="31EC44A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618E3D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3E98760"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38.5%</w:t>
            </w:r>
          </w:p>
        </w:tc>
        <w:tc>
          <w:tcPr>
            <w:tcW w:w="1080" w:type="dxa"/>
            <w:tcBorders>
              <w:top w:val="nil"/>
              <w:left w:val="nil"/>
              <w:bottom w:val="nil"/>
              <w:right w:val="nil"/>
            </w:tcBorders>
            <w:shd w:val="clear" w:color="auto" w:fill="auto"/>
            <w:noWrap/>
            <w:vAlign w:val="bottom"/>
            <w:hideMark/>
          </w:tcPr>
          <w:p w14:paraId="30FB204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22.1%</w:t>
            </w:r>
          </w:p>
        </w:tc>
        <w:tc>
          <w:tcPr>
            <w:tcW w:w="920" w:type="dxa"/>
            <w:tcBorders>
              <w:top w:val="nil"/>
              <w:left w:val="nil"/>
              <w:bottom w:val="nil"/>
              <w:right w:val="nil"/>
            </w:tcBorders>
            <w:shd w:val="clear" w:color="auto" w:fill="auto"/>
            <w:noWrap/>
            <w:vAlign w:val="bottom"/>
            <w:hideMark/>
          </w:tcPr>
          <w:p w14:paraId="2D130D2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38.1%</w:t>
            </w:r>
          </w:p>
        </w:tc>
        <w:tc>
          <w:tcPr>
            <w:tcW w:w="1184" w:type="dxa"/>
            <w:tcBorders>
              <w:top w:val="nil"/>
              <w:left w:val="nil"/>
              <w:bottom w:val="nil"/>
              <w:right w:val="nil"/>
            </w:tcBorders>
            <w:shd w:val="clear" w:color="auto" w:fill="auto"/>
            <w:noWrap/>
            <w:vAlign w:val="bottom"/>
            <w:hideMark/>
          </w:tcPr>
          <w:p w14:paraId="4EED641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-14.7%</w:t>
            </w:r>
          </w:p>
        </w:tc>
        <w:tc>
          <w:tcPr>
            <w:tcW w:w="1136" w:type="dxa"/>
            <w:tcBorders>
              <w:top w:val="nil"/>
              <w:left w:val="nil"/>
              <w:bottom w:val="nil"/>
              <w:right w:val="nil"/>
            </w:tcBorders>
            <w:shd w:val="clear" w:color="auto" w:fill="auto"/>
            <w:noWrap/>
            <w:vAlign w:val="bottom"/>
            <w:hideMark/>
          </w:tcPr>
          <w:p w14:paraId="0424CF86"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44.2%</w:t>
            </w:r>
          </w:p>
        </w:tc>
        <w:tc>
          <w:tcPr>
            <w:tcW w:w="1017" w:type="dxa"/>
            <w:tcBorders>
              <w:top w:val="nil"/>
              <w:left w:val="nil"/>
              <w:bottom w:val="nil"/>
              <w:right w:val="nil"/>
            </w:tcBorders>
            <w:shd w:val="clear" w:color="auto" w:fill="auto"/>
            <w:noWrap/>
            <w:vAlign w:val="bottom"/>
            <w:hideMark/>
          </w:tcPr>
          <w:p w14:paraId="1339F803"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337.0%</w:t>
            </w:r>
          </w:p>
        </w:tc>
      </w:tr>
      <w:tr w:rsidR="00F7725C" w:rsidRPr="004C66D9" w14:paraId="2D362B5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011E7D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9F93ADD"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49.3%</w:t>
            </w:r>
          </w:p>
        </w:tc>
        <w:tc>
          <w:tcPr>
            <w:tcW w:w="1080" w:type="dxa"/>
            <w:tcBorders>
              <w:top w:val="nil"/>
              <w:left w:val="nil"/>
              <w:bottom w:val="nil"/>
              <w:right w:val="nil"/>
            </w:tcBorders>
            <w:shd w:val="clear" w:color="auto" w:fill="auto"/>
            <w:noWrap/>
            <w:vAlign w:val="bottom"/>
            <w:hideMark/>
          </w:tcPr>
          <w:p w14:paraId="49541CD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-36.0%</w:t>
            </w:r>
          </w:p>
        </w:tc>
        <w:tc>
          <w:tcPr>
            <w:tcW w:w="920" w:type="dxa"/>
            <w:tcBorders>
              <w:top w:val="nil"/>
              <w:left w:val="nil"/>
              <w:bottom w:val="nil"/>
              <w:right w:val="nil"/>
            </w:tcBorders>
            <w:shd w:val="clear" w:color="auto" w:fill="auto"/>
            <w:noWrap/>
            <w:vAlign w:val="bottom"/>
            <w:hideMark/>
          </w:tcPr>
          <w:p w14:paraId="3AE3DEF7"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243.8%</w:t>
            </w:r>
          </w:p>
        </w:tc>
        <w:tc>
          <w:tcPr>
            <w:tcW w:w="1184" w:type="dxa"/>
            <w:tcBorders>
              <w:top w:val="nil"/>
              <w:left w:val="nil"/>
              <w:bottom w:val="nil"/>
              <w:right w:val="nil"/>
            </w:tcBorders>
            <w:shd w:val="clear" w:color="auto" w:fill="auto"/>
            <w:noWrap/>
            <w:vAlign w:val="bottom"/>
            <w:hideMark/>
          </w:tcPr>
          <w:p w14:paraId="52ED88A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-35.1%</w:t>
            </w:r>
          </w:p>
        </w:tc>
        <w:tc>
          <w:tcPr>
            <w:tcW w:w="1136" w:type="dxa"/>
            <w:tcBorders>
              <w:top w:val="nil"/>
              <w:left w:val="nil"/>
              <w:bottom w:val="nil"/>
              <w:right w:val="nil"/>
            </w:tcBorders>
            <w:shd w:val="clear" w:color="auto" w:fill="auto"/>
            <w:noWrap/>
            <w:vAlign w:val="bottom"/>
            <w:hideMark/>
          </w:tcPr>
          <w:p w14:paraId="7DA0C0EA" w14:textId="77777777" w:rsidR="00F7725C" w:rsidRPr="004C66D9" w:rsidRDefault="00F7725C" w:rsidP="00E72162">
            <w:pPr>
              <w:jc w:val="right"/>
              <w:rPr>
                <w:rFonts w:cstheme="minorHAnsi"/>
                <w:b/>
                <w:bCs/>
                <w:color w:val="000000"/>
                <w:sz w:val="22"/>
                <w:szCs w:val="22"/>
              </w:rPr>
            </w:pPr>
            <w:r w:rsidRPr="00793F1D">
              <w:rPr>
                <w:rFonts w:cstheme="minorHAnsi"/>
                <w:b/>
                <w:bCs/>
                <w:i/>
                <w:color w:val="000000"/>
                <w:sz w:val="22"/>
                <w:szCs w:val="22"/>
              </w:rPr>
              <w:t>51.6%</w:t>
            </w:r>
          </w:p>
        </w:tc>
        <w:tc>
          <w:tcPr>
            <w:tcW w:w="1017" w:type="dxa"/>
            <w:tcBorders>
              <w:top w:val="nil"/>
              <w:left w:val="nil"/>
              <w:bottom w:val="nil"/>
              <w:right w:val="nil"/>
            </w:tcBorders>
            <w:shd w:val="clear" w:color="auto" w:fill="auto"/>
            <w:noWrap/>
            <w:vAlign w:val="bottom"/>
            <w:hideMark/>
          </w:tcPr>
          <w:p w14:paraId="1B15C51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84.0%</w:t>
            </w:r>
          </w:p>
        </w:tc>
      </w:tr>
      <w:tr w:rsidR="00F7725C" w:rsidRPr="004C66D9" w14:paraId="2F150CD3"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12288BDC"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Days per Person</w:t>
            </w:r>
          </w:p>
        </w:tc>
        <w:tc>
          <w:tcPr>
            <w:tcW w:w="840" w:type="dxa"/>
            <w:tcBorders>
              <w:top w:val="nil"/>
              <w:left w:val="nil"/>
              <w:bottom w:val="nil"/>
              <w:right w:val="nil"/>
            </w:tcBorders>
            <w:shd w:val="clear" w:color="auto" w:fill="auto"/>
            <w:noWrap/>
            <w:vAlign w:val="bottom"/>
            <w:hideMark/>
          </w:tcPr>
          <w:p w14:paraId="388A2AB3"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2794DC36"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14D0CC86"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9430068" w14:textId="77777777" w:rsidR="00F7725C" w:rsidRPr="004C66D9" w:rsidRDefault="00F7725C"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0A735373"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05552910" w14:textId="77777777" w:rsidR="00F7725C" w:rsidRPr="004C66D9" w:rsidRDefault="00F7725C" w:rsidP="00E72162">
            <w:pPr>
              <w:rPr>
                <w:rFonts w:cstheme="minorHAnsi"/>
                <w:sz w:val="22"/>
                <w:szCs w:val="22"/>
              </w:rPr>
            </w:pPr>
          </w:p>
        </w:tc>
      </w:tr>
      <w:tr w:rsidR="00F7725C" w:rsidRPr="004C66D9" w14:paraId="14ED45BF"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599D577"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99F15C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6.5%</w:t>
            </w:r>
          </w:p>
        </w:tc>
        <w:tc>
          <w:tcPr>
            <w:tcW w:w="1080" w:type="dxa"/>
            <w:tcBorders>
              <w:top w:val="nil"/>
              <w:left w:val="nil"/>
              <w:bottom w:val="nil"/>
              <w:right w:val="nil"/>
            </w:tcBorders>
            <w:shd w:val="clear" w:color="auto" w:fill="auto"/>
            <w:noWrap/>
            <w:vAlign w:val="bottom"/>
            <w:hideMark/>
          </w:tcPr>
          <w:p w14:paraId="3712CA6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6.8%</w:t>
            </w:r>
          </w:p>
        </w:tc>
        <w:tc>
          <w:tcPr>
            <w:tcW w:w="920" w:type="dxa"/>
            <w:tcBorders>
              <w:top w:val="nil"/>
              <w:left w:val="nil"/>
              <w:bottom w:val="nil"/>
              <w:right w:val="nil"/>
            </w:tcBorders>
            <w:shd w:val="clear" w:color="auto" w:fill="auto"/>
            <w:noWrap/>
            <w:vAlign w:val="bottom"/>
            <w:hideMark/>
          </w:tcPr>
          <w:p w14:paraId="66EAE4B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-11.4%</w:t>
            </w:r>
          </w:p>
        </w:tc>
        <w:tc>
          <w:tcPr>
            <w:tcW w:w="1184" w:type="dxa"/>
            <w:tcBorders>
              <w:top w:val="nil"/>
              <w:left w:val="nil"/>
              <w:bottom w:val="nil"/>
              <w:right w:val="nil"/>
            </w:tcBorders>
            <w:shd w:val="clear" w:color="auto" w:fill="auto"/>
            <w:noWrap/>
            <w:vAlign w:val="bottom"/>
            <w:hideMark/>
          </w:tcPr>
          <w:p w14:paraId="5C546B5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-59.9%</w:t>
            </w:r>
          </w:p>
        </w:tc>
        <w:tc>
          <w:tcPr>
            <w:tcW w:w="1136" w:type="dxa"/>
            <w:tcBorders>
              <w:top w:val="nil"/>
              <w:left w:val="nil"/>
              <w:bottom w:val="nil"/>
              <w:right w:val="nil"/>
            </w:tcBorders>
            <w:shd w:val="clear" w:color="auto" w:fill="auto"/>
            <w:noWrap/>
            <w:vAlign w:val="bottom"/>
            <w:hideMark/>
          </w:tcPr>
          <w:p w14:paraId="2DA79B7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16.3%</w:t>
            </w:r>
          </w:p>
        </w:tc>
        <w:tc>
          <w:tcPr>
            <w:tcW w:w="1017" w:type="dxa"/>
            <w:tcBorders>
              <w:top w:val="nil"/>
              <w:left w:val="nil"/>
              <w:bottom w:val="nil"/>
              <w:right w:val="nil"/>
            </w:tcBorders>
            <w:shd w:val="clear" w:color="auto" w:fill="auto"/>
            <w:noWrap/>
            <w:vAlign w:val="bottom"/>
            <w:hideMark/>
          </w:tcPr>
          <w:p w14:paraId="1202EA90" w14:textId="77777777" w:rsidR="00F7725C" w:rsidRPr="00CA1007" w:rsidRDefault="00F7725C" w:rsidP="00E72162">
            <w:pPr>
              <w:jc w:val="right"/>
              <w:rPr>
                <w:rFonts w:cstheme="minorHAnsi"/>
                <w:color w:val="000000"/>
                <w:sz w:val="22"/>
                <w:szCs w:val="22"/>
              </w:rPr>
            </w:pPr>
            <w:r w:rsidRPr="00CA1007">
              <w:rPr>
                <w:rFonts w:cstheme="minorHAnsi"/>
                <w:color w:val="000000"/>
                <w:sz w:val="22"/>
                <w:szCs w:val="22"/>
              </w:rPr>
              <w:t>NR</w:t>
            </w:r>
          </w:p>
        </w:tc>
      </w:tr>
      <w:tr w:rsidR="00F7725C" w:rsidRPr="004C66D9" w14:paraId="0F90664A"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D99630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079486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26.0%</w:t>
            </w:r>
          </w:p>
        </w:tc>
        <w:tc>
          <w:tcPr>
            <w:tcW w:w="1080" w:type="dxa"/>
            <w:tcBorders>
              <w:top w:val="nil"/>
              <w:left w:val="nil"/>
              <w:bottom w:val="nil"/>
              <w:right w:val="nil"/>
            </w:tcBorders>
            <w:shd w:val="clear" w:color="auto" w:fill="auto"/>
            <w:noWrap/>
            <w:vAlign w:val="bottom"/>
            <w:hideMark/>
          </w:tcPr>
          <w:p w14:paraId="37DA91A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-34.3%</w:t>
            </w:r>
          </w:p>
        </w:tc>
        <w:tc>
          <w:tcPr>
            <w:tcW w:w="920" w:type="dxa"/>
            <w:tcBorders>
              <w:top w:val="nil"/>
              <w:left w:val="nil"/>
              <w:bottom w:val="nil"/>
              <w:right w:val="nil"/>
            </w:tcBorders>
            <w:shd w:val="clear" w:color="auto" w:fill="auto"/>
            <w:noWrap/>
            <w:vAlign w:val="bottom"/>
            <w:hideMark/>
          </w:tcPr>
          <w:p w14:paraId="5713448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252.7%</w:t>
            </w:r>
          </w:p>
        </w:tc>
        <w:tc>
          <w:tcPr>
            <w:tcW w:w="1184" w:type="dxa"/>
            <w:tcBorders>
              <w:top w:val="nil"/>
              <w:left w:val="nil"/>
              <w:bottom w:val="nil"/>
              <w:right w:val="nil"/>
            </w:tcBorders>
            <w:shd w:val="clear" w:color="auto" w:fill="auto"/>
            <w:noWrap/>
            <w:vAlign w:val="bottom"/>
            <w:hideMark/>
          </w:tcPr>
          <w:p w14:paraId="1939E9F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-59.9%</w:t>
            </w:r>
          </w:p>
        </w:tc>
        <w:tc>
          <w:tcPr>
            <w:tcW w:w="1136" w:type="dxa"/>
            <w:tcBorders>
              <w:top w:val="nil"/>
              <w:left w:val="nil"/>
              <w:bottom w:val="nil"/>
              <w:right w:val="nil"/>
            </w:tcBorders>
            <w:shd w:val="clear" w:color="auto" w:fill="auto"/>
            <w:noWrap/>
            <w:vAlign w:val="bottom"/>
            <w:hideMark/>
          </w:tcPr>
          <w:p w14:paraId="5DD124D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30.5%</w:t>
            </w:r>
          </w:p>
        </w:tc>
        <w:tc>
          <w:tcPr>
            <w:tcW w:w="1017" w:type="dxa"/>
            <w:tcBorders>
              <w:top w:val="nil"/>
              <w:left w:val="nil"/>
              <w:bottom w:val="nil"/>
              <w:right w:val="nil"/>
            </w:tcBorders>
            <w:shd w:val="clear" w:color="auto" w:fill="auto"/>
            <w:noWrap/>
            <w:vAlign w:val="bottom"/>
            <w:hideMark/>
          </w:tcPr>
          <w:p w14:paraId="3B7EEE80"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68.0%</w:t>
            </w:r>
          </w:p>
        </w:tc>
      </w:tr>
      <w:tr w:rsidR="00F7725C" w:rsidRPr="004C66D9" w14:paraId="11E75369"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1B0EACB" w14:textId="77777777" w:rsidR="00F7725C" w:rsidRPr="004C66D9" w:rsidRDefault="00F7725C" w:rsidP="00E72162">
            <w:pPr>
              <w:rPr>
                <w:rFonts w:cstheme="minorHAnsi"/>
                <w:b/>
                <w:bCs/>
                <w:color w:val="000000"/>
                <w:sz w:val="22"/>
                <w:szCs w:val="22"/>
                <w:u w:val="single"/>
              </w:rPr>
            </w:pPr>
            <w:r w:rsidRPr="004C66D9">
              <w:rPr>
                <w:rFonts w:cstheme="minorHAnsi"/>
                <w:b/>
                <w:bCs/>
                <w:color w:val="000000"/>
                <w:sz w:val="22"/>
                <w:szCs w:val="22"/>
                <w:u w:val="single"/>
              </w:rPr>
              <w:t>Substance Use</w:t>
            </w:r>
          </w:p>
        </w:tc>
        <w:tc>
          <w:tcPr>
            <w:tcW w:w="840" w:type="dxa"/>
            <w:tcBorders>
              <w:top w:val="nil"/>
              <w:left w:val="nil"/>
              <w:bottom w:val="nil"/>
              <w:right w:val="nil"/>
            </w:tcBorders>
            <w:shd w:val="clear" w:color="auto" w:fill="auto"/>
            <w:noWrap/>
            <w:vAlign w:val="bottom"/>
            <w:hideMark/>
          </w:tcPr>
          <w:p w14:paraId="6B2C3347" w14:textId="77777777" w:rsidR="00F7725C" w:rsidRPr="004C66D9" w:rsidRDefault="00F7725C" w:rsidP="00E72162">
            <w:pPr>
              <w:rPr>
                <w:rFonts w:cstheme="minorHAnsi"/>
                <w:b/>
                <w:bCs/>
                <w:color w:val="000000"/>
                <w:sz w:val="22"/>
                <w:szCs w:val="22"/>
                <w:u w:val="single"/>
              </w:rPr>
            </w:pPr>
          </w:p>
        </w:tc>
        <w:tc>
          <w:tcPr>
            <w:tcW w:w="1080" w:type="dxa"/>
            <w:tcBorders>
              <w:top w:val="nil"/>
              <w:left w:val="nil"/>
              <w:bottom w:val="nil"/>
              <w:right w:val="nil"/>
            </w:tcBorders>
            <w:shd w:val="clear" w:color="auto" w:fill="auto"/>
            <w:noWrap/>
            <w:vAlign w:val="bottom"/>
            <w:hideMark/>
          </w:tcPr>
          <w:p w14:paraId="19B81A37" w14:textId="77777777" w:rsidR="00F7725C" w:rsidRPr="004C66D9" w:rsidRDefault="00F7725C" w:rsidP="00E72162">
            <w:pPr>
              <w:rPr>
                <w:rFonts w:cstheme="minorHAnsi"/>
                <w:sz w:val="22"/>
                <w:szCs w:val="22"/>
                <w:u w:val="single"/>
              </w:rPr>
            </w:pPr>
          </w:p>
        </w:tc>
        <w:tc>
          <w:tcPr>
            <w:tcW w:w="920" w:type="dxa"/>
            <w:tcBorders>
              <w:top w:val="nil"/>
              <w:left w:val="nil"/>
              <w:bottom w:val="nil"/>
              <w:right w:val="nil"/>
            </w:tcBorders>
            <w:shd w:val="clear" w:color="auto" w:fill="auto"/>
            <w:noWrap/>
            <w:vAlign w:val="bottom"/>
            <w:hideMark/>
          </w:tcPr>
          <w:p w14:paraId="46D2675A" w14:textId="77777777" w:rsidR="00F7725C" w:rsidRPr="004C66D9" w:rsidRDefault="00F7725C" w:rsidP="00E72162">
            <w:pPr>
              <w:rPr>
                <w:rFonts w:cstheme="minorHAnsi"/>
                <w:sz w:val="22"/>
                <w:szCs w:val="22"/>
                <w:u w:val="single"/>
              </w:rPr>
            </w:pPr>
          </w:p>
        </w:tc>
        <w:tc>
          <w:tcPr>
            <w:tcW w:w="1184" w:type="dxa"/>
            <w:tcBorders>
              <w:top w:val="nil"/>
              <w:left w:val="nil"/>
              <w:bottom w:val="nil"/>
              <w:right w:val="nil"/>
            </w:tcBorders>
            <w:shd w:val="clear" w:color="auto" w:fill="auto"/>
            <w:noWrap/>
            <w:vAlign w:val="bottom"/>
            <w:hideMark/>
          </w:tcPr>
          <w:p w14:paraId="10D3CA74" w14:textId="77777777" w:rsidR="00F7725C" w:rsidRPr="004C66D9" w:rsidRDefault="00F7725C" w:rsidP="00E72162">
            <w:pPr>
              <w:rPr>
                <w:rFonts w:cstheme="minorHAnsi"/>
                <w:sz w:val="22"/>
                <w:szCs w:val="22"/>
                <w:u w:val="single"/>
              </w:rPr>
            </w:pPr>
          </w:p>
        </w:tc>
        <w:tc>
          <w:tcPr>
            <w:tcW w:w="1136" w:type="dxa"/>
            <w:tcBorders>
              <w:top w:val="nil"/>
              <w:left w:val="nil"/>
              <w:bottom w:val="nil"/>
              <w:right w:val="nil"/>
            </w:tcBorders>
            <w:shd w:val="clear" w:color="auto" w:fill="auto"/>
            <w:noWrap/>
            <w:vAlign w:val="bottom"/>
            <w:hideMark/>
          </w:tcPr>
          <w:p w14:paraId="280A870E" w14:textId="77777777" w:rsidR="00F7725C" w:rsidRPr="004C66D9" w:rsidRDefault="00F7725C" w:rsidP="00E72162">
            <w:pPr>
              <w:rPr>
                <w:rFonts w:cstheme="minorHAnsi"/>
                <w:sz w:val="22"/>
                <w:szCs w:val="22"/>
                <w:u w:val="single"/>
              </w:rPr>
            </w:pPr>
          </w:p>
        </w:tc>
        <w:tc>
          <w:tcPr>
            <w:tcW w:w="1017" w:type="dxa"/>
            <w:tcBorders>
              <w:top w:val="nil"/>
              <w:left w:val="nil"/>
              <w:bottom w:val="nil"/>
              <w:right w:val="nil"/>
            </w:tcBorders>
            <w:shd w:val="clear" w:color="auto" w:fill="auto"/>
            <w:noWrap/>
            <w:vAlign w:val="bottom"/>
            <w:hideMark/>
          </w:tcPr>
          <w:p w14:paraId="36EBDF6E" w14:textId="77777777" w:rsidR="00F7725C" w:rsidRPr="004C66D9" w:rsidRDefault="00F7725C" w:rsidP="00E72162">
            <w:pPr>
              <w:rPr>
                <w:rFonts w:cstheme="minorHAnsi"/>
                <w:sz w:val="22"/>
                <w:szCs w:val="22"/>
                <w:u w:val="single"/>
              </w:rPr>
            </w:pPr>
          </w:p>
        </w:tc>
      </w:tr>
      <w:tr w:rsidR="00F7725C" w:rsidRPr="004C66D9" w14:paraId="0AA20E2F"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72778B74"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Quarterly Use</w:t>
            </w:r>
          </w:p>
        </w:tc>
        <w:tc>
          <w:tcPr>
            <w:tcW w:w="840" w:type="dxa"/>
            <w:tcBorders>
              <w:top w:val="nil"/>
              <w:left w:val="nil"/>
              <w:bottom w:val="nil"/>
              <w:right w:val="nil"/>
            </w:tcBorders>
            <w:shd w:val="clear" w:color="auto" w:fill="auto"/>
            <w:noWrap/>
            <w:vAlign w:val="bottom"/>
            <w:hideMark/>
          </w:tcPr>
          <w:p w14:paraId="6F2DD6B3"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4C929114"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2DD49671"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4F9C2F49" w14:textId="77777777" w:rsidR="00F7725C" w:rsidRPr="004C66D9" w:rsidRDefault="00F7725C"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35CEF33D"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5F563E54" w14:textId="77777777" w:rsidR="00F7725C" w:rsidRPr="004C66D9" w:rsidRDefault="00F7725C" w:rsidP="00E72162">
            <w:pPr>
              <w:rPr>
                <w:rFonts w:cstheme="minorHAnsi"/>
                <w:sz w:val="22"/>
                <w:szCs w:val="22"/>
              </w:rPr>
            </w:pPr>
          </w:p>
        </w:tc>
      </w:tr>
      <w:tr w:rsidR="00F7725C" w:rsidRPr="004C66D9" w14:paraId="37183F91"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0606E99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23CB28E"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-19.0%</w:t>
            </w:r>
          </w:p>
        </w:tc>
        <w:tc>
          <w:tcPr>
            <w:tcW w:w="1080" w:type="dxa"/>
            <w:tcBorders>
              <w:top w:val="nil"/>
              <w:left w:val="nil"/>
              <w:bottom w:val="nil"/>
              <w:right w:val="nil"/>
            </w:tcBorders>
            <w:shd w:val="clear" w:color="auto" w:fill="auto"/>
            <w:noWrap/>
            <w:vAlign w:val="bottom"/>
            <w:hideMark/>
          </w:tcPr>
          <w:p w14:paraId="7D9AC3DB"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-17.1%</w:t>
            </w:r>
          </w:p>
        </w:tc>
        <w:tc>
          <w:tcPr>
            <w:tcW w:w="920" w:type="dxa"/>
            <w:tcBorders>
              <w:top w:val="nil"/>
              <w:left w:val="nil"/>
              <w:bottom w:val="nil"/>
              <w:right w:val="nil"/>
            </w:tcBorders>
            <w:shd w:val="clear" w:color="auto" w:fill="auto"/>
            <w:noWrap/>
            <w:vAlign w:val="bottom"/>
            <w:hideMark/>
          </w:tcPr>
          <w:p w14:paraId="35589355"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-70.3%</w:t>
            </w:r>
          </w:p>
        </w:tc>
        <w:tc>
          <w:tcPr>
            <w:tcW w:w="1184" w:type="dxa"/>
            <w:tcBorders>
              <w:top w:val="nil"/>
              <w:left w:val="nil"/>
              <w:bottom w:val="nil"/>
              <w:right w:val="nil"/>
            </w:tcBorders>
            <w:shd w:val="clear" w:color="auto" w:fill="auto"/>
            <w:noWrap/>
            <w:vAlign w:val="bottom"/>
            <w:hideMark/>
          </w:tcPr>
          <w:p w14:paraId="2218F793"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-6.4%</w:t>
            </w:r>
          </w:p>
        </w:tc>
        <w:tc>
          <w:tcPr>
            <w:tcW w:w="1136" w:type="dxa"/>
            <w:tcBorders>
              <w:top w:val="nil"/>
              <w:left w:val="nil"/>
              <w:bottom w:val="nil"/>
              <w:right w:val="nil"/>
            </w:tcBorders>
            <w:shd w:val="clear" w:color="auto" w:fill="auto"/>
            <w:noWrap/>
            <w:vAlign w:val="bottom"/>
            <w:hideMark/>
          </w:tcPr>
          <w:p w14:paraId="32DE981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-13.1%</w:t>
            </w:r>
          </w:p>
        </w:tc>
        <w:tc>
          <w:tcPr>
            <w:tcW w:w="1017" w:type="dxa"/>
            <w:tcBorders>
              <w:top w:val="nil"/>
              <w:left w:val="nil"/>
              <w:bottom w:val="nil"/>
              <w:right w:val="nil"/>
            </w:tcBorders>
            <w:shd w:val="clear" w:color="auto" w:fill="auto"/>
            <w:noWrap/>
            <w:vAlign w:val="bottom"/>
            <w:hideMark/>
          </w:tcPr>
          <w:p w14:paraId="207EAF4F"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-66.4%</w:t>
            </w:r>
          </w:p>
        </w:tc>
      </w:tr>
      <w:tr w:rsidR="00F7725C" w:rsidRPr="004C66D9" w14:paraId="33081AEE"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384B7DA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43208A05"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-26.4%</w:t>
            </w:r>
          </w:p>
        </w:tc>
        <w:tc>
          <w:tcPr>
            <w:tcW w:w="1080" w:type="dxa"/>
            <w:tcBorders>
              <w:top w:val="nil"/>
              <w:left w:val="nil"/>
              <w:bottom w:val="nil"/>
              <w:right w:val="nil"/>
            </w:tcBorders>
            <w:shd w:val="clear" w:color="auto" w:fill="auto"/>
            <w:noWrap/>
            <w:vAlign w:val="bottom"/>
            <w:hideMark/>
          </w:tcPr>
          <w:p w14:paraId="525BC28C"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-0.8%</w:t>
            </w:r>
          </w:p>
        </w:tc>
        <w:tc>
          <w:tcPr>
            <w:tcW w:w="920" w:type="dxa"/>
            <w:tcBorders>
              <w:top w:val="nil"/>
              <w:left w:val="nil"/>
              <w:bottom w:val="nil"/>
              <w:right w:val="nil"/>
            </w:tcBorders>
            <w:shd w:val="clear" w:color="auto" w:fill="auto"/>
            <w:noWrap/>
            <w:vAlign w:val="bottom"/>
            <w:hideMark/>
          </w:tcPr>
          <w:p w14:paraId="254361CF"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-57.7%</w:t>
            </w:r>
          </w:p>
        </w:tc>
        <w:tc>
          <w:tcPr>
            <w:tcW w:w="1184" w:type="dxa"/>
            <w:tcBorders>
              <w:top w:val="nil"/>
              <w:left w:val="nil"/>
              <w:bottom w:val="nil"/>
              <w:right w:val="nil"/>
            </w:tcBorders>
            <w:shd w:val="clear" w:color="auto" w:fill="auto"/>
            <w:noWrap/>
            <w:vAlign w:val="bottom"/>
            <w:hideMark/>
          </w:tcPr>
          <w:p w14:paraId="250BF9B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23.6%</w:t>
            </w:r>
          </w:p>
        </w:tc>
        <w:tc>
          <w:tcPr>
            <w:tcW w:w="1136" w:type="dxa"/>
            <w:tcBorders>
              <w:top w:val="nil"/>
              <w:left w:val="nil"/>
              <w:bottom w:val="nil"/>
              <w:right w:val="nil"/>
            </w:tcBorders>
            <w:shd w:val="clear" w:color="auto" w:fill="auto"/>
            <w:noWrap/>
            <w:vAlign w:val="bottom"/>
            <w:hideMark/>
          </w:tcPr>
          <w:p w14:paraId="5777F88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-28.5%</w:t>
            </w:r>
          </w:p>
        </w:tc>
        <w:tc>
          <w:tcPr>
            <w:tcW w:w="1017" w:type="dxa"/>
            <w:tcBorders>
              <w:top w:val="nil"/>
              <w:left w:val="nil"/>
              <w:bottom w:val="nil"/>
              <w:right w:val="nil"/>
            </w:tcBorders>
            <w:shd w:val="clear" w:color="auto" w:fill="auto"/>
            <w:noWrap/>
            <w:vAlign w:val="bottom"/>
            <w:hideMark/>
          </w:tcPr>
          <w:p w14:paraId="308680C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-29.0%</w:t>
            </w:r>
          </w:p>
        </w:tc>
      </w:tr>
      <w:tr w:rsidR="00F7725C" w:rsidRPr="004C66D9" w14:paraId="49FC0DC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58FDE9DC" w14:textId="77777777" w:rsidR="00F7725C" w:rsidRPr="004C66D9" w:rsidRDefault="00F7725C" w:rsidP="00E72162">
            <w:pPr>
              <w:rPr>
                <w:rFonts w:cstheme="minorHAnsi"/>
                <w:b/>
                <w:bCs/>
                <w:color w:val="000000"/>
                <w:sz w:val="22"/>
                <w:szCs w:val="22"/>
              </w:rPr>
            </w:pPr>
            <w:r w:rsidRPr="004C66D9">
              <w:rPr>
                <w:rFonts w:cstheme="minorHAnsi"/>
                <w:b/>
                <w:bCs/>
                <w:color w:val="000000"/>
                <w:sz w:val="22"/>
                <w:szCs w:val="22"/>
              </w:rPr>
              <w:t>Days per Person</w:t>
            </w:r>
          </w:p>
        </w:tc>
        <w:tc>
          <w:tcPr>
            <w:tcW w:w="840" w:type="dxa"/>
            <w:tcBorders>
              <w:top w:val="nil"/>
              <w:left w:val="nil"/>
              <w:bottom w:val="nil"/>
              <w:right w:val="nil"/>
            </w:tcBorders>
            <w:shd w:val="clear" w:color="auto" w:fill="auto"/>
            <w:noWrap/>
            <w:vAlign w:val="bottom"/>
            <w:hideMark/>
          </w:tcPr>
          <w:p w14:paraId="20018F1D" w14:textId="77777777" w:rsidR="00F7725C" w:rsidRPr="004C66D9"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76DC1E7A" w14:textId="77777777" w:rsidR="00F7725C" w:rsidRPr="004C66D9"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758A3171" w14:textId="77777777" w:rsidR="00F7725C" w:rsidRPr="004C66D9"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5197B775" w14:textId="77777777" w:rsidR="00F7725C" w:rsidRPr="004C66D9" w:rsidRDefault="00F7725C" w:rsidP="00E72162">
            <w:pPr>
              <w:rPr>
                <w:rFonts w:cstheme="minorHAnsi"/>
                <w:sz w:val="22"/>
                <w:szCs w:val="22"/>
              </w:rPr>
            </w:pPr>
          </w:p>
        </w:tc>
        <w:tc>
          <w:tcPr>
            <w:tcW w:w="1136" w:type="dxa"/>
            <w:tcBorders>
              <w:top w:val="nil"/>
              <w:left w:val="nil"/>
              <w:bottom w:val="nil"/>
              <w:right w:val="nil"/>
            </w:tcBorders>
            <w:shd w:val="clear" w:color="auto" w:fill="auto"/>
            <w:noWrap/>
            <w:vAlign w:val="bottom"/>
            <w:hideMark/>
          </w:tcPr>
          <w:p w14:paraId="4465E3A3" w14:textId="77777777" w:rsidR="00F7725C" w:rsidRPr="004C66D9"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13DABFC8" w14:textId="77777777" w:rsidR="00F7725C" w:rsidRPr="004C66D9" w:rsidRDefault="00F7725C" w:rsidP="00E72162">
            <w:pPr>
              <w:rPr>
                <w:rFonts w:cstheme="minorHAnsi"/>
                <w:sz w:val="22"/>
                <w:szCs w:val="22"/>
              </w:rPr>
            </w:pPr>
          </w:p>
        </w:tc>
      </w:tr>
      <w:tr w:rsidR="00F7725C" w:rsidRPr="004C66D9" w14:paraId="4C9ED098" w14:textId="77777777" w:rsidTr="00E72162">
        <w:trPr>
          <w:trHeight w:val="300"/>
          <w:jc w:val="center"/>
        </w:trPr>
        <w:tc>
          <w:tcPr>
            <w:tcW w:w="2400" w:type="dxa"/>
            <w:tcBorders>
              <w:top w:val="nil"/>
              <w:left w:val="nil"/>
              <w:bottom w:val="nil"/>
              <w:right w:val="nil"/>
            </w:tcBorders>
            <w:shd w:val="clear" w:color="auto" w:fill="auto"/>
            <w:noWrap/>
            <w:vAlign w:val="bottom"/>
            <w:hideMark/>
          </w:tcPr>
          <w:p w14:paraId="65A99F59"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753168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26.4%</w:t>
            </w:r>
          </w:p>
        </w:tc>
        <w:tc>
          <w:tcPr>
            <w:tcW w:w="1080" w:type="dxa"/>
            <w:tcBorders>
              <w:top w:val="nil"/>
              <w:left w:val="nil"/>
              <w:bottom w:val="nil"/>
              <w:right w:val="nil"/>
            </w:tcBorders>
            <w:shd w:val="clear" w:color="auto" w:fill="auto"/>
            <w:noWrap/>
            <w:vAlign w:val="bottom"/>
            <w:hideMark/>
          </w:tcPr>
          <w:p w14:paraId="0994739E"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5.5%</w:t>
            </w:r>
          </w:p>
        </w:tc>
        <w:tc>
          <w:tcPr>
            <w:tcW w:w="920" w:type="dxa"/>
            <w:tcBorders>
              <w:top w:val="nil"/>
              <w:left w:val="nil"/>
              <w:bottom w:val="nil"/>
              <w:right w:val="nil"/>
            </w:tcBorders>
            <w:shd w:val="clear" w:color="auto" w:fill="auto"/>
            <w:noWrap/>
            <w:vAlign w:val="bottom"/>
            <w:hideMark/>
          </w:tcPr>
          <w:p w14:paraId="1F2432D1"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-58.8%</w:t>
            </w:r>
          </w:p>
        </w:tc>
        <w:tc>
          <w:tcPr>
            <w:tcW w:w="1184" w:type="dxa"/>
            <w:tcBorders>
              <w:top w:val="nil"/>
              <w:left w:val="nil"/>
              <w:bottom w:val="nil"/>
              <w:right w:val="nil"/>
            </w:tcBorders>
            <w:shd w:val="clear" w:color="auto" w:fill="auto"/>
            <w:noWrap/>
            <w:vAlign w:val="bottom"/>
            <w:hideMark/>
          </w:tcPr>
          <w:p w14:paraId="4ABE3B2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12.4%</w:t>
            </w:r>
          </w:p>
        </w:tc>
        <w:tc>
          <w:tcPr>
            <w:tcW w:w="1136" w:type="dxa"/>
            <w:tcBorders>
              <w:top w:val="nil"/>
              <w:left w:val="nil"/>
              <w:bottom w:val="nil"/>
              <w:right w:val="nil"/>
            </w:tcBorders>
            <w:shd w:val="clear" w:color="auto" w:fill="auto"/>
            <w:noWrap/>
            <w:vAlign w:val="bottom"/>
            <w:hideMark/>
          </w:tcPr>
          <w:p w14:paraId="7EF09FC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7.6%</w:t>
            </w:r>
          </w:p>
        </w:tc>
        <w:tc>
          <w:tcPr>
            <w:tcW w:w="1017" w:type="dxa"/>
            <w:tcBorders>
              <w:top w:val="nil"/>
              <w:left w:val="nil"/>
              <w:bottom w:val="nil"/>
              <w:right w:val="nil"/>
            </w:tcBorders>
            <w:shd w:val="clear" w:color="auto" w:fill="auto"/>
            <w:noWrap/>
            <w:vAlign w:val="bottom"/>
            <w:hideMark/>
          </w:tcPr>
          <w:p w14:paraId="702EC094"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-66.0%</w:t>
            </w:r>
          </w:p>
        </w:tc>
      </w:tr>
      <w:tr w:rsidR="00F7725C" w:rsidRPr="004C66D9" w14:paraId="6515E375" w14:textId="77777777" w:rsidTr="00E72162">
        <w:trPr>
          <w:trHeight w:val="300"/>
          <w:jc w:val="center"/>
        </w:trPr>
        <w:tc>
          <w:tcPr>
            <w:tcW w:w="2400" w:type="dxa"/>
            <w:tcBorders>
              <w:top w:val="nil"/>
              <w:left w:val="nil"/>
              <w:bottom w:val="single" w:sz="4" w:space="0" w:color="auto"/>
              <w:right w:val="nil"/>
            </w:tcBorders>
            <w:shd w:val="clear" w:color="auto" w:fill="auto"/>
            <w:noWrap/>
            <w:vAlign w:val="bottom"/>
            <w:hideMark/>
          </w:tcPr>
          <w:p w14:paraId="03B5478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5C863752"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-0.8%</w:t>
            </w:r>
          </w:p>
        </w:tc>
        <w:tc>
          <w:tcPr>
            <w:tcW w:w="1080" w:type="dxa"/>
            <w:tcBorders>
              <w:top w:val="nil"/>
              <w:left w:val="nil"/>
              <w:bottom w:val="single" w:sz="4" w:space="0" w:color="auto"/>
              <w:right w:val="nil"/>
            </w:tcBorders>
            <w:shd w:val="clear" w:color="auto" w:fill="auto"/>
            <w:noWrap/>
            <w:vAlign w:val="bottom"/>
            <w:hideMark/>
          </w:tcPr>
          <w:p w14:paraId="24053BD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7.4%</w:t>
            </w:r>
          </w:p>
        </w:tc>
        <w:tc>
          <w:tcPr>
            <w:tcW w:w="920" w:type="dxa"/>
            <w:tcBorders>
              <w:top w:val="nil"/>
              <w:left w:val="nil"/>
              <w:bottom w:val="single" w:sz="4" w:space="0" w:color="auto"/>
              <w:right w:val="nil"/>
            </w:tcBorders>
            <w:shd w:val="clear" w:color="auto" w:fill="auto"/>
            <w:noWrap/>
            <w:vAlign w:val="bottom"/>
            <w:hideMark/>
          </w:tcPr>
          <w:p w14:paraId="77D5E5B8"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-10.6%</w:t>
            </w:r>
          </w:p>
        </w:tc>
        <w:tc>
          <w:tcPr>
            <w:tcW w:w="1184" w:type="dxa"/>
            <w:tcBorders>
              <w:top w:val="nil"/>
              <w:left w:val="nil"/>
              <w:bottom w:val="single" w:sz="4" w:space="0" w:color="auto"/>
              <w:right w:val="nil"/>
            </w:tcBorders>
            <w:shd w:val="clear" w:color="auto" w:fill="auto"/>
            <w:noWrap/>
            <w:vAlign w:val="bottom"/>
            <w:hideMark/>
          </w:tcPr>
          <w:p w14:paraId="63DAC7A4" w14:textId="77777777" w:rsidR="00F7725C" w:rsidRPr="00793F1D" w:rsidRDefault="00F7725C" w:rsidP="00E72162">
            <w:pPr>
              <w:jc w:val="right"/>
              <w:rPr>
                <w:rFonts w:cstheme="minorHAnsi"/>
                <w:b/>
                <w:bCs/>
                <w:i/>
                <w:color w:val="000000"/>
                <w:sz w:val="22"/>
                <w:szCs w:val="22"/>
              </w:rPr>
            </w:pPr>
            <w:r w:rsidRPr="00793F1D">
              <w:rPr>
                <w:rFonts w:cstheme="minorHAnsi"/>
                <w:b/>
                <w:bCs/>
                <w:i/>
                <w:color w:val="000000"/>
                <w:sz w:val="22"/>
                <w:szCs w:val="22"/>
              </w:rPr>
              <w:t>97.8%</w:t>
            </w:r>
          </w:p>
        </w:tc>
        <w:tc>
          <w:tcPr>
            <w:tcW w:w="1136" w:type="dxa"/>
            <w:tcBorders>
              <w:top w:val="nil"/>
              <w:left w:val="nil"/>
              <w:bottom w:val="single" w:sz="4" w:space="0" w:color="auto"/>
              <w:right w:val="nil"/>
            </w:tcBorders>
            <w:shd w:val="clear" w:color="auto" w:fill="auto"/>
            <w:noWrap/>
            <w:vAlign w:val="bottom"/>
            <w:hideMark/>
          </w:tcPr>
          <w:p w14:paraId="5B29CBE6"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0.0%</w:t>
            </w:r>
          </w:p>
        </w:tc>
        <w:tc>
          <w:tcPr>
            <w:tcW w:w="1017" w:type="dxa"/>
            <w:tcBorders>
              <w:top w:val="nil"/>
              <w:left w:val="nil"/>
              <w:bottom w:val="single" w:sz="4" w:space="0" w:color="auto"/>
              <w:right w:val="nil"/>
            </w:tcBorders>
            <w:shd w:val="clear" w:color="auto" w:fill="auto"/>
            <w:noWrap/>
            <w:vAlign w:val="bottom"/>
            <w:hideMark/>
          </w:tcPr>
          <w:p w14:paraId="6D8010EA" w14:textId="77777777" w:rsidR="00F7725C" w:rsidRPr="004C66D9" w:rsidRDefault="00F7725C" w:rsidP="00E72162">
            <w:pPr>
              <w:jc w:val="right"/>
              <w:rPr>
                <w:rFonts w:cstheme="minorHAnsi"/>
                <w:color w:val="000000"/>
                <w:sz w:val="22"/>
                <w:szCs w:val="22"/>
              </w:rPr>
            </w:pPr>
            <w:r w:rsidRPr="004C66D9">
              <w:rPr>
                <w:rFonts w:cstheme="minorHAnsi"/>
                <w:color w:val="000000"/>
                <w:sz w:val="22"/>
                <w:szCs w:val="22"/>
              </w:rPr>
              <w:t>69.3%</w:t>
            </w:r>
          </w:p>
        </w:tc>
      </w:tr>
    </w:tbl>
    <w:p w14:paraId="1E370C98" w14:textId="77777777" w:rsidR="00E847F0" w:rsidRPr="004C66D9" w:rsidRDefault="00E847F0" w:rsidP="00E847F0">
      <w:pPr>
        <w:rPr>
          <w:rFonts w:cstheme="minorHAnsi"/>
          <w:sz w:val="22"/>
          <w:szCs w:val="22"/>
        </w:rPr>
      </w:pPr>
    </w:p>
    <w:p w14:paraId="40EAE24F" w14:textId="77777777" w:rsidR="00E847F0" w:rsidRDefault="00E847F0" w:rsidP="00E847F0">
      <w:pPr>
        <w:rPr>
          <w:rFonts w:cstheme="minorHAnsi"/>
          <w:sz w:val="22"/>
          <w:szCs w:val="22"/>
        </w:rPr>
      </w:pPr>
      <w:r>
        <w:rPr>
          <w:rFonts w:cstheme="minorHAnsi"/>
          <w:sz w:val="22"/>
          <w:szCs w:val="22"/>
        </w:rPr>
        <w:br w:type="page"/>
      </w:r>
    </w:p>
    <w:p w14:paraId="0DF8C84B" w14:textId="5D8EB002" w:rsidR="00E847F0" w:rsidRPr="00000D4B" w:rsidRDefault="00E847F0" w:rsidP="00E847F0">
      <w:pPr>
        <w:jc w:val="center"/>
        <w:rPr>
          <w:rFonts w:cstheme="minorHAnsi"/>
          <w:b/>
          <w:bCs/>
          <w:color w:val="6A7F0F"/>
          <w:sz w:val="22"/>
          <w:szCs w:val="22"/>
        </w:rPr>
      </w:pPr>
      <w:bookmarkStart w:id="143" w:name="Appendix6_Table_A66f"/>
      <w:r w:rsidRPr="00000D4B">
        <w:rPr>
          <w:rFonts w:cstheme="minorHAnsi"/>
          <w:b/>
          <w:bCs/>
          <w:color w:val="6A7F0F"/>
          <w:sz w:val="22"/>
          <w:szCs w:val="22"/>
        </w:rPr>
        <w:t>Table A</w:t>
      </w:r>
      <w:r w:rsidR="0067134D" w:rsidRPr="00000D4B">
        <w:rPr>
          <w:rFonts w:cstheme="minorHAnsi"/>
          <w:b/>
          <w:bCs/>
          <w:color w:val="6A7F0F"/>
          <w:sz w:val="22"/>
          <w:szCs w:val="22"/>
        </w:rPr>
        <w:t>7</w:t>
      </w:r>
      <w:r w:rsidRPr="00000D4B">
        <w:rPr>
          <w:rFonts w:cstheme="minorHAnsi"/>
          <w:b/>
          <w:bCs/>
          <w:color w:val="6A7F0F"/>
          <w:sz w:val="22"/>
          <w:szCs w:val="22"/>
        </w:rPr>
        <w:t xml:space="preserve">.6f: Change in Residential Treatment Facility Service Quarterly Use and Days </w:t>
      </w:r>
    </w:p>
    <w:p w14:paraId="1C28A5B0" w14:textId="77777777" w:rsidR="00E847F0" w:rsidRPr="00000D4B" w:rsidRDefault="00E847F0" w:rsidP="00E847F0">
      <w:pPr>
        <w:jc w:val="center"/>
        <w:rPr>
          <w:rFonts w:cstheme="minorHAnsi"/>
          <w:b/>
          <w:bCs/>
          <w:color w:val="6A7F0F"/>
          <w:sz w:val="22"/>
          <w:szCs w:val="22"/>
        </w:rPr>
      </w:pPr>
      <w:r w:rsidRPr="00000D4B">
        <w:rPr>
          <w:rFonts w:cstheme="minorHAnsi"/>
          <w:b/>
          <w:bCs/>
          <w:color w:val="6A7F0F"/>
          <w:sz w:val="22"/>
          <w:szCs w:val="22"/>
        </w:rPr>
        <w:t>Overall and by Place of Residence for CCBHC OHP Members</w:t>
      </w:r>
    </w:p>
    <w:bookmarkEnd w:id="143"/>
    <w:p w14:paraId="7F119A35" w14:textId="77777777" w:rsidR="00E847F0" w:rsidRPr="004C66D9" w:rsidRDefault="00E847F0" w:rsidP="00E847F0">
      <w:pPr>
        <w:rPr>
          <w:rFonts w:cstheme="minorHAnsi"/>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E60BC4" w14:paraId="374F3955" w14:textId="77777777" w:rsidTr="00E72162">
        <w:trPr>
          <w:trHeight w:val="290"/>
          <w:jc w:val="center"/>
        </w:trPr>
        <w:tc>
          <w:tcPr>
            <w:tcW w:w="2707" w:type="dxa"/>
            <w:tcBorders>
              <w:top w:val="nil"/>
              <w:left w:val="nil"/>
              <w:bottom w:val="nil"/>
              <w:right w:val="nil"/>
            </w:tcBorders>
          </w:tcPr>
          <w:p w14:paraId="257F1E08" w14:textId="77777777" w:rsidR="00F7725C" w:rsidRPr="00E60BC4" w:rsidRDefault="00F7725C" w:rsidP="00E72162">
            <w:pPr>
              <w:autoSpaceDE w:val="0"/>
              <w:autoSpaceDN w:val="0"/>
              <w:adjustRightInd w:val="0"/>
              <w:jc w:val="right"/>
              <w:rPr>
                <w:rFonts w:ascii="Calibri" w:hAnsi="Calibri" w:cs="Calibri"/>
                <w:color w:val="000000"/>
                <w:sz w:val="22"/>
                <w:szCs w:val="22"/>
              </w:rPr>
            </w:pPr>
            <w:r>
              <w:rPr>
                <w:rFonts w:cstheme="minorHAnsi"/>
                <w:b/>
                <w:sz w:val="22"/>
                <w:szCs w:val="22"/>
              </w:rPr>
              <w:br w:type="page"/>
            </w:r>
          </w:p>
        </w:tc>
        <w:tc>
          <w:tcPr>
            <w:tcW w:w="951" w:type="dxa"/>
            <w:tcBorders>
              <w:top w:val="nil"/>
              <w:left w:val="nil"/>
              <w:bottom w:val="nil"/>
              <w:right w:val="nil"/>
            </w:tcBorders>
          </w:tcPr>
          <w:p w14:paraId="18AFD23B"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2C20D330"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0252A34C"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Rural or</w:t>
            </w:r>
          </w:p>
        </w:tc>
      </w:tr>
      <w:tr w:rsidR="00F7725C" w:rsidRPr="00E60BC4" w14:paraId="04379A6F" w14:textId="77777777" w:rsidTr="00E72162">
        <w:trPr>
          <w:trHeight w:val="290"/>
          <w:jc w:val="center"/>
        </w:trPr>
        <w:tc>
          <w:tcPr>
            <w:tcW w:w="2707" w:type="dxa"/>
            <w:tcBorders>
              <w:top w:val="nil"/>
              <w:left w:val="nil"/>
              <w:bottom w:val="single" w:sz="6" w:space="0" w:color="auto"/>
              <w:right w:val="nil"/>
            </w:tcBorders>
          </w:tcPr>
          <w:p w14:paraId="7557377D"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Resid. Trt. Facility (RTF)</w:t>
            </w:r>
          </w:p>
        </w:tc>
        <w:tc>
          <w:tcPr>
            <w:tcW w:w="951" w:type="dxa"/>
            <w:tcBorders>
              <w:top w:val="nil"/>
              <w:left w:val="nil"/>
              <w:bottom w:val="single" w:sz="6" w:space="0" w:color="auto"/>
              <w:right w:val="nil"/>
            </w:tcBorders>
          </w:tcPr>
          <w:p w14:paraId="2DF89D70"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35BCA23D"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20A8BBC1"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Remote</w:t>
            </w:r>
          </w:p>
        </w:tc>
      </w:tr>
      <w:tr w:rsidR="00F7725C" w:rsidRPr="00E60BC4" w14:paraId="02412618" w14:textId="77777777" w:rsidTr="00E72162">
        <w:trPr>
          <w:trHeight w:val="290"/>
          <w:jc w:val="center"/>
        </w:trPr>
        <w:tc>
          <w:tcPr>
            <w:tcW w:w="2707" w:type="dxa"/>
            <w:tcBorders>
              <w:top w:val="nil"/>
              <w:left w:val="nil"/>
              <w:bottom w:val="nil"/>
              <w:right w:val="nil"/>
            </w:tcBorders>
          </w:tcPr>
          <w:p w14:paraId="642C3418"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Mental Health</w:t>
            </w:r>
          </w:p>
        </w:tc>
        <w:tc>
          <w:tcPr>
            <w:tcW w:w="951" w:type="dxa"/>
            <w:tcBorders>
              <w:top w:val="nil"/>
              <w:left w:val="nil"/>
              <w:bottom w:val="nil"/>
              <w:right w:val="nil"/>
            </w:tcBorders>
          </w:tcPr>
          <w:p w14:paraId="0ED7572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6377C9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9B3654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26F64A15" w14:textId="77777777" w:rsidTr="00E72162">
        <w:trPr>
          <w:trHeight w:val="290"/>
          <w:jc w:val="center"/>
        </w:trPr>
        <w:tc>
          <w:tcPr>
            <w:tcW w:w="2707" w:type="dxa"/>
            <w:tcBorders>
              <w:top w:val="nil"/>
              <w:left w:val="nil"/>
              <w:bottom w:val="nil"/>
              <w:right w:val="nil"/>
            </w:tcBorders>
          </w:tcPr>
          <w:p w14:paraId="185F1D45"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13F29C8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D6C14A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6611F3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35C1EDFA" w14:textId="77777777" w:rsidTr="00E72162">
        <w:trPr>
          <w:trHeight w:val="290"/>
          <w:jc w:val="center"/>
        </w:trPr>
        <w:tc>
          <w:tcPr>
            <w:tcW w:w="2707" w:type="dxa"/>
            <w:tcBorders>
              <w:top w:val="nil"/>
              <w:left w:val="nil"/>
              <w:bottom w:val="nil"/>
              <w:right w:val="nil"/>
            </w:tcBorders>
          </w:tcPr>
          <w:p w14:paraId="5184D2B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6F9443BD"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38.5%</w:t>
            </w:r>
          </w:p>
        </w:tc>
        <w:tc>
          <w:tcPr>
            <w:tcW w:w="1032" w:type="dxa"/>
            <w:tcBorders>
              <w:top w:val="nil"/>
              <w:left w:val="nil"/>
              <w:bottom w:val="nil"/>
              <w:right w:val="nil"/>
            </w:tcBorders>
          </w:tcPr>
          <w:p w14:paraId="25F7AFA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53.9%</w:t>
            </w:r>
          </w:p>
        </w:tc>
        <w:tc>
          <w:tcPr>
            <w:tcW w:w="1032" w:type="dxa"/>
            <w:tcBorders>
              <w:top w:val="nil"/>
              <w:left w:val="nil"/>
              <w:bottom w:val="nil"/>
              <w:right w:val="nil"/>
            </w:tcBorders>
          </w:tcPr>
          <w:p w14:paraId="2A19AB0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7.6%</w:t>
            </w:r>
          </w:p>
        </w:tc>
      </w:tr>
      <w:tr w:rsidR="00F7725C" w:rsidRPr="00E60BC4" w14:paraId="4BE3529D" w14:textId="77777777" w:rsidTr="00E72162">
        <w:trPr>
          <w:trHeight w:val="290"/>
          <w:jc w:val="center"/>
        </w:trPr>
        <w:tc>
          <w:tcPr>
            <w:tcW w:w="2707" w:type="dxa"/>
            <w:tcBorders>
              <w:top w:val="nil"/>
              <w:left w:val="nil"/>
              <w:bottom w:val="nil"/>
              <w:right w:val="nil"/>
            </w:tcBorders>
          </w:tcPr>
          <w:p w14:paraId="6BD3548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255EAE8A"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49.3%</w:t>
            </w:r>
          </w:p>
        </w:tc>
        <w:tc>
          <w:tcPr>
            <w:tcW w:w="1032" w:type="dxa"/>
            <w:tcBorders>
              <w:top w:val="nil"/>
              <w:left w:val="nil"/>
              <w:bottom w:val="nil"/>
              <w:right w:val="nil"/>
            </w:tcBorders>
          </w:tcPr>
          <w:p w14:paraId="3C5AA266"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108.7%</w:t>
            </w:r>
          </w:p>
        </w:tc>
        <w:tc>
          <w:tcPr>
            <w:tcW w:w="1032" w:type="dxa"/>
            <w:tcBorders>
              <w:top w:val="nil"/>
              <w:left w:val="nil"/>
              <w:bottom w:val="nil"/>
              <w:right w:val="nil"/>
            </w:tcBorders>
          </w:tcPr>
          <w:p w14:paraId="7C14FAB8"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-28.5%</w:t>
            </w:r>
          </w:p>
        </w:tc>
      </w:tr>
      <w:tr w:rsidR="00F7725C" w:rsidRPr="00E60BC4" w14:paraId="4B9CBD5E" w14:textId="77777777" w:rsidTr="00E72162">
        <w:trPr>
          <w:trHeight w:val="290"/>
          <w:jc w:val="center"/>
        </w:trPr>
        <w:tc>
          <w:tcPr>
            <w:tcW w:w="2707" w:type="dxa"/>
            <w:tcBorders>
              <w:top w:val="nil"/>
              <w:left w:val="nil"/>
              <w:bottom w:val="nil"/>
              <w:right w:val="nil"/>
            </w:tcBorders>
          </w:tcPr>
          <w:p w14:paraId="6AE52EEB"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Days per Person</w:t>
            </w:r>
          </w:p>
        </w:tc>
        <w:tc>
          <w:tcPr>
            <w:tcW w:w="951" w:type="dxa"/>
            <w:tcBorders>
              <w:top w:val="nil"/>
              <w:left w:val="nil"/>
              <w:bottom w:val="nil"/>
              <w:right w:val="nil"/>
            </w:tcBorders>
          </w:tcPr>
          <w:p w14:paraId="7545DE0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464ECD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EDEFCF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69CCD49D" w14:textId="77777777" w:rsidTr="00E72162">
        <w:trPr>
          <w:trHeight w:val="290"/>
          <w:jc w:val="center"/>
        </w:trPr>
        <w:tc>
          <w:tcPr>
            <w:tcW w:w="2707" w:type="dxa"/>
            <w:tcBorders>
              <w:top w:val="nil"/>
              <w:left w:val="nil"/>
              <w:bottom w:val="nil"/>
              <w:right w:val="nil"/>
            </w:tcBorders>
          </w:tcPr>
          <w:p w14:paraId="5719AD5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0F1CD06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6.5%</w:t>
            </w:r>
          </w:p>
        </w:tc>
        <w:tc>
          <w:tcPr>
            <w:tcW w:w="1032" w:type="dxa"/>
            <w:tcBorders>
              <w:top w:val="nil"/>
              <w:left w:val="nil"/>
              <w:bottom w:val="nil"/>
              <w:right w:val="nil"/>
            </w:tcBorders>
          </w:tcPr>
          <w:p w14:paraId="5F73F6C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3.7%</w:t>
            </w:r>
          </w:p>
        </w:tc>
        <w:tc>
          <w:tcPr>
            <w:tcW w:w="1032" w:type="dxa"/>
            <w:tcBorders>
              <w:top w:val="nil"/>
              <w:left w:val="nil"/>
              <w:bottom w:val="nil"/>
              <w:right w:val="nil"/>
            </w:tcBorders>
          </w:tcPr>
          <w:p w14:paraId="7ECF17B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267.7%</w:t>
            </w:r>
          </w:p>
        </w:tc>
      </w:tr>
      <w:tr w:rsidR="00F7725C" w:rsidRPr="00E60BC4" w14:paraId="0ACA2CAD" w14:textId="77777777" w:rsidTr="00E72162">
        <w:trPr>
          <w:trHeight w:val="290"/>
          <w:jc w:val="center"/>
        </w:trPr>
        <w:tc>
          <w:tcPr>
            <w:tcW w:w="2707" w:type="dxa"/>
            <w:tcBorders>
              <w:top w:val="nil"/>
              <w:left w:val="nil"/>
              <w:bottom w:val="nil"/>
              <w:right w:val="nil"/>
            </w:tcBorders>
          </w:tcPr>
          <w:p w14:paraId="720579D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572092D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26.0%</w:t>
            </w:r>
          </w:p>
        </w:tc>
        <w:tc>
          <w:tcPr>
            <w:tcW w:w="1032" w:type="dxa"/>
            <w:tcBorders>
              <w:top w:val="nil"/>
              <w:left w:val="nil"/>
              <w:bottom w:val="nil"/>
              <w:right w:val="nil"/>
            </w:tcBorders>
          </w:tcPr>
          <w:p w14:paraId="17ADF24A"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51.0%</w:t>
            </w:r>
          </w:p>
        </w:tc>
        <w:tc>
          <w:tcPr>
            <w:tcW w:w="1032" w:type="dxa"/>
            <w:tcBorders>
              <w:top w:val="nil"/>
              <w:left w:val="nil"/>
              <w:bottom w:val="nil"/>
              <w:right w:val="nil"/>
            </w:tcBorders>
          </w:tcPr>
          <w:p w14:paraId="0734AC7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-10.2%</w:t>
            </w:r>
          </w:p>
        </w:tc>
      </w:tr>
      <w:tr w:rsidR="00F7725C" w:rsidRPr="00E60BC4" w14:paraId="3ACC9503" w14:textId="77777777" w:rsidTr="00E72162">
        <w:trPr>
          <w:trHeight w:val="290"/>
          <w:jc w:val="center"/>
        </w:trPr>
        <w:tc>
          <w:tcPr>
            <w:tcW w:w="2707" w:type="dxa"/>
            <w:tcBorders>
              <w:top w:val="nil"/>
              <w:left w:val="nil"/>
              <w:bottom w:val="nil"/>
              <w:right w:val="nil"/>
            </w:tcBorders>
          </w:tcPr>
          <w:p w14:paraId="0920A698"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Substance Use</w:t>
            </w:r>
          </w:p>
        </w:tc>
        <w:tc>
          <w:tcPr>
            <w:tcW w:w="951" w:type="dxa"/>
            <w:tcBorders>
              <w:top w:val="nil"/>
              <w:left w:val="nil"/>
              <w:bottom w:val="nil"/>
              <w:right w:val="nil"/>
            </w:tcBorders>
          </w:tcPr>
          <w:p w14:paraId="44A3BC1B"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8743C10"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E310CF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214D5E56" w14:textId="77777777" w:rsidTr="00E72162">
        <w:trPr>
          <w:trHeight w:val="290"/>
          <w:jc w:val="center"/>
        </w:trPr>
        <w:tc>
          <w:tcPr>
            <w:tcW w:w="2707" w:type="dxa"/>
            <w:tcBorders>
              <w:top w:val="nil"/>
              <w:left w:val="nil"/>
              <w:bottom w:val="nil"/>
              <w:right w:val="nil"/>
            </w:tcBorders>
          </w:tcPr>
          <w:p w14:paraId="557D7007"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Quarterly Use</w:t>
            </w:r>
          </w:p>
        </w:tc>
        <w:tc>
          <w:tcPr>
            <w:tcW w:w="951" w:type="dxa"/>
            <w:tcBorders>
              <w:top w:val="nil"/>
              <w:left w:val="nil"/>
              <w:bottom w:val="nil"/>
              <w:right w:val="nil"/>
            </w:tcBorders>
          </w:tcPr>
          <w:p w14:paraId="483F918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9BE27A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F0516E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7B66AF32" w14:textId="77777777" w:rsidTr="00E72162">
        <w:trPr>
          <w:trHeight w:val="290"/>
          <w:jc w:val="center"/>
        </w:trPr>
        <w:tc>
          <w:tcPr>
            <w:tcW w:w="2707" w:type="dxa"/>
            <w:tcBorders>
              <w:top w:val="nil"/>
              <w:left w:val="nil"/>
              <w:bottom w:val="nil"/>
              <w:right w:val="nil"/>
            </w:tcBorders>
          </w:tcPr>
          <w:p w14:paraId="3028D3B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294F28D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-19.0%</w:t>
            </w:r>
          </w:p>
        </w:tc>
        <w:tc>
          <w:tcPr>
            <w:tcW w:w="1032" w:type="dxa"/>
            <w:tcBorders>
              <w:top w:val="nil"/>
              <w:left w:val="nil"/>
              <w:bottom w:val="nil"/>
              <w:right w:val="nil"/>
            </w:tcBorders>
          </w:tcPr>
          <w:p w14:paraId="5CDD8DC6"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-33.7%</w:t>
            </w:r>
          </w:p>
        </w:tc>
        <w:tc>
          <w:tcPr>
            <w:tcW w:w="1032" w:type="dxa"/>
            <w:tcBorders>
              <w:top w:val="nil"/>
              <w:left w:val="nil"/>
              <w:bottom w:val="nil"/>
              <w:right w:val="nil"/>
            </w:tcBorders>
          </w:tcPr>
          <w:p w14:paraId="3A94D97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12.7%</w:t>
            </w:r>
          </w:p>
        </w:tc>
      </w:tr>
      <w:tr w:rsidR="00F7725C" w:rsidRPr="00E60BC4" w14:paraId="03DA40AD" w14:textId="77777777" w:rsidTr="00E72162">
        <w:trPr>
          <w:trHeight w:val="290"/>
          <w:jc w:val="center"/>
        </w:trPr>
        <w:tc>
          <w:tcPr>
            <w:tcW w:w="2707" w:type="dxa"/>
            <w:tcBorders>
              <w:top w:val="nil"/>
              <w:left w:val="nil"/>
              <w:bottom w:val="nil"/>
              <w:right w:val="nil"/>
            </w:tcBorders>
          </w:tcPr>
          <w:p w14:paraId="2D5C07A1"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3E9D65B5"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-26.4%</w:t>
            </w:r>
          </w:p>
        </w:tc>
        <w:tc>
          <w:tcPr>
            <w:tcW w:w="1032" w:type="dxa"/>
            <w:tcBorders>
              <w:top w:val="nil"/>
              <w:left w:val="nil"/>
              <w:bottom w:val="nil"/>
              <w:right w:val="nil"/>
            </w:tcBorders>
          </w:tcPr>
          <w:p w14:paraId="3753AFC4"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-41.5%</w:t>
            </w:r>
          </w:p>
        </w:tc>
        <w:tc>
          <w:tcPr>
            <w:tcW w:w="1032" w:type="dxa"/>
            <w:tcBorders>
              <w:top w:val="nil"/>
              <w:left w:val="nil"/>
              <w:bottom w:val="nil"/>
              <w:right w:val="nil"/>
            </w:tcBorders>
          </w:tcPr>
          <w:p w14:paraId="208AB1F8"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10.4%</w:t>
            </w:r>
          </w:p>
        </w:tc>
      </w:tr>
      <w:tr w:rsidR="00F7725C" w:rsidRPr="00E60BC4" w14:paraId="14ABAF92" w14:textId="77777777" w:rsidTr="00E72162">
        <w:trPr>
          <w:trHeight w:val="290"/>
          <w:jc w:val="center"/>
        </w:trPr>
        <w:tc>
          <w:tcPr>
            <w:tcW w:w="2707" w:type="dxa"/>
            <w:tcBorders>
              <w:top w:val="nil"/>
              <w:left w:val="nil"/>
              <w:bottom w:val="nil"/>
              <w:right w:val="nil"/>
            </w:tcBorders>
          </w:tcPr>
          <w:p w14:paraId="66EFEE8F"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Days per Person</w:t>
            </w:r>
          </w:p>
        </w:tc>
        <w:tc>
          <w:tcPr>
            <w:tcW w:w="951" w:type="dxa"/>
            <w:tcBorders>
              <w:top w:val="nil"/>
              <w:left w:val="nil"/>
              <w:bottom w:val="nil"/>
              <w:right w:val="nil"/>
            </w:tcBorders>
          </w:tcPr>
          <w:p w14:paraId="1D9FC94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5F88C4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B29FBB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5F03BEE6" w14:textId="77777777" w:rsidTr="00E72162">
        <w:trPr>
          <w:trHeight w:val="290"/>
          <w:jc w:val="center"/>
        </w:trPr>
        <w:tc>
          <w:tcPr>
            <w:tcW w:w="2707" w:type="dxa"/>
            <w:tcBorders>
              <w:top w:val="nil"/>
              <w:left w:val="nil"/>
              <w:bottom w:val="nil"/>
              <w:right w:val="nil"/>
            </w:tcBorders>
          </w:tcPr>
          <w:p w14:paraId="197B3E2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280BDD9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26.4%</w:t>
            </w:r>
          </w:p>
        </w:tc>
        <w:tc>
          <w:tcPr>
            <w:tcW w:w="1032" w:type="dxa"/>
            <w:tcBorders>
              <w:top w:val="nil"/>
              <w:left w:val="nil"/>
              <w:bottom w:val="nil"/>
              <w:right w:val="nil"/>
            </w:tcBorders>
          </w:tcPr>
          <w:p w14:paraId="6A3FF27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-13.9%</w:t>
            </w:r>
          </w:p>
        </w:tc>
        <w:tc>
          <w:tcPr>
            <w:tcW w:w="1032" w:type="dxa"/>
            <w:tcBorders>
              <w:top w:val="nil"/>
              <w:left w:val="nil"/>
              <w:bottom w:val="nil"/>
              <w:right w:val="nil"/>
            </w:tcBorders>
          </w:tcPr>
          <w:p w14:paraId="3246BE6A"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20.3%</w:t>
            </w:r>
          </w:p>
        </w:tc>
      </w:tr>
      <w:tr w:rsidR="00F7725C" w:rsidRPr="00E60BC4" w14:paraId="45AE37B4" w14:textId="77777777" w:rsidTr="00E72162">
        <w:trPr>
          <w:trHeight w:val="290"/>
          <w:jc w:val="center"/>
        </w:trPr>
        <w:tc>
          <w:tcPr>
            <w:tcW w:w="2707" w:type="dxa"/>
            <w:tcBorders>
              <w:top w:val="nil"/>
              <w:left w:val="nil"/>
              <w:bottom w:val="single" w:sz="6" w:space="0" w:color="auto"/>
              <w:right w:val="nil"/>
            </w:tcBorders>
          </w:tcPr>
          <w:p w14:paraId="2DBF67F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2303D2C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-0.8%</w:t>
            </w:r>
          </w:p>
        </w:tc>
        <w:tc>
          <w:tcPr>
            <w:tcW w:w="1032" w:type="dxa"/>
            <w:tcBorders>
              <w:top w:val="nil"/>
              <w:left w:val="nil"/>
              <w:bottom w:val="single" w:sz="6" w:space="0" w:color="auto"/>
              <w:right w:val="nil"/>
            </w:tcBorders>
          </w:tcPr>
          <w:p w14:paraId="64BA260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26.9%</w:t>
            </w:r>
          </w:p>
        </w:tc>
        <w:tc>
          <w:tcPr>
            <w:tcW w:w="1032" w:type="dxa"/>
            <w:tcBorders>
              <w:top w:val="nil"/>
              <w:left w:val="nil"/>
              <w:bottom w:val="single" w:sz="6" w:space="0" w:color="auto"/>
              <w:right w:val="nil"/>
            </w:tcBorders>
          </w:tcPr>
          <w:p w14:paraId="5451156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47.0%</w:t>
            </w:r>
          </w:p>
        </w:tc>
      </w:tr>
    </w:tbl>
    <w:p w14:paraId="29FFB1AF" w14:textId="77777777" w:rsidR="00E847F0" w:rsidRDefault="00E847F0" w:rsidP="00E847F0">
      <w:pPr>
        <w:rPr>
          <w:rFonts w:cstheme="minorHAnsi"/>
          <w:b/>
          <w:sz w:val="22"/>
          <w:szCs w:val="22"/>
        </w:rPr>
      </w:pPr>
    </w:p>
    <w:p w14:paraId="51504EA8" w14:textId="77777777" w:rsidR="00E847F0" w:rsidRDefault="00E847F0" w:rsidP="00E847F0">
      <w:pPr>
        <w:rPr>
          <w:rFonts w:eastAsia="Calibri" w:cstheme="minorHAnsi"/>
          <w:sz w:val="22"/>
          <w:szCs w:val="22"/>
          <w:u w:val="single"/>
        </w:rPr>
      </w:pPr>
      <w:r>
        <w:rPr>
          <w:rFonts w:eastAsia="Calibri" w:cstheme="minorHAnsi"/>
          <w:sz w:val="22"/>
          <w:szCs w:val="22"/>
          <w:u w:val="single"/>
        </w:rPr>
        <w:br w:type="page"/>
      </w:r>
    </w:p>
    <w:p w14:paraId="6A4BFE70" w14:textId="01AA91A7" w:rsidR="00E839A9" w:rsidRPr="00000D4B" w:rsidRDefault="00E847F0" w:rsidP="00E847F0">
      <w:pPr>
        <w:jc w:val="center"/>
        <w:rPr>
          <w:rFonts w:eastAsia="Calibri" w:cstheme="minorHAnsi"/>
          <w:b/>
          <w:bCs/>
          <w:color w:val="6A7F0F"/>
          <w:sz w:val="22"/>
          <w:szCs w:val="22"/>
        </w:rPr>
      </w:pPr>
      <w:bookmarkStart w:id="144" w:name="Appendix6_Table_A67a"/>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.7a: Change in Expenditure Levels per Person for CCBHC OHP Members </w:t>
      </w:r>
    </w:p>
    <w:p w14:paraId="6F047A03" w14:textId="2A3BE499" w:rsidR="00E847F0" w:rsidRPr="00000D4B" w:rsidRDefault="00E847F0" w:rsidP="00E839A9">
      <w:pPr>
        <w:jc w:val="center"/>
        <w:rPr>
          <w:rFonts w:eastAsia="Calibri" w:cstheme="minorHAnsi"/>
          <w:b/>
          <w:bCs/>
          <w:color w:val="6A7F0F"/>
          <w:sz w:val="22"/>
          <w:szCs w:val="22"/>
        </w:rPr>
      </w:pPr>
      <w:r w:rsidRPr="00000D4B">
        <w:rPr>
          <w:rFonts w:eastAsia="Calibri" w:cstheme="minorHAnsi"/>
          <w:b/>
          <w:bCs/>
          <w:color w:val="6A7F0F"/>
          <w:sz w:val="22"/>
          <w:szCs w:val="22"/>
        </w:rPr>
        <w:t>by Service Type</w:t>
      </w:r>
      <w:r w:rsidR="00E839A9" w:rsidRPr="00000D4B">
        <w:rPr>
          <w:rFonts w:eastAsia="Calibri" w:cstheme="minorHAnsi"/>
          <w:b/>
          <w:bCs/>
          <w:color w:val="6A7F0F"/>
          <w:sz w:val="22"/>
          <w:szCs w:val="22"/>
        </w:rPr>
        <w:t xml:space="preserve"> </w:t>
      </w:r>
      <w:r w:rsidRPr="00000D4B">
        <w:rPr>
          <w:rFonts w:cstheme="minorHAnsi"/>
          <w:b/>
          <w:bCs/>
          <w:color w:val="6A7F0F"/>
          <w:sz w:val="22"/>
          <w:szCs w:val="22"/>
        </w:rPr>
        <w:t>Overall and by Race/Ethnicity Services</w:t>
      </w:r>
    </w:p>
    <w:bookmarkEnd w:id="144"/>
    <w:p w14:paraId="0C473203" w14:textId="21C6465D" w:rsidR="00E847F0" w:rsidRDefault="00E847F0" w:rsidP="00E847F0">
      <w:pPr>
        <w:rPr>
          <w:rFonts w:cstheme="minorHAnsi"/>
          <w:b/>
          <w:sz w:val="22"/>
          <w:szCs w:val="22"/>
        </w:rPr>
      </w:pPr>
    </w:p>
    <w:tbl>
      <w:tblPr>
        <w:tblW w:w="8461" w:type="dxa"/>
        <w:jc w:val="center"/>
        <w:tblLook w:val="04A0" w:firstRow="1" w:lastRow="0" w:firstColumn="1" w:lastColumn="0" w:noHBand="0" w:noVBand="1"/>
      </w:tblPr>
      <w:tblGrid>
        <w:gridCol w:w="2540"/>
        <w:gridCol w:w="840"/>
        <w:gridCol w:w="1080"/>
        <w:gridCol w:w="920"/>
        <w:gridCol w:w="1184"/>
        <w:gridCol w:w="880"/>
        <w:gridCol w:w="1017"/>
      </w:tblGrid>
      <w:tr w:rsidR="00F7725C" w:rsidRPr="00306062" w14:paraId="7C99884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08B8845C" w14:textId="77777777" w:rsidR="00F7725C" w:rsidRPr="00306062" w:rsidRDefault="00F7725C" w:rsidP="00E72162"/>
        </w:tc>
        <w:tc>
          <w:tcPr>
            <w:tcW w:w="840" w:type="dxa"/>
            <w:tcBorders>
              <w:top w:val="nil"/>
              <w:left w:val="nil"/>
              <w:bottom w:val="nil"/>
              <w:right w:val="nil"/>
            </w:tcBorders>
            <w:shd w:val="clear" w:color="auto" w:fill="auto"/>
            <w:noWrap/>
            <w:vAlign w:val="bottom"/>
            <w:hideMark/>
          </w:tcPr>
          <w:p w14:paraId="29BA758B" w14:textId="77777777" w:rsidR="00F7725C" w:rsidRPr="00306062" w:rsidRDefault="00F7725C" w:rsidP="00E72162">
            <w:pPr>
              <w:rPr>
                <w:sz w:val="20"/>
                <w:szCs w:val="20"/>
              </w:rPr>
            </w:pPr>
          </w:p>
        </w:tc>
        <w:tc>
          <w:tcPr>
            <w:tcW w:w="1080" w:type="dxa"/>
            <w:tcBorders>
              <w:top w:val="nil"/>
              <w:left w:val="nil"/>
              <w:bottom w:val="nil"/>
              <w:right w:val="nil"/>
            </w:tcBorders>
            <w:shd w:val="clear" w:color="auto" w:fill="auto"/>
            <w:noWrap/>
            <w:vAlign w:val="bottom"/>
            <w:hideMark/>
          </w:tcPr>
          <w:p w14:paraId="713C3135" w14:textId="77777777" w:rsidR="00F7725C" w:rsidRPr="00306062" w:rsidRDefault="00F7725C" w:rsidP="00E72162">
            <w:pPr>
              <w:jc w:val="center"/>
              <w:rPr>
                <w:sz w:val="20"/>
                <w:szCs w:val="20"/>
              </w:rPr>
            </w:pPr>
          </w:p>
        </w:tc>
        <w:tc>
          <w:tcPr>
            <w:tcW w:w="920" w:type="dxa"/>
            <w:tcBorders>
              <w:top w:val="nil"/>
              <w:left w:val="nil"/>
              <w:bottom w:val="nil"/>
              <w:right w:val="nil"/>
            </w:tcBorders>
            <w:shd w:val="clear" w:color="auto" w:fill="auto"/>
            <w:noWrap/>
            <w:vAlign w:val="bottom"/>
            <w:hideMark/>
          </w:tcPr>
          <w:p w14:paraId="2D38A4AF" w14:textId="77777777" w:rsidR="00F7725C" w:rsidRPr="00306062" w:rsidRDefault="00F7725C" w:rsidP="00E72162">
            <w:pPr>
              <w:jc w:val="center"/>
              <w:rPr>
                <w:sz w:val="20"/>
                <w:szCs w:val="20"/>
              </w:rPr>
            </w:pPr>
          </w:p>
        </w:tc>
        <w:tc>
          <w:tcPr>
            <w:tcW w:w="1184" w:type="dxa"/>
            <w:tcBorders>
              <w:top w:val="nil"/>
              <w:left w:val="nil"/>
              <w:bottom w:val="nil"/>
              <w:right w:val="nil"/>
            </w:tcBorders>
            <w:shd w:val="clear" w:color="auto" w:fill="auto"/>
            <w:noWrap/>
            <w:vAlign w:val="bottom"/>
            <w:hideMark/>
          </w:tcPr>
          <w:p w14:paraId="71128CBC" w14:textId="77777777" w:rsidR="00F7725C" w:rsidRPr="00306062" w:rsidRDefault="00F7725C" w:rsidP="00E72162">
            <w:pPr>
              <w:jc w:val="center"/>
              <w:rPr>
                <w:sz w:val="20"/>
                <w:szCs w:val="20"/>
              </w:rPr>
            </w:pPr>
          </w:p>
        </w:tc>
        <w:tc>
          <w:tcPr>
            <w:tcW w:w="880" w:type="dxa"/>
            <w:tcBorders>
              <w:top w:val="nil"/>
              <w:left w:val="nil"/>
              <w:bottom w:val="nil"/>
              <w:right w:val="nil"/>
            </w:tcBorders>
            <w:shd w:val="clear" w:color="auto" w:fill="auto"/>
            <w:noWrap/>
            <w:vAlign w:val="bottom"/>
            <w:hideMark/>
          </w:tcPr>
          <w:p w14:paraId="6FAE0D38" w14:textId="77777777" w:rsidR="00F7725C" w:rsidRPr="00306062" w:rsidRDefault="00F7725C" w:rsidP="00E72162">
            <w:pPr>
              <w:jc w:val="center"/>
              <w:rPr>
                <w:sz w:val="20"/>
                <w:szCs w:val="20"/>
              </w:rPr>
            </w:pPr>
          </w:p>
        </w:tc>
        <w:tc>
          <w:tcPr>
            <w:tcW w:w="1017" w:type="dxa"/>
            <w:tcBorders>
              <w:top w:val="nil"/>
              <w:left w:val="nil"/>
              <w:bottom w:val="nil"/>
              <w:right w:val="nil"/>
            </w:tcBorders>
            <w:shd w:val="clear" w:color="auto" w:fill="auto"/>
            <w:noWrap/>
            <w:vAlign w:val="bottom"/>
            <w:hideMark/>
          </w:tcPr>
          <w:p w14:paraId="033E002E"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All Other</w:t>
            </w:r>
          </w:p>
        </w:tc>
      </w:tr>
      <w:tr w:rsidR="00F7725C" w:rsidRPr="00306062" w14:paraId="6051B0F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90ED688"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Total</w:t>
            </w:r>
          </w:p>
        </w:tc>
        <w:tc>
          <w:tcPr>
            <w:tcW w:w="840" w:type="dxa"/>
            <w:tcBorders>
              <w:top w:val="nil"/>
              <w:left w:val="nil"/>
              <w:bottom w:val="nil"/>
              <w:right w:val="nil"/>
            </w:tcBorders>
            <w:shd w:val="clear" w:color="auto" w:fill="auto"/>
            <w:noWrap/>
            <w:vAlign w:val="bottom"/>
            <w:hideMark/>
          </w:tcPr>
          <w:p w14:paraId="3948E0D2"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All</w:t>
            </w:r>
          </w:p>
        </w:tc>
        <w:tc>
          <w:tcPr>
            <w:tcW w:w="1080" w:type="dxa"/>
            <w:tcBorders>
              <w:top w:val="nil"/>
              <w:left w:val="nil"/>
              <w:bottom w:val="nil"/>
              <w:right w:val="nil"/>
            </w:tcBorders>
            <w:shd w:val="clear" w:color="auto" w:fill="auto"/>
            <w:noWrap/>
            <w:vAlign w:val="bottom"/>
            <w:hideMark/>
          </w:tcPr>
          <w:p w14:paraId="3BE5A1B8"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Am Ind/</w:t>
            </w:r>
          </w:p>
        </w:tc>
        <w:tc>
          <w:tcPr>
            <w:tcW w:w="920" w:type="dxa"/>
            <w:tcBorders>
              <w:top w:val="nil"/>
              <w:left w:val="nil"/>
              <w:bottom w:val="nil"/>
              <w:right w:val="nil"/>
            </w:tcBorders>
            <w:shd w:val="clear" w:color="auto" w:fill="auto"/>
            <w:noWrap/>
            <w:vAlign w:val="bottom"/>
            <w:hideMark/>
          </w:tcPr>
          <w:p w14:paraId="7379E9FB"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Black/</w:t>
            </w:r>
          </w:p>
        </w:tc>
        <w:tc>
          <w:tcPr>
            <w:tcW w:w="1184" w:type="dxa"/>
            <w:tcBorders>
              <w:top w:val="nil"/>
              <w:left w:val="nil"/>
              <w:bottom w:val="nil"/>
              <w:right w:val="nil"/>
            </w:tcBorders>
            <w:shd w:val="clear" w:color="auto" w:fill="auto"/>
            <w:noWrap/>
            <w:vAlign w:val="bottom"/>
            <w:hideMark/>
          </w:tcPr>
          <w:p w14:paraId="27122FBB"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Hispanic/</w:t>
            </w:r>
          </w:p>
        </w:tc>
        <w:tc>
          <w:tcPr>
            <w:tcW w:w="880" w:type="dxa"/>
            <w:tcBorders>
              <w:top w:val="nil"/>
              <w:left w:val="nil"/>
              <w:bottom w:val="nil"/>
              <w:right w:val="nil"/>
            </w:tcBorders>
            <w:shd w:val="clear" w:color="auto" w:fill="auto"/>
            <w:noWrap/>
            <w:vAlign w:val="bottom"/>
            <w:hideMark/>
          </w:tcPr>
          <w:p w14:paraId="7FBDE1FC" w14:textId="77777777" w:rsidR="00F7725C" w:rsidRPr="00306062" w:rsidRDefault="00F7725C" w:rsidP="00E72162">
            <w:pPr>
              <w:jc w:val="center"/>
              <w:rPr>
                <w:rFonts w:ascii="Calibri" w:hAnsi="Calibri" w:cs="Calibri"/>
                <w:b/>
                <w:bCs/>
                <w:color w:val="000000"/>
                <w:sz w:val="22"/>
                <w:szCs w:val="22"/>
              </w:rPr>
            </w:pPr>
          </w:p>
        </w:tc>
        <w:tc>
          <w:tcPr>
            <w:tcW w:w="1017" w:type="dxa"/>
            <w:tcBorders>
              <w:top w:val="nil"/>
              <w:left w:val="nil"/>
              <w:bottom w:val="nil"/>
              <w:right w:val="nil"/>
            </w:tcBorders>
            <w:shd w:val="clear" w:color="auto" w:fill="auto"/>
            <w:noWrap/>
            <w:vAlign w:val="bottom"/>
            <w:hideMark/>
          </w:tcPr>
          <w:p w14:paraId="32938492"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Race/</w:t>
            </w:r>
          </w:p>
        </w:tc>
      </w:tr>
      <w:tr w:rsidR="00F7725C" w:rsidRPr="00306062" w14:paraId="225C9A24"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38FF3BCA"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Expenditures per Person</w:t>
            </w:r>
          </w:p>
        </w:tc>
        <w:tc>
          <w:tcPr>
            <w:tcW w:w="840" w:type="dxa"/>
            <w:tcBorders>
              <w:top w:val="nil"/>
              <w:left w:val="nil"/>
              <w:bottom w:val="single" w:sz="4" w:space="0" w:color="auto"/>
              <w:right w:val="nil"/>
            </w:tcBorders>
            <w:shd w:val="clear" w:color="auto" w:fill="auto"/>
            <w:noWrap/>
            <w:vAlign w:val="bottom"/>
            <w:hideMark/>
          </w:tcPr>
          <w:p w14:paraId="32A58D79"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143133AD"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3E9829B9"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6E8568AF"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Latino/a/x</w:t>
            </w:r>
          </w:p>
        </w:tc>
        <w:tc>
          <w:tcPr>
            <w:tcW w:w="880" w:type="dxa"/>
            <w:tcBorders>
              <w:top w:val="nil"/>
              <w:left w:val="nil"/>
              <w:bottom w:val="single" w:sz="4" w:space="0" w:color="auto"/>
              <w:right w:val="nil"/>
            </w:tcBorders>
            <w:shd w:val="clear" w:color="auto" w:fill="auto"/>
            <w:noWrap/>
            <w:vAlign w:val="bottom"/>
            <w:hideMark/>
          </w:tcPr>
          <w:p w14:paraId="0F0DF08C"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24D1DEC9"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Ethnicity</w:t>
            </w:r>
          </w:p>
        </w:tc>
      </w:tr>
      <w:tr w:rsidR="00F7725C" w:rsidRPr="00306062" w14:paraId="0FF3BF86"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59217BE"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Total</w:t>
            </w:r>
          </w:p>
        </w:tc>
        <w:tc>
          <w:tcPr>
            <w:tcW w:w="840" w:type="dxa"/>
            <w:tcBorders>
              <w:top w:val="nil"/>
              <w:left w:val="nil"/>
              <w:bottom w:val="nil"/>
              <w:right w:val="nil"/>
            </w:tcBorders>
            <w:shd w:val="clear" w:color="auto" w:fill="auto"/>
            <w:noWrap/>
            <w:vAlign w:val="bottom"/>
            <w:hideMark/>
          </w:tcPr>
          <w:p w14:paraId="60A5A47F"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4DA4791F"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39C78410"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36221F92"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56220200"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71B38B4B" w14:textId="77777777" w:rsidR="00F7725C" w:rsidRPr="00306062" w:rsidRDefault="00F7725C" w:rsidP="00E72162">
            <w:pPr>
              <w:rPr>
                <w:sz w:val="20"/>
                <w:szCs w:val="20"/>
              </w:rPr>
            </w:pPr>
          </w:p>
        </w:tc>
      </w:tr>
      <w:tr w:rsidR="00F7725C" w:rsidRPr="00306062" w14:paraId="75313573"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507342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0685FAF"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9.3%</w:t>
            </w:r>
          </w:p>
        </w:tc>
        <w:tc>
          <w:tcPr>
            <w:tcW w:w="1080" w:type="dxa"/>
            <w:tcBorders>
              <w:top w:val="nil"/>
              <w:left w:val="nil"/>
              <w:bottom w:val="nil"/>
              <w:right w:val="nil"/>
            </w:tcBorders>
            <w:shd w:val="clear" w:color="auto" w:fill="auto"/>
            <w:noWrap/>
            <w:vAlign w:val="bottom"/>
            <w:hideMark/>
          </w:tcPr>
          <w:p w14:paraId="4F2B9A2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2.8%</w:t>
            </w:r>
          </w:p>
        </w:tc>
        <w:tc>
          <w:tcPr>
            <w:tcW w:w="920" w:type="dxa"/>
            <w:tcBorders>
              <w:top w:val="nil"/>
              <w:left w:val="nil"/>
              <w:bottom w:val="nil"/>
              <w:right w:val="nil"/>
            </w:tcBorders>
            <w:shd w:val="clear" w:color="auto" w:fill="auto"/>
            <w:noWrap/>
            <w:vAlign w:val="bottom"/>
            <w:hideMark/>
          </w:tcPr>
          <w:p w14:paraId="56C5EBB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1.5%</w:t>
            </w:r>
          </w:p>
        </w:tc>
        <w:tc>
          <w:tcPr>
            <w:tcW w:w="1184" w:type="dxa"/>
            <w:tcBorders>
              <w:top w:val="nil"/>
              <w:left w:val="nil"/>
              <w:bottom w:val="nil"/>
              <w:right w:val="nil"/>
            </w:tcBorders>
            <w:shd w:val="clear" w:color="auto" w:fill="auto"/>
            <w:noWrap/>
            <w:vAlign w:val="bottom"/>
            <w:hideMark/>
          </w:tcPr>
          <w:p w14:paraId="01F096A3"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8.8%</w:t>
            </w:r>
          </w:p>
        </w:tc>
        <w:tc>
          <w:tcPr>
            <w:tcW w:w="880" w:type="dxa"/>
            <w:tcBorders>
              <w:top w:val="nil"/>
              <w:left w:val="nil"/>
              <w:bottom w:val="nil"/>
              <w:right w:val="nil"/>
            </w:tcBorders>
            <w:shd w:val="clear" w:color="auto" w:fill="auto"/>
            <w:noWrap/>
            <w:vAlign w:val="bottom"/>
            <w:hideMark/>
          </w:tcPr>
          <w:p w14:paraId="05CFA5D0"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10.2%</w:t>
            </w:r>
          </w:p>
        </w:tc>
        <w:tc>
          <w:tcPr>
            <w:tcW w:w="1017" w:type="dxa"/>
            <w:tcBorders>
              <w:top w:val="nil"/>
              <w:left w:val="nil"/>
              <w:bottom w:val="nil"/>
              <w:right w:val="nil"/>
            </w:tcBorders>
            <w:shd w:val="clear" w:color="auto" w:fill="auto"/>
            <w:noWrap/>
            <w:vAlign w:val="bottom"/>
            <w:hideMark/>
          </w:tcPr>
          <w:p w14:paraId="0A18D1B1"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23.2%</w:t>
            </w:r>
          </w:p>
        </w:tc>
      </w:tr>
      <w:tr w:rsidR="00F7725C" w:rsidRPr="00306062" w14:paraId="45CCFE4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7BDC7CA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4A62F89"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14.9%</w:t>
            </w:r>
          </w:p>
        </w:tc>
        <w:tc>
          <w:tcPr>
            <w:tcW w:w="1080" w:type="dxa"/>
            <w:tcBorders>
              <w:top w:val="nil"/>
              <w:left w:val="nil"/>
              <w:bottom w:val="nil"/>
              <w:right w:val="nil"/>
            </w:tcBorders>
            <w:shd w:val="clear" w:color="auto" w:fill="auto"/>
            <w:noWrap/>
            <w:vAlign w:val="bottom"/>
            <w:hideMark/>
          </w:tcPr>
          <w:p w14:paraId="067A8F2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-2.4%</w:t>
            </w:r>
          </w:p>
        </w:tc>
        <w:tc>
          <w:tcPr>
            <w:tcW w:w="920" w:type="dxa"/>
            <w:tcBorders>
              <w:top w:val="nil"/>
              <w:left w:val="nil"/>
              <w:bottom w:val="nil"/>
              <w:right w:val="nil"/>
            </w:tcBorders>
            <w:shd w:val="clear" w:color="auto" w:fill="auto"/>
            <w:noWrap/>
            <w:vAlign w:val="bottom"/>
            <w:hideMark/>
          </w:tcPr>
          <w:p w14:paraId="26D1E89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22.8%</w:t>
            </w:r>
          </w:p>
        </w:tc>
        <w:tc>
          <w:tcPr>
            <w:tcW w:w="1184" w:type="dxa"/>
            <w:tcBorders>
              <w:top w:val="nil"/>
              <w:left w:val="nil"/>
              <w:bottom w:val="nil"/>
              <w:right w:val="nil"/>
            </w:tcBorders>
            <w:shd w:val="clear" w:color="auto" w:fill="auto"/>
            <w:noWrap/>
            <w:vAlign w:val="bottom"/>
            <w:hideMark/>
          </w:tcPr>
          <w:p w14:paraId="5DD3B4A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9.8%</w:t>
            </w:r>
          </w:p>
        </w:tc>
        <w:tc>
          <w:tcPr>
            <w:tcW w:w="880" w:type="dxa"/>
            <w:tcBorders>
              <w:top w:val="nil"/>
              <w:left w:val="nil"/>
              <w:bottom w:val="nil"/>
              <w:right w:val="nil"/>
            </w:tcBorders>
            <w:shd w:val="clear" w:color="auto" w:fill="auto"/>
            <w:noWrap/>
            <w:vAlign w:val="bottom"/>
            <w:hideMark/>
          </w:tcPr>
          <w:p w14:paraId="1DC64A6E"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16.7%</w:t>
            </w:r>
          </w:p>
        </w:tc>
        <w:tc>
          <w:tcPr>
            <w:tcW w:w="1017" w:type="dxa"/>
            <w:tcBorders>
              <w:top w:val="nil"/>
              <w:left w:val="nil"/>
              <w:bottom w:val="nil"/>
              <w:right w:val="nil"/>
            </w:tcBorders>
            <w:shd w:val="clear" w:color="auto" w:fill="auto"/>
            <w:noWrap/>
            <w:vAlign w:val="bottom"/>
            <w:hideMark/>
          </w:tcPr>
          <w:p w14:paraId="5B2216A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8.4%</w:t>
            </w:r>
          </w:p>
        </w:tc>
      </w:tr>
      <w:tr w:rsidR="00F7725C" w:rsidRPr="00306062" w14:paraId="7A0541A4"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6444E228"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Inpatient</w:t>
            </w:r>
          </w:p>
        </w:tc>
        <w:tc>
          <w:tcPr>
            <w:tcW w:w="840" w:type="dxa"/>
            <w:tcBorders>
              <w:top w:val="nil"/>
              <w:left w:val="nil"/>
              <w:bottom w:val="nil"/>
              <w:right w:val="nil"/>
            </w:tcBorders>
            <w:shd w:val="clear" w:color="auto" w:fill="auto"/>
            <w:noWrap/>
            <w:vAlign w:val="bottom"/>
            <w:hideMark/>
          </w:tcPr>
          <w:p w14:paraId="41A500FB"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72237EF6"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56CAA524"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372E46FF"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05667437"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68511B6" w14:textId="77777777" w:rsidR="00F7725C" w:rsidRPr="00306062" w:rsidRDefault="00F7725C" w:rsidP="00E72162">
            <w:pPr>
              <w:rPr>
                <w:sz w:val="20"/>
                <w:szCs w:val="20"/>
              </w:rPr>
            </w:pPr>
          </w:p>
        </w:tc>
      </w:tr>
      <w:tr w:rsidR="00F7725C" w:rsidRPr="00306062" w14:paraId="2CC51731"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6B4183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61164D3"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-16.1%</w:t>
            </w:r>
          </w:p>
        </w:tc>
        <w:tc>
          <w:tcPr>
            <w:tcW w:w="1080" w:type="dxa"/>
            <w:tcBorders>
              <w:top w:val="nil"/>
              <w:left w:val="nil"/>
              <w:bottom w:val="nil"/>
              <w:right w:val="nil"/>
            </w:tcBorders>
            <w:shd w:val="clear" w:color="auto" w:fill="auto"/>
            <w:noWrap/>
            <w:vAlign w:val="bottom"/>
            <w:hideMark/>
          </w:tcPr>
          <w:p w14:paraId="5455B5A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-36.2%</w:t>
            </w:r>
          </w:p>
        </w:tc>
        <w:tc>
          <w:tcPr>
            <w:tcW w:w="920" w:type="dxa"/>
            <w:tcBorders>
              <w:top w:val="nil"/>
              <w:left w:val="nil"/>
              <w:bottom w:val="nil"/>
              <w:right w:val="nil"/>
            </w:tcBorders>
            <w:shd w:val="clear" w:color="auto" w:fill="auto"/>
            <w:noWrap/>
            <w:vAlign w:val="bottom"/>
            <w:hideMark/>
          </w:tcPr>
          <w:p w14:paraId="772616E3"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-48.0%</w:t>
            </w:r>
          </w:p>
        </w:tc>
        <w:tc>
          <w:tcPr>
            <w:tcW w:w="1184" w:type="dxa"/>
            <w:tcBorders>
              <w:top w:val="nil"/>
              <w:left w:val="nil"/>
              <w:bottom w:val="nil"/>
              <w:right w:val="nil"/>
            </w:tcBorders>
            <w:shd w:val="clear" w:color="auto" w:fill="auto"/>
            <w:noWrap/>
            <w:vAlign w:val="bottom"/>
            <w:hideMark/>
          </w:tcPr>
          <w:p w14:paraId="0B48F92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-16.5%</w:t>
            </w:r>
          </w:p>
        </w:tc>
        <w:tc>
          <w:tcPr>
            <w:tcW w:w="880" w:type="dxa"/>
            <w:tcBorders>
              <w:top w:val="nil"/>
              <w:left w:val="nil"/>
              <w:bottom w:val="nil"/>
              <w:right w:val="nil"/>
            </w:tcBorders>
            <w:shd w:val="clear" w:color="auto" w:fill="auto"/>
            <w:noWrap/>
            <w:vAlign w:val="bottom"/>
            <w:hideMark/>
          </w:tcPr>
          <w:p w14:paraId="098B1C3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-11.7%</w:t>
            </w:r>
          </w:p>
        </w:tc>
        <w:tc>
          <w:tcPr>
            <w:tcW w:w="1017" w:type="dxa"/>
            <w:tcBorders>
              <w:top w:val="nil"/>
              <w:left w:val="nil"/>
              <w:bottom w:val="nil"/>
              <w:right w:val="nil"/>
            </w:tcBorders>
            <w:shd w:val="clear" w:color="auto" w:fill="auto"/>
            <w:noWrap/>
            <w:vAlign w:val="bottom"/>
            <w:hideMark/>
          </w:tcPr>
          <w:p w14:paraId="38C65C0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71.4%</w:t>
            </w:r>
          </w:p>
        </w:tc>
      </w:tr>
      <w:tr w:rsidR="00F7725C" w:rsidRPr="00306062" w14:paraId="670B1FE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017717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E67D03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-7.3%</w:t>
            </w:r>
          </w:p>
        </w:tc>
        <w:tc>
          <w:tcPr>
            <w:tcW w:w="1080" w:type="dxa"/>
            <w:tcBorders>
              <w:top w:val="nil"/>
              <w:left w:val="nil"/>
              <w:bottom w:val="nil"/>
              <w:right w:val="nil"/>
            </w:tcBorders>
            <w:shd w:val="clear" w:color="auto" w:fill="auto"/>
            <w:noWrap/>
            <w:vAlign w:val="bottom"/>
            <w:hideMark/>
          </w:tcPr>
          <w:p w14:paraId="2FAAE75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-32.2%</w:t>
            </w:r>
          </w:p>
        </w:tc>
        <w:tc>
          <w:tcPr>
            <w:tcW w:w="920" w:type="dxa"/>
            <w:tcBorders>
              <w:top w:val="nil"/>
              <w:left w:val="nil"/>
              <w:bottom w:val="nil"/>
              <w:right w:val="nil"/>
            </w:tcBorders>
            <w:shd w:val="clear" w:color="auto" w:fill="auto"/>
            <w:noWrap/>
            <w:vAlign w:val="bottom"/>
            <w:hideMark/>
          </w:tcPr>
          <w:p w14:paraId="4A79613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39.9%</w:t>
            </w:r>
          </w:p>
        </w:tc>
        <w:tc>
          <w:tcPr>
            <w:tcW w:w="1184" w:type="dxa"/>
            <w:tcBorders>
              <w:top w:val="nil"/>
              <w:left w:val="nil"/>
              <w:bottom w:val="nil"/>
              <w:right w:val="nil"/>
            </w:tcBorders>
            <w:shd w:val="clear" w:color="auto" w:fill="auto"/>
            <w:noWrap/>
            <w:vAlign w:val="bottom"/>
            <w:hideMark/>
          </w:tcPr>
          <w:p w14:paraId="2D92B9A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-32.8%</w:t>
            </w:r>
          </w:p>
        </w:tc>
        <w:tc>
          <w:tcPr>
            <w:tcW w:w="880" w:type="dxa"/>
            <w:tcBorders>
              <w:top w:val="nil"/>
              <w:left w:val="nil"/>
              <w:bottom w:val="nil"/>
              <w:right w:val="nil"/>
            </w:tcBorders>
            <w:shd w:val="clear" w:color="auto" w:fill="auto"/>
            <w:noWrap/>
            <w:vAlign w:val="bottom"/>
            <w:hideMark/>
          </w:tcPr>
          <w:p w14:paraId="70E8B9C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-5.7%</w:t>
            </w:r>
          </w:p>
        </w:tc>
        <w:tc>
          <w:tcPr>
            <w:tcW w:w="1017" w:type="dxa"/>
            <w:tcBorders>
              <w:top w:val="nil"/>
              <w:left w:val="nil"/>
              <w:bottom w:val="nil"/>
              <w:right w:val="nil"/>
            </w:tcBorders>
            <w:shd w:val="clear" w:color="auto" w:fill="auto"/>
            <w:noWrap/>
            <w:vAlign w:val="bottom"/>
            <w:hideMark/>
          </w:tcPr>
          <w:p w14:paraId="2B2C8C3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-3.9%</w:t>
            </w:r>
          </w:p>
        </w:tc>
      </w:tr>
      <w:tr w:rsidR="00F7725C" w:rsidRPr="00306062" w14:paraId="620FBF3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0D47EB2"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Mental Health RTF</w:t>
            </w:r>
          </w:p>
        </w:tc>
        <w:tc>
          <w:tcPr>
            <w:tcW w:w="840" w:type="dxa"/>
            <w:tcBorders>
              <w:top w:val="nil"/>
              <w:left w:val="nil"/>
              <w:bottom w:val="nil"/>
              <w:right w:val="nil"/>
            </w:tcBorders>
            <w:shd w:val="clear" w:color="auto" w:fill="auto"/>
            <w:noWrap/>
            <w:vAlign w:val="bottom"/>
            <w:hideMark/>
          </w:tcPr>
          <w:p w14:paraId="630D43F6"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0EF51148"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6AA4B39F"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4B8BCB01"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4CF7C2F3"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57FEB918" w14:textId="77777777" w:rsidR="00F7725C" w:rsidRPr="00306062" w:rsidRDefault="00F7725C" w:rsidP="00E72162">
            <w:pPr>
              <w:rPr>
                <w:sz w:val="20"/>
                <w:szCs w:val="20"/>
              </w:rPr>
            </w:pPr>
          </w:p>
        </w:tc>
      </w:tr>
      <w:tr w:rsidR="00F7725C" w:rsidRPr="00306062" w14:paraId="73A6757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12841C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06F649A"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38.3%</w:t>
            </w:r>
          </w:p>
        </w:tc>
        <w:tc>
          <w:tcPr>
            <w:tcW w:w="1080" w:type="dxa"/>
            <w:tcBorders>
              <w:top w:val="nil"/>
              <w:left w:val="nil"/>
              <w:bottom w:val="nil"/>
              <w:right w:val="nil"/>
            </w:tcBorders>
            <w:shd w:val="clear" w:color="auto" w:fill="auto"/>
            <w:noWrap/>
            <w:vAlign w:val="bottom"/>
            <w:hideMark/>
          </w:tcPr>
          <w:p w14:paraId="5C73397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4B707C0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-51.0%</w:t>
            </w:r>
          </w:p>
        </w:tc>
        <w:tc>
          <w:tcPr>
            <w:tcW w:w="1184" w:type="dxa"/>
            <w:tcBorders>
              <w:top w:val="nil"/>
              <w:left w:val="nil"/>
              <w:bottom w:val="nil"/>
              <w:right w:val="nil"/>
            </w:tcBorders>
            <w:shd w:val="clear" w:color="auto" w:fill="auto"/>
            <w:noWrap/>
            <w:vAlign w:val="bottom"/>
            <w:hideMark/>
          </w:tcPr>
          <w:p w14:paraId="3553AED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185.6%</w:t>
            </w:r>
          </w:p>
        </w:tc>
        <w:tc>
          <w:tcPr>
            <w:tcW w:w="880" w:type="dxa"/>
            <w:tcBorders>
              <w:top w:val="nil"/>
              <w:left w:val="nil"/>
              <w:bottom w:val="nil"/>
              <w:right w:val="nil"/>
            </w:tcBorders>
            <w:shd w:val="clear" w:color="auto" w:fill="auto"/>
            <w:noWrap/>
            <w:vAlign w:val="bottom"/>
            <w:hideMark/>
          </w:tcPr>
          <w:p w14:paraId="6666C60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19.8%</w:t>
            </w:r>
          </w:p>
        </w:tc>
        <w:tc>
          <w:tcPr>
            <w:tcW w:w="1017" w:type="dxa"/>
            <w:tcBorders>
              <w:top w:val="nil"/>
              <w:left w:val="nil"/>
              <w:bottom w:val="nil"/>
              <w:right w:val="nil"/>
            </w:tcBorders>
            <w:shd w:val="clear" w:color="auto" w:fill="auto"/>
            <w:noWrap/>
            <w:vAlign w:val="bottom"/>
            <w:hideMark/>
          </w:tcPr>
          <w:p w14:paraId="0FC780D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r>
      <w:tr w:rsidR="00F7725C" w:rsidRPr="00306062" w14:paraId="7DECBCB7"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3F573B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0A659F95"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95.4%</w:t>
            </w:r>
          </w:p>
        </w:tc>
        <w:tc>
          <w:tcPr>
            <w:tcW w:w="1080" w:type="dxa"/>
            <w:tcBorders>
              <w:top w:val="nil"/>
              <w:left w:val="nil"/>
              <w:bottom w:val="nil"/>
              <w:right w:val="nil"/>
            </w:tcBorders>
            <w:shd w:val="clear" w:color="auto" w:fill="auto"/>
            <w:noWrap/>
            <w:vAlign w:val="bottom"/>
            <w:hideMark/>
          </w:tcPr>
          <w:p w14:paraId="77A7D80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7D16F6D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75081A1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-85.6%</w:t>
            </w:r>
          </w:p>
        </w:tc>
        <w:tc>
          <w:tcPr>
            <w:tcW w:w="880" w:type="dxa"/>
            <w:tcBorders>
              <w:top w:val="nil"/>
              <w:left w:val="nil"/>
              <w:bottom w:val="nil"/>
              <w:right w:val="nil"/>
            </w:tcBorders>
            <w:shd w:val="clear" w:color="auto" w:fill="auto"/>
            <w:noWrap/>
            <w:vAlign w:val="bottom"/>
            <w:hideMark/>
          </w:tcPr>
          <w:p w14:paraId="52DD3CD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90.8%</w:t>
            </w:r>
          </w:p>
        </w:tc>
        <w:tc>
          <w:tcPr>
            <w:tcW w:w="1017" w:type="dxa"/>
            <w:tcBorders>
              <w:top w:val="nil"/>
              <w:left w:val="nil"/>
              <w:bottom w:val="nil"/>
              <w:right w:val="nil"/>
            </w:tcBorders>
            <w:shd w:val="clear" w:color="auto" w:fill="auto"/>
            <w:noWrap/>
            <w:vAlign w:val="bottom"/>
            <w:hideMark/>
          </w:tcPr>
          <w:p w14:paraId="0C74F52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r>
      <w:tr w:rsidR="00F7725C" w:rsidRPr="00306062" w14:paraId="0A3AE42D"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7E10AE7D"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Substance Use RTF</w:t>
            </w:r>
          </w:p>
        </w:tc>
        <w:tc>
          <w:tcPr>
            <w:tcW w:w="840" w:type="dxa"/>
            <w:tcBorders>
              <w:top w:val="nil"/>
              <w:left w:val="nil"/>
              <w:bottom w:val="nil"/>
              <w:right w:val="nil"/>
            </w:tcBorders>
            <w:shd w:val="clear" w:color="auto" w:fill="auto"/>
            <w:noWrap/>
            <w:vAlign w:val="bottom"/>
            <w:hideMark/>
          </w:tcPr>
          <w:p w14:paraId="6102F4E8"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497A6017"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76C53D33"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07C9CE7C"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64030F63"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64722679" w14:textId="77777777" w:rsidR="00F7725C" w:rsidRPr="00306062" w:rsidRDefault="00F7725C" w:rsidP="00E72162">
            <w:pPr>
              <w:rPr>
                <w:sz w:val="20"/>
                <w:szCs w:val="20"/>
              </w:rPr>
            </w:pPr>
          </w:p>
        </w:tc>
      </w:tr>
      <w:tr w:rsidR="00F7725C" w:rsidRPr="00306062" w14:paraId="2F7CB15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0503B4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0FE338E"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-45.3%</w:t>
            </w:r>
          </w:p>
        </w:tc>
        <w:tc>
          <w:tcPr>
            <w:tcW w:w="1080" w:type="dxa"/>
            <w:tcBorders>
              <w:top w:val="nil"/>
              <w:left w:val="nil"/>
              <w:bottom w:val="nil"/>
              <w:right w:val="nil"/>
            </w:tcBorders>
            <w:shd w:val="clear" w:color="auto" w:fill="auto"/>
            <w:noWrap/>
            <w:vAlign w:val="bottom"/>
            <w:hideMark/>
          </w:tcPr>
          <w:p w14:paraId="630CD3F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7E2C442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033E95E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81.6%</w:t>
            </w:r>
          </w:p>
        </w:tc>
        <w:tc>
          <w:tcPr>
            <w:tcW w:w="880" w:type="dxa"/>
            <w:tcBorders>
              <w:top w:val="nil"/>
              <w:left w:val="nil"/>
              <w:bottom w:val="nil"/>
              <w:right w:val="nil"/>
            </w:tcBorders>
            <w:shd w:val="clear" w:color="auto" w:fill="auto"/>
            <w:noWrap/>
            <w:vAlign w:val="bottom"/>
            <w:hideMark/>
          </w:tcPr>
          <w:p w14:paraId="130AB3B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-28.8%</w:t>
            </w:r>
          </w:p>
        </w:tc>
        <w:tc>
          <w:tcPr>
            <w:tcW w:w="1017" w:type="dxa"/>
            <w:tcBorders>
              <w:top w:val="nil"/>
              <w:left w:val="nil"/>
              <w:bottom w:val="nil"/>
              <w:right w:val="nil"/>
            </w:tcBorders>
            <w:shd w:val="clear" w:color="auto" w:fill="auto"/>
            <w:noWrap/>
            <w:vAlign w:val="bottom"/>
            <w:hideMark/>
          </w:tcPr>
          <w:p w14:paraId="1C9C33D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-60.3%</w:t>
            </w:r>
          </w:p>
        </w:tc>
      </w:tr>
      <w:tr w:rsidR="00F7725C" w:rsidRPr="00306062" w14:paraId="158B838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DAC3D5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3B9C0D8"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-45.1%</w:t>
            </w:r>
          </w:p>
        </w:tc>
        <w:tc>
          <w:tcPr>
            <w:tcW w:w="1080" w:type="dxa"/>
            <w:tcBorders>
              <w:top w:val="nil"/>
              <w:left w:val="nil"/>
              <w:bottom w:val="nil"/>
              <w:right w:val="nil"/>
            </w:tcBorders>
            <w:shd w:val="clear" w:color="auto" w:fill="auto"/>
            <w:noWrap/>
            <w:vAlign w:val="bottom"/>
            <w:hideMark/>
          </w:tcPr>
          <w:p w14:paraId="7827E59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2D9F20B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4CB66D3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-99.7%</w:t>
            </w:r>
          </w:p>
        </w:tc>
        <w:tc>
          <w:tcPr>
            <w:tcW w:w="880" w:type="dxa"/>
            <w:tcBorders>
              <w:top w:val="nil"/>
              <w:left w:val="nil"/>
              <w:bottom w:val="nil"/>
              <w:right w:val="nil"/>
            </w:tcBorders>
            <w:shd w:val="clear" w:color="auto" w:fill="auto"/>
            <w:noWrap/>
            <w:vAlign w:val="bottom"/>
            <w:hideMark/>
          </w:tcPr>
          <w:p w14:paraId="0D897A74"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-47.7%</w:t>
            </w:r>
          </w:p>
        </w:tc>
        <w:tc>
          <w:tcPr>
            <w:tcW w:w="1017" w:type="dxa"/>
            <w:tcBorders>
              <w:top w:val="nil"/>
              <w:left w:val="nil"/>
              <w:bottom w:val="nil"/>
              <w:right w:val="nil"/>
            </w:tcBorders>
            <w:shd w:val="clear" w:color="auto" w:fill="auto"/>
            <w:noWrap/>
            <w:vAlign w:val="bottom"/>
            <w:hideMark/>
          </w:tcPr>
          <w:p w14:paraId="6E2B7DF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54.2%</w:t>
            </w:r>
          </w:p>
        </w:tc>
      </w:tr>
      <w:tr w:rsidR="00F7725C" w:rsidRPr="00306062" w14:paraId="54FBC27F"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441D159"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Emergency Department</w:t>
            </w:r>
          </w:p>
        </w:tc>
        <w:tc>
          <w:tcPr>
            <w:tcW w:w="840" w:type="dxa"/>
            <w:tcBorders>
              <w:top w:val="nil"/>
              <w:left w:val="nil"/>
              <w:bottom w:val="nil"/>
              <w:right w:val="nil"/>
            </w:tcBorders>
            <w:shd w:val="clear" w:color="auto" w:fill="auto"/>
            <w:noWrap/>
            <w:vAlign w:val="bottom"/>
            <w:hideMark/>
          </w:tcPr>
          <w:p w14:paraId="0C090E1D"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526F2CA6"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0E10CC67"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357E34B4"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45B8BA74"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5AD5BE8B" w14:textId="77777777" w:rsidR="00F7725C" w:rsidRPr="00306062" w:rsidRDefault="00F7725C" w:rsidP="00E72162">
            <w:pPr>
              <w:rPr>
                <w:sz w:val="20"/>
                <w:szCs w:val="20"/>
              </w:rPr>
            </w:pPr>
          </w:p>
        </w:tc>
      </w:tr>
      <w:tr w:rsidR="00F7725C" w:rsidRPr="00306062" w14:paraId="4741D031"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961607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7BECFB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-2.1%</w:t>
            </w:r>
          </w:p>
        </w:tc>
        <w:tc>
          <w:tcPr>
            <w:tcW w:w="1080" w:type="dxa"/>
            <w:tcBorders>
              <w:top w:val="nil"/>
              <w:left w:val="nil"/>
              <w:bottom w:val="nil"/>
              <w:right w:val="nil"/>
            </w:tcBorders>
            <w:shd w:val="clear" w:color="auto" w:fill="auto"/>
            <w:noWrap/>
            <w:vAlign w:val="bottom"/>
            <w:hideMark/>
          </w:tcPr>
          <w:p w14:paraId="3E34279A"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-5.4%</w:t>
            </w:r>
          </w:p>
        </w:tc>
        <w:tc>
          <w:tcPr>
            <w:tcW w:w="920" w:type="dxa"/>
            <w:tcBorders>
              <w:top w:val="nil"/>
              <w:left w:val="nil"/>
              <w:bottom w:val="nil"/>
              <w:right w:val="nil"/>
            </w:tcBorders>
            <w:shd w:val="clear" w:color="auto" w:fill="auto"/>
            <w:noWrap/>
            <w:vAlign w:val="bottom"/>
            <w:hideMark/>
          </w:tcPr>
          <w:p w14:paraId="71E023A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-21.8%</w:t>
            </w:r>
          </w:p>
        </w:tc>
        <w:tc>
          <w:tcPr>
            <w:tcW w:w="1184" w:type="dxa"/>
            <w:tcBorders>
              <w:top w:val="nil"/>
              <w:left w:val="nil"/>
              <w:bottom w:val="nil"/>
              <w:right w:val="nil"/>
            </w:tcBorders>
            <w:shd w:val="clear" w:color="auto" w:fill="auto"/>
            <w:noWrap/>
            <w:vAlign w:val="bottom"/>
            <w:hideMark/>
          </w:tcPr>
          <w:p w14:paraId="3EC475F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10.4%</w:t>
            </w:r>
          </w:p>
        </w:tc>
        <w:tc>
          <w:tcPr>
            <w:tcW w:w="880" w:type="dxa"/>
            <w:tcBorders>
              <w:top w:val="nil"/>
              <w:left w:val="nil"/>
              <w:bottom w:val="nil"/>
              <w:right w:val="nil"/>
            </w:tcBorders>
            <w:shd w:val="clear" w:color="auto" w:fill="auto"/>
            <w:noWrap/>
            <w:vAlign w:val="bottom"/>
            <w:hideMark/>
          </w:tcPr>
          <w:p w14:paraId="11ED61EA"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-2.4%</w:t>
            </w:r>
          </w:p>
        </w:tc>
        <w:tc>
          <w:tcPr>
            <w:tcW w:w="1017" w:type="dxa"/>
            <w:tcBorders>
              <w:top w:val="nil"/>
              <w:left w:val="nil"/>
              <w:bottom w:val="nil"/>
              <w:right w:val="nil"/>
            </w:tcBorders>
            <w:shd w:val="clear" w:color="auto" w:fill="auto"/>
            <w:noWrap/>
            <w:vAlign w:val="bottom"/>
            <w:hideMark/>
          </w:tcPr>
          <w:p w14:paraId="5AD20CC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33.5%</w:t>
            </w:r>
          </w:p>
        </w:tc>
      </w:tr>
      <w:tr w:rsidR="00F7725C" w:rsidRPr="00306062" w14:paraId="27844A2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42DCB8B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28A771A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0.4%</w:t>
            </w:r>
          </w:p>
        </w:tc>
        <w:tc>
          <w:tcPr>
            <w:tcW w:w="1080" w:type="dxa"/>
            <w:tcBorders>
              <w:top w:val="nil"/>
              <w:left w:val="nil"/>
              <w:bottom w:val="nil"/>
              <w:right w:val="nil"/>
            </w:tcBorders>
            <w:shd w:val="clear" w:color="auto" w:fill="auto"/>
            <w:noWrap/>
            <w:vAlign w:val="bottom"/>
            <w:hideMark/>
          </w:tcPr>
          <w:p w14:paraId="3ABF71A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1.5%</w:t>
            </w:r>
          </w:p>
        </w:tc>
        <w:tc>
          <w:tcPr>
            <w:tcW w:w="920" w:type="dxa"/>
            <w:tcBorders>
              <w:top w:val="nil"/>
              <w:left w:val="nil"/>
              <w:bottom w:val="nil"/>
              <w:right w:val="nil"/>
            </w:tcBorders>
            <w:shd w:val="clear" w:color="auto" w:fill="auto"/>
            <w:noWrap/>
            <w:vAlign w:val="bottom"/>
            <w:hideMark/>
          </w:tcPr>
          <w:p w14:paraId="5D77DBAC"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-30.1%</w:t>
            </w:r>
          </w:p>
        </w:tc>
        <w:tc>
          <w:tcPr>
            <w:tcW w:w="1184" w:type="dxa"/>
            <w:tcBorders>
              <w:top w:val="nil"/>
              <w:left w:val="nil"/>
              <w:bottom w:val="nil"/>
              <w:right w:val="nil"/>
            </w:tcBorders>
            <w:shd w:val="clear" w:color="auto" w:fill="auto"/>
            <w:noWrap/>
            <w:vAlign w:val="bottom"/>
            <w:hideMark/>
          </w:tcPr>
          <w:p w14:paraId="5A3344A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12.8%</w:t>
            </w:r>
          </w:p>
        </w:tc>
        <w:tc>
          <w:tcPr>
            <w:tcW w:w="880" w:type="dxa"/>
            <w:tcBorders>
              <w:top w:val="nil"/>
              <w:left w:val="nil"/>
              <w:bottom w:val="nil"/>
              <w:right w:val="nil"/>
            </w:tcBorders>
            <w:shd w:val="clear" w:color="auto" w:fill="auto"/>
            <w:noWrap/>
            <w:vAlign w:val="bottom"/>
            <w:hideMark/>
          </w:tcPr>
          <w:p w14:paraId="7BDE8FF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1.0%</w:t>
            </w:r>
          </w:p>
        </w:tc>
        <w:tc>
          <w:tcPr>
            <w:tcW w:w="1017" w:type="dxa"/>
            <w:tcBorders>
              <w:top w:val="nil"/>
              <w:left w:val="nil"/>
              <w:bottom w:val="nil"/>
              <w:right w:val="nil"/>
            </w:tcBorders>
            <w:shd w:val="clear" w:color="auto" w:fill="auto"/>
            <w:noWrap/>
            <w:vAlign w:val="bottom"/>
            <w:hideMark/>
          </w:tcPr>
          <w:p w14:paraId="2445DEE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-0.1%</w:t>
            </w:r>
          </w:p>
        </w:tc>
      </w:tr>
      <w:tr w:rsidR="00F7725C" w:rsidRPr="00306062" w14:paraId="2F89365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91DDA5E"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MH &amp; SUD Outpatient</w:t>
            </w:r>
          </w:p>
        </w:tc>
        <w:tc>
          <w:tcPr>
            <w:tcW w:w="840" w:type="dxa"/>
            <w:tcBorders>
              <w:top w:val="nil"/>
              <w:left w:val="nil"/>
              <w:bottom w:val="nil"/>
              <w:right w:val="nil"/>
            </w:tcBorders>
            <w:shd w:val="clear" w:color="auto" w:fill="auto"/>
            <w:noWrap/>
            <w:vAlign w:val="bottom"/>
            <w:hideMark/>
          </w:tcPr>
          <w:p w14:paraId="294F08F7"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5817A3C7"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1DF2DE0A"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093CE9D2"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00E2DC02"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1A1EED7B" w14:textId="77777777" w:rsidR="00F7725C" w:rsidRPr="00306062" w:rsidRDefault="00F7725C" w:rsidP="00E72162">
            <w:pPr>
              <w:rPr>
                <w:sz w:val="20"/>
                <w:szCs w:val="20"/>
              </w:rPr>
            </w:pPr>
          </w:p>
        </w:tc>
      </w:tr>
      <w:tr w:rsidR="00F7725C" w:rsidRPr="00306062" w14:paraId="77B0BF7F"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DF7795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9F70836"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24.9%</w:t>
            </w:r>
          </w:p>
        </w:tc>
        <w:tc>
          <w:tcPr>
            <w:tcW w:w="1080" w:type="dxa"/>
            <w:tcBorders>
              <w:top w:val="nil"/>
              <w:left w:val="nil"/>
              <w:bottom w:val="nil"/>
              <w:right w:val="nil"/>
            </w:tcBorders>
            <w:shd w:val="clear" w:color="auto" w:fill="auto"/>
            <w:noWrap/>
            <w:vAlign w:val="bottom"/>
            <w:hideMark/>
          </w:tcPr>
          <w:p w14:paraId="7502DCAD"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25.6%</w:t>
            </w:r>
          </w:p>
        </w:tc>
        <w:tc>
          <w:tcPr>
            <w:tcW w:w="920" w:type="dxa"/>
            <w:tcBorders>
              <w:top w:val="nil"/>
              <w:left w:val="nil"/>
              <w:bottom w:val="nil"/>
              <w:right w:val="nil"/>
            </w:tcBorders>
            <w:shd w:val="clear" w:color="auto" w:fill="auto"/>
            <w:noWrap/>
            <w:vAlign w:val="bottom"/>
            <w:hideMark/>
          </w:tcPr>
          <w:p w14:paraId="09D8C99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4.0%</w:t>
            </w:r>
          </w:p>
        </w:tc>
        <w:tc>
          <w:tcPr>
            <w:tcW w:w="1184" w:type="dxa"/>
            <w:tcBorders>
              <w:top w:val="nil"/>
              <w:left w:val="nil"/>
              <w:bottom w:val="nil"/>
              <w:right w:val="nil"/>
            </w:tcBorders>
            <w:shd w:val="clear" w:color="auto" w:fill="auto"/>
            <w:noWrap/>
            <w:vAlign w:val="bottom"/>
            <w:hideMark/>
          </w:tcPr>
          <w:p w14:paraId="5CBB741C"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25.5%</w:t>
            </w:r>
          </w:p>
        </w:tc>
        <w:tc>
          <w:tcPr>
            <w:tcW w:w="880" w:type="dxa"/>
            <w:tcBorders>
              <w:top w:val="nil"/>
              <w:left w:val="nil"/>
              <w:bottom w:val="nil"/>
              <w:right w:val="nil"/>
            </w:tcBorders>
            <w:shd w:val="clear" w:color="auto" w:fill="auto"/>
            <w:noWrap/>
            <w:vAlign w:val="bottom"/>
            <w:hideMark/>
          </w:tcPr>
          <w:p w14:paraId="1E623B7A"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27.2%</w:t>
            </w:r>
          </w:p>
        </w:tc>
        <w:tc>
          <w:tcPr>
            <w:tcW w:w="1017" w:type="dxa"/>
            <w:tcBorders>
              <w:top w:val="nil"/>
              <w:left w:val="nil"/>
              <w:bottom w:val="nil"/>
              <w:right w:val="nil"/>
            </w:tcBorders>
            <w:shd w:val="clear" w:color="auto" w:fill="auto"/>
            <w:noWrap/>
            <w:vAlign w:val="bottom"/>
            <w:hideMark/>
          </w:tcPr>
          <w:p w14:paraId="399080FA"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27.4%</w:t>
            </w:r>
          </w:p>
        </w:tc>
      </w:tr>
      <w:tr w:rsidR="00F7725C" w:rsidRPr="00306062" w14:paraId="1608D2A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2AF72A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2FCF6DAE"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44.1%</w:t>
            </w:r>
          </w:p>
        </w:tc>
        <w:tc>
          <w:tcPr>
            <w:tcW w:w="1080" w:type="dxa"/>
            <w:tcBorders>
              <w:top w:val="nil"/>
              <w:left w:val="nil"/>
              <w:bottom w:val="nil"/>
              <w:right w:val="nil"/>
            </w:tcBorders>
            <w:shd w:val="clear" w:color="auto" w:fill="auto"/>
            <w:noWrap/>
            <w:vAlign w:val="bottom"/>
            <w:hideMark/>
          </w:tcPr>
          <w:p w14:paraId="43AF7857"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25.7%</w:t>
            </w:r>
          </w:p>
        </w:tc>
        <w:tc>
          <w:tcPr>
            <w:tcW w:w="920" w:type="dxa"/>
            <w:tcBorders>
              <w:top w:val="nil"/>
              <w:left w:val="nil"/>
              <w:bottom w:val="nil"/>
              <w:right w:val="nil"/>
            </w:tcBorders>
            <w:shd w:val="clear" w:color="auto" w:fill="auto"/>
            <w:noWrap/>
            <w:vAlign w:val="bottom"/>
            <w:hideMark/>
          </w:tcPr>
          <w:p w14:paraId="3DA86A1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20.5%</w:t>
            </w:r>
          </w:p>
        </w:tc>
        <w:tc>
          <w:tcPr>
            <w:tcW w:w="1184" w:type="dxa"/>
            <w:tcBorders>
              <w:top w:val="nil"/>
              <w:left w:val="nil"/>
              <w:bottom w:val="nil"/>
              <w:right w:val="nil"/>
            </w:tcBorders>
            <w:shd w:val="clear" w:color="auto" w:fill="auto"/>
            <w:noWrap/>
            <w:vAlign w:val="bottom"/>
            <w:hideMark/>
          </w:tcPr>
          <w:p w14:paraId="00F9B418"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48.3%</w:t>
            </w:r>
          </w:p>
        </w:tc>
        <w:tc>
          <w:tcPr>
            <w:tcW w:w="880" w:type="dxa"/>
            <w:tcBorders>
              <w:top w:val="nil"/>
              <w:left w:val="nil"/>
              <w:bottom w:val="nil"/>
              <w:right w:val="nil"/>
            </w:tcBorders>
            <w:shd w:val="clear" w:color="auto" w:fill="auto"/>
            <w:noWrap/>
            <w:vAlign w:val="bottom"/>
            <w:hideMark/>
          </w:tcPr>
          <w:p w14:paraId="067EACC0"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48.9%</w:t>
            </w:r>
          </w:p>
        </w:tc>
        <w:tc>
          <w:tcPr>
            <w:tcW w:w="1017" w:type="dxa"/>
            <w:tcBorders>
              <w:top w:val="nil"/>
              <w:left w:val="nil"/>
              <w:bottom w:val="nil"/>
              <w:right w:val="nil"/>
            </w:tcBorders>
            <w:shd w:val="clear" w:color="auto" w:fill="auto"/>
            <w:noWrap/>
            <w:vAlign w:val="bottom"/>
            <w:hideMark/>
          </w:tcPr>
          <w:p w14:paraId="44B605C9"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42.8%</w:t>
            </w:r>
          </w:p>
        </w:tc>
      </w:tr>
      <w:tr w:rsidR="00F7725C" w:rsidRPr="00306062" w14:paraId="5A582B9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6B86616D"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Primary Care</w:t>
            </w:r>
          </w:p>
        </w:tc>
        <w:tc>
          <w:tcPr>
            <w:tcW w:w="840" w:type="dxa"/>
            <w:tcBorders>
              <w:top w:val="nil"/>
              <w:left w:val="nil"/>
              <w:bottom w:val="nil"/>
              <w:right w:val="nil"/>
            </w:tcBorders>
            <w:shd w:val="clear" w:color="auto" w:fill="auto"/>
            <w:noWrap/>
            <w:vAlign w:val="bottom"/>
            <w:hideMark/>
          </w:tcPr>
          <w:p w14:paraId="1D54901B"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502918E0"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53AC24A3"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0E066433"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263EA9FB"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D0BD787" w14:textId="77777777" w:rsidR="00F7725C" w:rsidRPr="00306062" w:rsidRDefault="00F7725C" w:rsidP="00E72162">
            <w:pPr>
              <w:rPr>
                <w:sz w:val="20"/>
                <w:szCs w:val="20"/>
              </w:rPr>
            </w:pPr>
          </w:p>
        </w:tc>
      </w:tr>
      <w:tr w:rsidR="00F7725C" w:rsidRPr="00306062" w14:paraId="47247A9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038DEA2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65C6B8C"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9.1%</w:t>
            </w:r>
          </w:p>
        </w:tc>
        <w:tc>
          <w:tcPr>
            <w:tcW w:w="1080" w:type="dxa"/>
            <w:tcBorders>
              <w:top w:val="nil"/>
              <w:left w:val="nil"/>
              <w:bottom w:val="nil"/>
              <w:right w:val="nil"/>
            </w:tcBorders>
            <w:shd w:val="clear" w:color="auto" w:fill="auto"/>
            <w:noWrap/>
            <w:vAlign w:val="bottom"/>
            <w:hideMark/>
          </w:tcPr>
          <w:p w14:paraId="5296DF7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6.5%</w:t>
            </w:r>
          </w:p>
        </w:tc>
        <w:tc>
          <w:tcPr>
            <w:tcW w:w="920" w:type="dxa"/>
            <w:tcBorders>
              <w:top w:val="nil"/>
              <w:left w:val="nil"/>
              <w:bottom w:val="nil"/>
              <w:right w:val="nil"/>
            </w:tcBorders>
            <w:shd w:val="clear" w:color="auto" w:fill="auto"/>
            <w:noWrap/>
            <w:vAlign w:val="bottom"/>
            <w:hideMark/>
          </w:tcPr>
          <w:p w14:paraId="0107604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7.8%</w:t>
            </w:r>
          </w:p>
        </w:tc>
        <w:tc>
          <w:tcPr>
            <w:tcW w:w="1184" w:type="dxa"/>
            <w:tcBorders>
              <w:top w:val="nil"/>
              <w:left w:val="nil"/>
              <w:bottom w:val="nil"/>
              <w:right w:val="nil"/>
            </w:tcBorders>
            <w:shd w:val="clear" w:color="auto" w:fill="auto"/>
            <w:noWrap/>
            <w:vAlign w:val="bottom"/>
            <w:hideMark/>
          </w:tcPr>
          <w:p w14:paraId="13043B70"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9.0%</w:t>
            </w:r>
          </w:p>
        </w:tc>
        <w:tc>
          <w:tcPr>
            <w:tcW w:w="880" w:type="dxa"/>
            <w:tcBorders>
              <w:top w:val="nil"/>
              <w:left w:val="nil"/>
              <w:bottom w:val="nil"/>
              <w:right w:val="nil"/>
            </w:tcBorders>
            <w:shd w:val="clear" w:color="auto" w:fill="auto"/>
            <w:noWrap/>
            <w:vAlign w:val="bottom"/>
            <w:hideMark/>
          </w:tcPr>
          <w:p w14:paraId="2468F668"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9.6%</w:t>
            </w:r>
          </w:p>
        </w:tc>
        <w:tc>
          <w:tcPr>
            <w:tcW w:w="1017" w:type="dxa"/>
            <w:tcBorders>
              <w:top w:val="nil"/>
              <w:left w:val="nil"/>
              <w:bottom w:val="nil"/>
              <w:right w:val="nil"/>
            </w:tcBorders>
            <w:shd w:val="clear" w:color="auto" w:fill="auto"/>
            <w:noWrap/>
            <w:vAlign w:val="bottom"/>
            <w:hideMark/>
          </w:tcPr>
          <w:p w14:paraId="69C1B40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-3.3%</w:t>
            </w:r>
          </w:p>
        </w:tc>
      </w:tr>
      <w:tr w:rsidR="00F7725C" w:rsidRPr="00306062" w14:paraId="27BDB56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D80201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175BEA66"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-4.6%</w:t>
            </w:r>
          </w:p>
        </w:tc>
        <w:tc>
          <w:tcPr>
            <w:tcW w:w="1080" w:type="dxa"/>
            <w:tcBorders>
              <w:top w:val="nil"/>
              <w:left w:val="nil"/>
              <w:bottom w:val="nil"/>
              <w:right w:val="nil"/>
            </w:tcBorders>
            <w:shd w:val="clear" w:color="auto" w:fill="auto"/>
            <w:noWrap/>
            <w:vAlign w:val="bottom"/>
            <w:hideMark/>
          </w:tcPr>
          <w:p w14:paraId="3C3C0EF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-9.4%</w:t>
            </w:r>
          </w:p>
        </w:tc>
        <w:tc>
          <w:tcPr>
            <w:tcW w:w="920" w:type="dxa"/>
            <w:tcBorders>
              <w:top w:val="nil"/>
              <w:left w:val="nil"/>
              <w:bottom w:val="nil"/>
              <w:right w:val="nil"/>
            </w:tcBorders>
            <w:shd w:val="clear" w:color="auto" w:fill="auto"/>
            <w:noWrap/>
            <w:vAlign w:val="bottom"/>
            <w:hideMark/>
          </w:tcPr>
          <w:p w14:paraId="6715FCC1"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-18.8%</w:t>
            </w:r>
          </w:p>
        </w:tc>
        <w:tc>
          <w:tcPr>
            <w:tcW w:w="1184" w:type="dxa"/>
            <w:tcBorders>
              <w:top w:val="nil"/>
              <w:left w:val="nil"/>
              <w:bottom w:val="nil"/>
              <w:right w:val="nil"/>
            </w:tcBorders>
            <w:shd w:val="clear" w:color="auto" w:fill="auto"/>
            <w:noWrap/>
            <w:vAlign w:val="bottom"/>
            <w:hideMark/>
          </w:tcPr>
          <w:p w14:paraId="518E63B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-2.0%</w:t>
            </w:r>
          </w:p>
        </w:tc>
        <w:tc>
          <w:tcPr>
            <w:tcW w:w="880" w:type="dxa"/>
            <w:tcBorders>
              <w:top w:val="nil"/>
              <w:left w:val="nil"/>
              <w:bottom w:val="nil"/>
              <w:right w:val="nil"/>
            </w:tcBorders>
            <w:shd w:val="clear" w:color="auto" w:fill="auto"/>
            <w:noWrap/>
            <w:vAlign w:val="bottom"/>
            <w:hideMark/>
          </w:tcPr>
          <w:p w14:paraId="5E9410A9"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-2.8%</w:t>
            </w:r>
          </w:p>
        </w:tc>
        <w:tc>
          <w:tcPr>
            <w:tcW w:w="1017" w:type="dxa"/>
            <w:tcBorders>
              <w:top w:val="nil"/>
              <w:left w:val="nil"/>
              <w:bottom w:val="nil"/>
              <w:right w:val="nil"/>
            </w:tcBorders>
            <w:shd w:val="clear" w:color="auto" w:fill="auto"/>
            <w:noWrap/>
            <w:vAlign w:val="bottom"/>
            <w:hideMark/>
          </w:tcPr>
          <w:p w14:paraId="71501189"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-16.6%</w:t>
            </w:r>
          </w:p>
        </w:tc>
      </w:tr>
      <w:tr w:rsidR="00F7725C" w:rsidRPr="00306062" w14:paraId="6BD9BCBB"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3E5C56E"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Other Services</w:t>
            </w:r>
          </w:p>
        </w:tc>
        <w:tc>
          <w:tcPr>
            <w:tcW w:w="840" w:type="dxa"/>
            <w:tcBorders>
              <w:top w:val="nil"/>
              <w:left w:val="nil"/>
              <w:bottom w:val="nil"/>
              <w:right w:val="nil"/>
            </w:tcBorders>
            <w:shd w:val="clear" w:color="auto" w:fill="auto"/>
            <w:noWrap/>
            <w:vAlign w:val="bottom"/>
            <w:hideMark/>
          </w:tcPr>
          <w:p w14:paraId="10D3D498"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298F9793"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04B69967"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6C27C454"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4CA3C865"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24BAA86" w14:textId="77777777" w:rsidR="00F7725C" w:rsidRPr="00306062" w:rsidRDefault="00F7725C" w:rsidP="00E72162">
            <w:pPr>
              <w:rPr>
                <w:sz w:val="20"/>
                <w:szCs w:val="20"/>
              </w:rPr>
            </w:pPr>
          </w:p>
        </w:tc>
      </w:tr>
      <w:tr w:rsidR="00F7725C" w:rsidRPr="00306062" w14:paraId="665DF123"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B2A3AE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E22C28E"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20.2%</w:t>
            </w:r>
          </w:p>
        </w:tc>
        <w:tc>
          <w:tcPr>
            <w:tcW w:w="1080" w:type="dxa"/>
            <w:tcBorders>
              <w:top w:val="nil"/>
              <w:left w:val="nil"/>
              <w:bottom w:val="nil"/>
              <w:right w:val="nil"/>
            </w:tcBorders>
            <w:shd w:val="clear" w:color="auto" w:fill="auto"/>
            <w:noWrap/>
            <w:vAlign w:val="bottom"/>
            <w:hideMark/>
          </w:tcPr>
          <w:p w14:paraId="568E871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8.9%</w:t>
            </w:r>
          </w:p>
        </w:tc>
        <w:tc>
          <w:tcPr>
            <w:tcW w:w="920" w:type="dxa"/>
            <w:tcBorders>
              <w:top w:val="nil"/>
              <w:left w:val="nil"/>
              <w:bottom w:val="nil"/>
              <w:right w:val="nil"/>
            </w:tcBorders>
            <w:shd w:val="clear" w:color="auto" w:fill="auto"/>
            <w:noWrap/>
            <w:vAlign w:val="bottom"/>
            <w:hideMark/>
          </w:tcPr>
          <w:p w14:paraId="34E27951"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51.9%</w:t>
            </w:r>
          </w:p>
        </w:tc>
        <w:tc>
          <w:tcPr>
            <w:tcW w:w="1184" w:type="dxa"/>
            <w:tcBorders>
              <w:top w:val="nil"/>
              <w:left w:val="nil"/>
              <w:bottom w:val="nil"/>
              <w:right w:val="nil"/>
            </w:tcBorders>
            <w:shd w:val="clear" w:color="auto" w:fill="auto"/>
            <w:noWrap/>
            <w:vAlign w:val="bottom"/>
            <w:hideMark/>
          </w:tcPr>
          <w:p w14:paraId="6F54F615"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19.2%</w:t>
            </w:r>
          </w:p>
        </w:tc>
        <w:tc>
          <w:tcPr>
            <w:tcW w:w="880" w:type="dxa"/>
            <w:tcBorders>
              <w:top w:val="nil"/>
              <w:left w:val="nil"/>
              <w:bottom w:val="nil"/>
              <w:right w:val="nil"/>
            </w:tcBorders>
            <w:shd w:val="clear" w:color="auto" w:fill="auto"/>
            <w:noWrap/>
            <w:vAlign w:val="bottom"/>
            <w:hideMark/>
          </w:tcPr>
          <w:p w14:paraId="297185C8"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17.6%</w:t>
            </w:r>
          </w:p>
        </w:tc>
        <w:tc>
          <w:tcPr>
            <w:tcW w:w="1017" w:type="dxa"/>
            <w:tcBorders>
              <w:top w:val="nil"/>
              <w:left w:val="nil"/>
              <w:bottom w:val="nil"/>
              <w:right w:val="nil"/>
            </w:tcBorders>
            <w:shd w:val="clear" w:color="auto" w:fill="auto"/>
            <w:noWrap/>
            <w:vAlign w:val="bottom"/>
            <w:hideMark/>
          </w:tcPr>
          <w:p w14:paraId="032610C4"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39.4%</w:t>
            </w:r>
          </w:p>
        </w:tc>
      </w:tr>
      <w:tr w:rsidR="00F7725C" w:rsidRPr="00306062" w14:paraId="5EC2D240"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3CF8C5E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2ECDE965"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15.6%</w:t>
            </w:r>
          </w:p>
        </w:tc>
        <w:tc>
          <w:tcPr>
            <w:tcW w:w="1080" w:type="dxa"/>
            <w:tcBorders>
              <w:top w:val="nil"/>
              <w:left w:val="nil"/>
              <w:bottom w:val="single" w:sz="4" w:space="0" w:color="auto"/>
              <w:right w:val="nil"/>
            </w:tcBorders>
            <w:shd w:val="clear" w:color="auto" w:fill="auto"/>
            <w:noWrap/>
            <w:vAlign w:val="bottom"/>
            <w:hideMark/>
          </w:tcPr>
          <w:p w14:paraId="2C7F886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-7.1%</w:t>
            </w:r>
          </w:p>
        </w:tc>
        <w:tc>
          <w:tcPr>
            <w:tcW w:w="920" w:type="dxa"/>
            <w:tcBorders>
              <w:top w:val="nil"/>
              <w:left w:val="nil"/>
              <w:bottom w:val="single" w:sz="4" w:space="0" w:color="auto"/>
              <w:right w:val="nil"/>
            </w:tcBorders>
            <w:shd w:val="clear" w:color="auto" w:fill="auto"/>
            <w:noWrap/>
            <w:vAlign w:val="bottom"/>
            <w:hideMark/>
          </w:tcPr>
          <w:p w14:paraId="33A1BB6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18.1%</w:t>
            </w:r>
          </w:p>
        </w:tc>
        <w:tc>
          <w:tcPr>
            <w:tcW w:w="1184" w:type="dxa"/>
            <w:tcBorders>
              <w:top w:val="nil"/>
              <w:left w:val="nil"/>
              <w:bottom w:val="single" w:sz="4" w:space="0" w:color="auto"/>
              <w:right w:val="nil"/>
            </w:tcBorders>
            <w:shd w:val="clear" w:color="auto" w:fill="auto"/>
            <w:noWrap/>
            <w:vAlign w:val="bottom"/>
            <w:hideMark/>
          </w:tcPr>
          <w:p w14:paraId="5E9F374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9.9%</w:t>
            </w:r>
          </w:p>
        </w:tc>
        <w:tc>
          <w:tcPr>
            <w:tcW w:w="880" w:type="dxa"/>
            <w:tcBorders>
              <w:top w:val="nil"/>
              <w:left w:val="nil"/>
              <w:bottom w:val="single" w:sz="4" w:space="0" w:color="auto"/>
              <w:right w:val="nil"/>
            </w:tcBorders>
            <w:shd w:val="clear" w:color="auto" w:fill="auto"/>
            <w:noWrap/>
            <w:vAlign w:val="bottom"/>
            <w:hideMark/>
          </w:tcPr>
          <w:p w14:paraId="1D18AF55" w14:textId="77777777" w:rsidR="00F7725C" w:rsidRPr="00793F1D" w:rsidRDefault="00F7725C" w:rsidP="00E72162">
            <w:pPr>
              <w:jc w:val="right"/>
              <w:rPr>
                <w:rFonts w:ascii="Calibri" w:hAnsi="Calibri" w:cs="Calibri"/>
                <w:b/>
                <w:bCs/>
                <w:i/>
                <w:color w:val="000000"/>
                <w:sz w:val="22"/>
                <w:szCs w:val="22"/>
              </w:rPr>
            </w:pPr>
            <w:r w:rsidRPr="00793F1D">
              <w:rPr>
                <w:rFonts w:ascii="Calibri" w:hAnsi="Calibri" w:cs="Calibri"/>
                <w:b/>
                <w:bCs/>
                <w:i/>
                <w:color w:val="000000"/>
                <w:sz w:val="22"/>
                <w:szCs w:val="22"/>
              </w:rPr>
              <w:t>17.8%</w:t>
            </w:r>
          </w:p>
        </w:tc>
        <w:tc>
          <w:tcPr>
            <w:tcW w:w="1017" w:type="dxa"/>
            <w:tcBorders>
              <w:top w:val="nil"/>
              <w:left w:val="nil"/>
              <w:bottom w:val="single" w:sz="4" w:space="0" w:color="auto"/>
              <w:right w:val="nil"/>
            </w:tcBorders>
            <w:shd w:val="clear" w:color="auto" w:fill="auto"/>
            <w:noWrap/>
            <w:vAlign w:val="bottom"/>
            <w:hideMark/>
          </w:tcPr>
          <w:p w14:paraId="570B121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23.5%</w:t>
            </w:r>
          </w:p>
        </w:tc>
      </w:tr>
    </w:tbl>
    <w:p w14:paraId="4E8613F5" w14:textId="77777777" w:rsidR="00F7725C" w:rsidRPr="00B0496B" w:rsidRDefault="00F7725C" w:rsidP="00E847F0">
      <w:pPr>
        <w:rPr>
          <w:rFonts w:cstheme="minorHAnsi"/>
          <w:b/>
          <w:sz w:val="22"/>
          <w:szCs w:val="22"/>
        </w:rPr>
      </w:pPr>
    </w:p>
    <w:p w14:paraId="22564CBF" w14:textId="77777777" w:rsidR="00E847F0" w:rsidRPr="00B0496B" w:rsidRDefault="00E847F0" w:rsidP="00E847F0">
      <w:pPr>
        <w:jc w:val="center"/>
        <w:rPr>
          <w:rFonts w:eastAsia="Calibri" w:cstheme="minorHAnsi"/>
          <w:sz w:val="22"/>
          <w:szCs w:val="22"/>
        </w:rPr>
      </w:pPr>
    </w:p>
    <w:p w14:paraId="63CB02F1" w14:textId="77777777" w:rsidR="00E847F0" w:rsidRPr="00B0496B" w:rsidRDefault="00E847F0" w:rsidP="00E847F0">
      <w:pPr>
        <w:jc w:val="center"/>
        <w:rPr>
          <w:rFonts w:eastAsia="Calibri" w:cstheme="minorHAnsi"/>
          <w:sz w:val="22"/>
          <w:szCs w:val="22"/>
        </w:rPr>
      </w:pPr>
    </w:p>
    <w:p w14:paraId="7E3CC34B" w14:textId="77777777" w:rsidR="00E847F0" w:rsidRPr="00B0496B" w:rsidRDefault="00E847F0" w:rsidP="00E847F0">
      <w:pPr>
        <w:jc w:val="center"/>
        <w:rPr>
          <w:rFonts w:eastAsia="Calibri" w:cstheme="minorHAnsi"/>
          <w:sz w:val="22"/>
          <w:szCs w:val="22"/>
        </w:rPr>
      </w:pPr>
    </w:p>
    <w:p w14:paraId="7C1D1C16" w14:textId="77777777" w:rsidR="00E847F0" w:rsidRPr="00B0496B" w:rsidRDefault="00E847F0" w:rsidP="00E847F0">
      <w:pPr>
        <w:jc w:val="center"/>
        <w:rPr>
          <w:rFonts w:eastAsia="Calibri" w:cstheme="minorHAnsi"/>
          <w:sz w:val="22"/>
          <w:szCs w:val="22"/>
        </w:rPr>
      </w:pPr>
    </w:p>
    <w:p w14:paraId="03CB8456" w14:textId="77777777" w:rsidR="00E847F0" w:rsidRDefault="00E847F0" w:rsidP="00E847F0">
      <w:pPr>
        <w:rPr>
          <w:rFonts w:eastAsia="Calibri" w:cstheme="minorHAnsi"/>
          <w:sz w:val="22"/>
          <w:szCs w:val="22"/>
        </w:rPr>
      </w:pPr>
      <w:r>
        <w:rPr>
          <w:rFonts w:eastAsia="Calibri" w:cstheme="minorHAnsi"/>
          <w:sz w:val="22"/>
          <w:szCs w:val="22"/>
        </w:rPr>
        <w:br w:type="page"/>
      </w:r>
    </w:p>
    <w:p w14:paraId="3CFF1846" w14:textId="7950CB29" w:rsidR="00E839A9" w:rsidRPr="00000D4B" w:rsidRDefault="00E847F0" w:rsidP="00E847F0">
      <w:pPr>
        <w:ind w:left="1152" w:hanging="1152"/>
        <w:jc w:val="center"/>
        <w:rPr>
          <w:rFonts w:eastAsia="Calibri" w:cstheme="minorHAnsi"/>
          <w:b/>
          <w:bCs/>
          <w:color w:val="6A7F0F"/>
          <w:sz w:val="22"/>
          <w:szCs w:val="22"/>
        </w:rPr>
      </w:pPr>
      <w:bookmarkStart w:id="145" w:name="Appendix6_Table_A67b"/>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.7b: Change in Expenditure Levels per Person for CCBHC OHP Members </w:t>
      </w:r>
    </w:p>
    <w:p w14:paraId="7832B849" w14:textId="21530707" w:rsidR="00E847F0" w:rsidRPr="00000D4B" w:rsidRDefault="00E847F0" w:rsidP="00E839A9">
      <w:pPr>
        <w:ind w:left="1152" w:hanging="1152"/>
        <w:jc w:val="center"/>
        <w:rPr>
          <w:rFonts w:eastAsia="Calibri" w:cstheme="minorHAnsi"/>
          <w:b/>
          <w:bCs/>
          <w:color w:val="6A7F0F"/>
          <w:sz w:val="22"/>
          <w:szCs w:val="22"/>
        </w:rPr>
      </w:pPr>
      <w:r w:rsidRPr="00000D4B">
        <w:rPr>
          <w:rFonts w:eastAsia="Calibri" w:cstheme="minorHAnsi"/>
          <w:b/>
          <w:bCs/>
          <w:color w:val="6A7F0F"/>
          <w:sz w:val="22"/>
          <w:szCs w:val="22"/>
        </w:rPr>
        <w:t xml:space="preserve">by Service Type </w:t>
      </w:r>
      <w:r w:rsidRPr="00000D4B">
        <w:rPr>
          <w:rFonts w:cstheme="minorHAnsi"/>
          <w:b/>
          <w:bCs/>
          <w:color w:val="6A7F0F"/>
          <w:sz w:val="22"/>
          <w:szCs w:val="22"/>
        </w:rPr>
        <w:t>Overall and by Place of Residence</w:t>
      </w:r>
    </w:p>
    <w:bookmarkEnd w:id="145"/>
    <w:p w14:paraId="4CD4CF51" w14:textId="77777777" w:rsidR="00E847F0" w:rsidRPr="00A76A99" w:rsidRDefault="00E847F0" w:rsidP="00E847F0">
      <w:pPr>
        <w:ind w:left="1152" w:hanging="1152"/>
        <w:jc w:val="center"/>
        <w:rPr>
          <w:rFonts w:cstheme="minorHAnsi"/>
          <w:sz w:val="22"/>
          <w:szCs w:val="22"/>
          <w:u w:val="single"/>
        </w:rPr>
      </w:pPr>
    </w:p>
    <w:p w14:paraId="08550161" w14:textId="77777777" w:rsidR="00E847F0" w:rsidRPr="00B0496B" w:rsidRDefault="00E847F0" w:rsidP="00E847F0">
      <w:pPr>
        <w:rPr>
          <w:rFonts w:cstheme="minorHAnsi"/>
          <w:b/>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E60BC4" w14:paraId="404709AE" w14:textId="77777777" w:rsidTr="00E72162">
        <w:trPr>
          <w:trHeight w:val="290"/>
          <w:jc w:val="center"/>
        </w:trPr>
        <w:tc>
          <w:tcPr>
            <w:tcW w:w="2707" w:type="dxa"/>
            <w:tcBorders>
              <w:top w:val="nil"/>
              <w:left w:val="nil"/>
              <w:bottom w:val="nil"/>
              <w:right w:val="nil"/>
            </w:tcBorders>
          </w:tcPr>
          <w:p w14:paraId="014D56E6"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Total</w:t>
            </w:r>
          </w:p>
        </w:tc>
        <w:tc>
          <w:tcPr>
            <w:tcW w:w="951" w:type="dxa"/>
            <w:tcBorders>
              <w:top w:val="nil"/>
              <w:left w:val="nil"/>
              <w:bottom w:val="nil"/>
              <w:right w:val="nil"/>
            </w:tcBorders>
          </w:tcPr>
          <w:p w14:paraId="0F0B5913"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All</w:t>
            </w:r>
          </w:p>
        </w:tc>
        <w:tc>
          <w:tcPr>
            <w:tcW w:w="1032" w:type="dxa"/>
            <w:tcBorders>
              <w:top w:val="nil"/>
              <w:left w:val="nil"/>
              <w:bottom w:val="nil"/>
              <w:right w:val="nil"/>
            </w:tcBorders>
          </w:tcPr>
          <w:p w14:paraId="4164E520"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56B6DCF2"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Rural or</w:t>
            </w:r>
          </w:p>
        </w:tc>
      </w:tr>
      <w:tr w:rsidR="00F7725C" w:rsidRPr="00E60BC4" w14:paraId="66395CF1" w14:textId="77777777" w:rsidTr="00E72162">
        <w:trPr>
          <w:trHeight w:val="290"/>
          <w:jc w:val="center"/>
        </w:trPr>
        <w:tc>
          <w:tcPr>
            <w:tcW w:w="2707" w:type="dxa"/>
            <w:tcBorders>
              <w:top w:val="nil"/>
              <w:left w:val="nil"/>
              <w:bottom w:val="single" w:sz="6" w:space="0" w:color="auto"/>
              <w:right w:val="nil"/>
            </w:tcBorders>
          </w:tcPr>
          <w:p w14:paraId="004B22EB"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Expenditures per Person</w:t>
            </w:r>
          </w:p>
        </w:tc>
        <w:tc>
          <w:tcPr>
            <w:tcW w:w="951" w:type="dxa"/>
            <w:tcBorders>
              <w:top w:val="nil"/>
              <w:left w:val="nil"/>
              <w:bottom w:val="single" w:sz="6" w:space="0" w:color="auto"/>
              <w:right w:val="nil"/>
            </w:tcBorders>
          </w:tcPr>
          <w:p w14:paraId="5D874884"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29F5E42C"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593F2348" w14:textId="77777777" w:rsidR="00F7725C" w:rsidRPr="00E60BC4" w:rsidRDefault="00F7725C" w:rsidP="00E72162">
            <w:pPr>
              <w:autoSpaceDE w:val="0"/>
              <w:autoSpaceDN w:val="0"/>
              <w:adjustRightInd w:val="0"/>
              <w:jc w:val="center"/>
              <w:rPr>
                <w:rFonts w:ascii="Calibri" w:hAnsi="Calibri" w:cs="Calibri"/>
                <w:b/>
                <w:bCs/>
                <w:color w:val="000000"/>
                <w:sz w:val="22"/>
                <w:szCs w:val="22"/>
              </w:rPr>
            </w:pPr>
            <w:r w:rsidRPr="00E60BC4">
              <w:rPr>
                <w:rFonts w:ascii="Calibri" w:hAnsi="Calibri" w:cs="Calibri"/>
                <w:b/>
                <w:bCs/>
                <w:color w:val="000000"/>
                <w:sz w:val="22"/>
                <w:szCs w:val="22"/>
              </w:rPr>
              <w:t>Remote</w:t>
            </w:r>
          </w:p>
        </w:tc>
      </w:tr>
      <w:tr w:rsidR="00F7725C" w:rsidRPr="00E60BC4" w14:paraId="11FD42B9" w14:textId="77777777" w:rsidTr="00E72162">
        <w:trPr>
          <w:trHeight w:val="290"/>
          <w:jc w:val="center"/>
        </w:trPr>
        <w:tc>
          <w:tcPr>
            <w:tcW w:w="2707" w:type="dxa"/>
            <w:tcBorders>
              <w:top w:val="nil"/>
              <w:left w:val="nil"/>
              <w:bottom w:val="nil"/>
              <w:right w:val="nil"/>
            </w:tcBorders>
          </w:tcPr>
          <w:p w14:paraId="41AF76F2"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Total</w:t>
            </w:r>
          </w:p>
        </w:tc>
        <w:tc>
          <w:tcPr>
            <w:tcW w:w="951" w:type="dxa"/>
            <w:tcBorders>
              <w:top w:val="nil"/>
              <w:left w:val="nil"/>
              <w:bottom w:val="nil"/>
              <w:right w:val="nil"/>
            </w:tcBorders>
          </w:tcPr>
          <w:p w14:paraId="03730340"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E505FD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C7A117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F8EF77E" w14:textId="77777777" w:rsidTr="00E72162">
        <w:trPr>
          <w:trHeight w:val="290"/>
          <w:jc w:val="center"/>
        </w:trPr>
        <w:tc>
          <w:tcPr>
            <w:tcW w:w="2707" w:type="dxa"/>
            <w:tcBorders>
              <w:top w:val="nil"/>
              <w:left w:val="nil"/>
              <w:bottom w:val="nil"/>
              <w:right w:val="nil"/>
            </w:tcBorders>
          </w:tcPr>
          <w:p w14:paraId="3BF57F09"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54174F37"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9.3%</w:t>
            </w:r>
          </w:p>
        </w:tc>
        <w:tc>
          <w:tcPr>
            <w:tcW w:w="1032" w:type="dxa"/>
            <w:tcBorders>
              <w:top w:val="nil"/>
              <w:left w:val="nil"/>
              <w:bottom w:val="nil"/>
              <w:right w:val="nil"/>
            </w:tcBorders>
          </w:tcPr>
          <w:p w14:paraId="1D46CDBE"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8.8%</w:t>
            </w:r>
          </w:p>
        </w:tc>
        <w:tc>
          <w:tcPr>
            <w:tcW w:w="1032" w:type="dxa"/>
            <w:tcBorders>
              <w:top w:val="nil"/>
              <w:left w:val="nil"/>
              <w:bottom w:val="nil"/>
              <w:right w:val="nil"/>
            </w:tcBorders>
          </w:tcPr>
          <w:p w14:paraId="404FC6E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10.7%</w:t>
            </w:r>
          </w:p>
        </w:tc>
      </w:tr>
      <w:tr w:rsidR="00F7725C" w:rsidRPr="00E60BC4" w14:paraId="13BBD682" w14:textId="77777777" w:rsidTr="00E72162">
        <w:trPr>
          <w:trHeight w:val="290"/>
          <w:jc w:val="center"/>
        </w:trPr>
        <w:tc>
          <w:tcPr>
            <w:tcW w:w="2707" w:type="dxa"/>
            <w:tcBorders>
              <w:top w:val="nil"/>
              <w:left w:val="nil"/>
              <w:bottom w:val="nil"/>
              <w:right w:val="nil"/>
            </w:tcBorders>
          </w:tcPr>
          <w:p w14:paraId="3AB9799C"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787B3188"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14.9%</w:t>
            </w:r>
          </w:p>
        </w:tc>
        <w:tc>
          <w:tcPr>
            <w:tcW w:w="1032" w:type="dxa"/>
            <w:tcBorders>
              <w:top w:val="nil"/>
              <w:left w:val="nil"/>
              <w:bottom w:val="nil"/>
              <w:right w:val="nil"/>
            </w:tcBorders>
          </w:tcPr>
          <w:p w14:paraId="292822C6"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14.6%</w:t>
            </w:r>
          </w:p>
        </w:tc>
        <w:tc>
          <w:tcPr>
            <w:tcW w:w="1032" w:type="dxa"/>
            <w:tcBorders>
              <w:top w:val="nil"/>
              <w:left w:val="nil"/>
              <w:bottom w:val="nil"/>
              <w:right w:val="nil"/>
            </w:tcBorders>
          </w:tcPr>
          <w:p w14:paraId="03CABCD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16.6%</w:t>
            </w:r>
          </w:p>
        </w:tc>
      </w:tr>
      <w:tr w:rsidR="00F7725C" w:rsidRPr="00E60BC4" w14:paraId="12062A83" w14:textId="77777777" w:rsidTr="00E72162">
        <w:trPr>
          <w:trHeight w:val="290"/>
          <w:jc w:val="center"/>
        </w:trPr>
        <w:tc>
          <w:tcPr>
            <w:tcW w:w="2707" w:type="dxa"/>
            <w:tcBorders>
              <w:top w:val="nil"/>
              <w:left w:val="nil"/>
              <w:bottom w:val="nil"/>
              <w:right w:val="nil"/>
            </w:tcBorders>
          </w:tcPr>
          <w:p w14:paraId="2820EE81"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Inpatient</w:t>
            </w:r>
          </w:p>
        </w:tc>
        <w:tc>
          <w:tcPr>
            <w:tcW w:w="951" w:type="dxa"/>
            <w:tcBorders>
              <w:top w:val="nil"/>
              <w:left w:val="nil"/>
              <w:bottom w:val="nil"/>
              <w:right w:val="nil"/>
            </w:tcBorders>
          </w:tcPr>
          <w:p w14:paraId="126A83F6"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B55379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F41FFF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7613F3F9" w14:textId="77777777" w:rsidTr="00E72162">
        <w:trPr>
          <w:trHeight w:val="290"/>
          <w:jc w:val="center"/>
        </w:trPr>
        <w:tc>
          <w:tcPr>
            <w:tcW w:w="2707" w:type="dxa"/>
            <w:tcBorders>
              <w:top w:val="nil"/>
              <w:left w:val="nil"/>
              <w:bottom w:val="nil"/>
              <w:right w:val="nil"/>
            </w:tcBorders>
          </w:tcPr>
          <w:p w14:paraId="11998D6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AD26988"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-16.1%</w:t>
            </w:r>
          </w:p>
        </w:tc>
        <w:tc>
          <w:tcPr>
            <w:tcW w:w="1032" w:type="dxa"/>
            <w:tcBorders>
              <w:top w:val="nil"/>
              <w:left w:val="nil"/>
              <w:bottom w:val="nil"/>
              <w:right w:val="nil"/>
            </w:tcBorders>
          </w:tcPr>
          <w:p w14:paraId="05275A54"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-17.3%</w:t>
            </w:r>
          </w:p>
        </w:tc>
        <w:tc>
          <w:tcPr>
            <w:tcW w:w="1032" w:type="dxa"/>
            <w:tcBorders>
              <w:top w:val="nil"/>
              <w:left w:val="nil"/>
              <w:bottom w:val="nil"/>
              <w:right w:val="nil"/>
            </w:tcBorders>
          </w:tcPr>
          <w:p w14:paraId="51C10CC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-14.6%</w:t>
            </w:r>
          </w:p>
        </w:tc>
      </w:tr>
      <w:tr w:rsidR="00F7725C" w:rsidRPr="00E60BC4" w14:paraId="6B1AE0BD" w14:textId="77777777" w:rsidTr="00E72162">
        <w:trPr>
          <w:trHeight w:val="290"/>
          <w:jc w:val="center"/>
        </w:trPr>
        <w:tc>
          <w:tcPr>
            <w:tcW w:w="2707" w:type="dxa"/>
            <w:tcBorders>
              <w:top w:val="nil"/>
              <w:left w:val="nil"/>
              <w:bottom w:val="nil"/>
              <w:right w:val="nil"/>
            </w:tcBorders>
          </w:tcPr>
          <w:p w14:paraId="768394C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30F0C50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-7.3%</w:t>
            </w:r>
          </w:p>
        </w:tc>
        <w:tc>
          <w:tcPr>
            <w:tcW w:w="1032" w:type="dxa"/>
            <w:tcBorders>
              <w:top w:val="nil"/>
              <w:left w:val="nil"/>
              <w:bottom w:val="nil"/>
              <w:right w:val="nil"/>
            </w:tcBorders>
          </w:tcPr>
          <w:p w14:paraId="1FC48DA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0.8%</w:t>
            </w:r>
          </w:p>
        </w:tc>
        <w:tc>
          <w:tcPr>
            <w:tcW w:w="1032" w:type="dxa"/>
            <w:tcBorders>
              <w:top w:val="nil"/>
              <w:left w:val="nil"/>
              <w:bottom w:val="nil"/>
              <w:right w:val="nil"/>
            </w:tcBorders>
          </w:tcPr>
          <w:p w14:paraId="527B9BF5"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-14.4%</w:t>
            </w:r>
          </w:p>
        </w:tc>
      </w:tr>
      <w:tr w:rsidR="00F7725C" w:rsidRPr="00E60BC4" w14:paraId="2B8CCF68" w14:textId="77777777" w:rsidTr="00E72162">
        <w:trPr>
          <w:trHeight w:val="290"/>
          <w:jc w:val="center"/>
        </w:trPr>
        <w:tc>
          <w:tcPr>
            <w:tcW w:w="2707" w:type="dxa"/>
            <w:tcBorders>
              <w:top w:val="nil"/>
              <w:left w:val="nil"/>
              <w:bottom w:val="nil"/>
              <w:right w:val="nil"/>
            </w:tcBorders>
          </w:tcPr>
          <w:p w14:paraId="012CB198"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Mental Health RTF</w:t>
            </w:r>
          </w:p>
        </w:tc>
        <w:tc>
          <w:tcPr>
            <w:tcW w:w="951" w:type="dxa"/>
            <w:tcBorders>
              <w:top w:val="nil"/>
              <w:left w:val="nil"/>
              <w:bottom w:val="nil"/>
              <w:right w:val="nil"/>
            </w:tcBorders>
          </w:tcPr>
          <w:p w14:paraId="2AA5BC4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335DCFF"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46BEDC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3A531CDD" w14:textId="77777777" w:rsidTr="00E72162">
        <w:trPr>
          <w:trHeight w:val="290"/>
          <w:jc w:val="center"/>
        </w:trPr>
        <w:tc>
          <w:tcPr>
            <w:tcW w:w="2707" w:type="dxa"/>
            <w:tcBorders>
              <w:top w:val="nil"/>
              <w:left w:val="nil"/>
              <w:bottom w:val="nil"/>
              <w:right w:val="nil"/>
            </w:tcBorders>
          </w:tcPr>
          <w:p w14:paraId="53FD932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202EA2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38.3%</w:t>
            </w:r>
          </w:p>
        </w:tc>
        <w:tc>
          <w:tcPr>
            <w:tcW w:w="1032" w:type="dxa"/>
            <w:tcBorders>
              <w:top w:val="nil"/>
              <w:left w:val="nil"/>
              <w:bottom w:val="nil"/>
              <w:right w:val="nil"/>
            </w:tcBorders>
          </w:tcPr>
          <w:p w14:paraId="04DD344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78.9%</w:t>
            </w:r>
          </w:p>
        </w:tc>
        <w:tc>
          <w:tcPr>
            <w:tcW w:w="1032" w:type="dxa"/>
            <w:tcBorders>
              <w:top w:val="nil"/>
              <w:left w:val="nil"/>
              <w:bottom w:val="nil"/>
              <w:right w:val="nil"/>
            </w:tcBorders>
          </w:tcPr>
          <w:p w14:paraId="352A7EE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13.3%</w:t>
            </w:r>
          </w:p>
        </w:tc>
      </w:tr>
      <w:tr w:rsidR="00F7725C" w:rsidRPr="00E60BC4" w14:paraId="1245DDAF" w14:textId="77777777" w:rsidTr="00E72162">
        <w:trPr>
          <w:trHeight w:val="290"/>
          <w:jc w:val="center"/>
        </w:trPr>
        <w:tc>
          <w:tcPr>
            <w:tcW w:w="2707" w:type="dxa"/>
            <w:tcBorders>
              <w:top w:val="nil"/>
              <w:left w:val="nil"/>
              <w:bottom w:val="nil"/>
              <w:right w:val="nil"/>
            </w:tcBorders>
          </w:tcPr>
          <w:p w14:paraId="218725E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58C6AE31"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95.4%</w:t>
            </w:r>
          </w:p>
        </w:tc>
        <w:tc>
          <w:tcPr>
            <w:tcW w:w="1032" w:type="dxa"/>
            <w:tcBorders>
              <w:top w:val="nil"/>
              <w:left w:val="nil"/>
              <w:bottom w:val="nil"/>
              <w:right w:val="nil"/>
            </w:tcBorders>
          </w:tcPr>
          <w:p w14:paraId="59157760"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124.1%</w:t>
            </w:r>
          </w:p>
        </w:tc>
        <w:tc>
          <w:tcPr>
            <w:tcW w:w="1032" w:type="dxa"/>
            <w:tcBorders>
              <w:top w:val="nil"/>
              <w:left w:val="nil"/>
              <w:bottom w:val="nil"/>
              <w:right w:val="nil"/>
            </w:tcBorders>
          </w:tcPr>
          <w:p w14:paraId="27917518"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71.3%</w:t>
            </w:r>
          </w:p>
        </w:tc>
      </w:tr>
      <w:tr w:rsidR="00F7725C" w:rsidRPr="00E60BC4" w14:paraId="6C8923B5" w14:textId="77777777" w:rsidTr="00E72162">
        <w:trPr>
          <w:trHeight w:val="290"/>
          <w:jc w:val="center"/>
        </w:trPr>
        <w:tc>
          <w:tcPr>
            <w:tcW w:w="2707" w:type="dxa"/>
            <w:tcBorders>
              <w:top w:val="nil"/>
              <w:left w:val="nil"/>
              <w:bottom w:val="nil"/>
              <w:right w:val="nil"/>
            </w:tcBorders>
          </w:tcPr>
          <w:p w14:paraId="1D562C63"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Substance Use RTF</w:t>
            </w:r>
          </w:p>
        </w:tc>
        <w:tc>
          <w:tcPr>
            <w:tcW w:w="951" w:type="dxa"/>
            <w:tcBorders>
              <w:top w:val="nil"/>
              <w:left w:val="nil"/>
              <w:bottom w:val="nil"/>
              <w:right w:val="nil"/>
            </w:tcBorders>
          </w:tcPr>
          <w:p w14:paraId="0DF1931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7A43A30"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25907B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6427C366" w14:textId="77777777" w:rsidTr="00E72162">
        <w:trPr>
          <w:trHeight w:val="290"/>
          <w:jc w:val="center"/>
        </w:trPr>
        <w:tc>
          <w:tcPr>
            <w:tcW w:w="2707" w:type="dxa"/>
            <w:tcBorders>
              <w:top w:val="nil"/>
              <w:left w:val="nil"/>
              <w:bottom w:val="nil"/>
              <w:right w:val="nil"/>
            </w:tcBorders>
          </w:tcPr>
          <w:p w14:paraId="642BD41B"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00750BA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-45.3%</w:t>
            </w:r>
          </w:p>
        </w:tc>
        <w:tc>
          <w:tcPr>
            <w:tcW w:w="1032" w:type="dxa"/>
            <w:tcBorders>
              <w:top w:val="nil"/>
              <w:left w:val="nil"/>
              <w:bottom w:val="nil"/>
              <w:right w:val="nil"/>
            </w:tcBorders>
          </w:tcPr>
          <w:p w14:paraId="254D5C44"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-62.3%</w:t>
            </w:r>
          </w:p>
        </w:tc>
        <w:tc>
          <w:tcPr>
            <w:tcW w:w="1032" w:type="dxa"/>
            <w:tcBorders>
              <w:top w:val="nil"/>
              <w:left w:val="nil"/>
              <w:bottom w:val="nil"/>
              <w:right w:val="nil"/>
            </w:tcBorders>
          </w:tcPr>
          <w:p w14:paraId="23D95893"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-34.6%</w:t>
            </w:r>
          </w:p>
        </w:tc>
      </w:tr>
      <w:tr w:rsidR="00F7725C" w:rsidRPr="00E60BC4" w14:paraId="11229448" w14:textId="77777777" w:rsidTr="00E72162">
        <w:trPr>
          <w:trHeight w:val="290"/>
          <w:jc w:val="center"/>
        </w:trPr>
        <w:tc>
          <w:tcPr>
            <w:tcW w:w="2707" w:type="dxa"/>
            <w:tcBorders>
              <w:top w:val="nil"/>
              <w:left w:val="nil"/>
              <w:bottom w:val="nil"/>
              <w:right w:val="nil"/>
            </w:tcBorders>
          </w:tcPr>
          <w:p w14:paraId="648006E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1E955177"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-45.1%</w:t>
            </w:r>
          </w:p>
        </w:tc>
        <w:tc>
          <w:tcPr>
            <w:tcW w:w="1032" w:type="dxa"/>
            <w:tcBorders>
              <w:top w:val="nil"/>
              <w:left w:val="nil"/>
              <w:bottom w:val="nil"/>
              <w:right w:val="nil"/>
            </w:tcBorders>
          </w:tcPr>
          <w:p w14:paraId="616306A3"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-76.5%</w:t>
            </w:r>
          </w:p>
        </w:tc>
        <w:tc>
          <w:tcPr>
            <w:tcW w:w="1032" w:type="dxa"/>
            <w:tcBorders>
              <w:top w:val="nil"/>
              <w:left w:val="nil"/>
              <w:bottom w:val="nil"/>
              <w:right w:val="nil"/>
            </w:tcBorders>
          </w:tcPr>
          <w:p w14:paraId="2F029533"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-23.9%</w:t>
            </w:r>
          </w:p>
        </w:tc>
      </w:tr>
      <w:tr w:rsidR="00F7725C" w:rsidRPr="00E60BC4" w14:paraId="6A7E42C3" w14:textId="77777777" w:rsidTr="00E72162">
        <w:trPr>
          <w:trHeight w:val="290"/>
          <w:jc w:val="center"/>
        </w:trPr>
        <w:tc>
          <w:tcPr>
            <w:tcW w:w="2707" w:type="dxa"/>
            <w:tcBorders>
              <w:top w:val="nil"/>
              <w:left w:val="nil"/>
              <w:bottom w:val="nil"/>
              <w:right w:val="nil"/>
            </w:tcBorders>
          </w:tcPr>
          <w:p w14:paraId="769F3DF5"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Emergency Department</w:t>
            </w:r>
          </w:p>
        </w:tc>
        <w:tc>
          <w:tcPr>
            <w:tcW w:w="951" w:type="dxa"/>
            <w:tcBorders>
              <w:top w:val="nil"/>
              <w:left w:val="nil"/>
              <w:bottom w:val="nil"/>
              <w:right w:val="nil"/>
            </w:tcBorders>
          </w:tcPr>
          <w:p w14:paraId="5618DBDC"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2B76A81"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17D99B4"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344D1A68" w14:textId="77777777" w:rsidTr="00E72162">
        <w:trPr>
          <w:trHeight w:val="290"/>
          <w:jc w:val="center"/>
        </w:trPr>
        <w:tc>
          <w:tcPr>
            <w:tcW w:w="2707" w:type="dxa"/>
            <w:tcBorders>
              <w:top w:val="nil"/>
              <w:left w:val="nil"/>
              <w:bottom w:val="nil"/>
              <w:right w:val="nil"/>
            </w:tcBorders>
          </w:tcPr>
          <w:p w14:paraId="08D431C6"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4F8620D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-2.1%</w:t>
            </w:r>
          </w:p>
        </w:tc>
        <w:tc>
          <w:tcPr>
            <w:tcW w:w="1032" w:type="dxa"/>
            <w:tcBorders>
              <w:top w:val="nil"/>
              <w:left w:val="nil"/>
              <w:bottom w:val="nil"/>
              <w:right w:val="nil"/>
            </w:tcBorders>
          </w:tcPr>
          <w:p w14:paraId="67A7B75E"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-4.3%</w:t>
            </w:r>
          </w:p>
        </w:tc>
        <w:tc>
          <w:tcPr>
            <w:tcW w:w="1032" w:type="dxa"/>
            <w:tcBorders>
              <w:top w:val="nil"/>
              <w:left w:val="nil"/>
              <w:bottom w:val="nil"/>
              <w:right w:val="nil"/>
            </w:tcBorders>
          </w:tcPr>
          <w:p w14:paraId="28327F5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2.1%</w:t>
            </w:r>
          </w:p>
        </w:tc>
      </w:tr>
      <w:tr w:rsidR="00F7725C" w:rsidRPr="00E60BC4" w14:paraId="072A34F8" w14:textId="77777777" w:rsidTr="00E72162">
        <w:trPr>
          <w:trHeight w:val="290"/>
          <w:jc w:val="center"/>
        </w:trPr>
        <w:tc>
          <w:tcPr>
            <w:tcW w:w="2707" w:type="dxa"/>
            <w:tcBorders>
              <w:top w:val="nil"/>
              <w:left w:val="nil"/>
              <w:bottom w:val="nil"/>
              <w:right w:val="nil"/>
            </w:tcBorders>
          </w:tcPr>
          <w:p w14:paraId="0CFAD8C8"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0E5B31B3"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0.4%</w:t>
            </w:r>
          </w:p>
        </w:tc>
        <w:tc>
          <w:tcPr>
            <w:tcW w:w="1032" w:type="dxa"/>
            <w:tcBorders>
              <w:top w:val="nil"/>
              <w:left w:val="nil"/>
              <w:bottom w:val="nil"/>
              <w:right w:val="nil"/>
            </w:tcBorders>
          </w:tcPr>
          <w:p w14:paraId="5B8E469D"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-8.0%</w:t>
            </w:r>
          </w:p>
        </w:tc>
        <w:tc>
          <w:tcPr>
            <w:tcW w:w="1032" w:type="dxa"/>
            <w:tcBorders>
              <w:top w:val="nil"/>
              <w:left w:val="nil"/>
              <w:bottom w:val="nil"/>
              <w:right w:val="nil"/>
            </w:tcBorders>
          </w:tcPr>
          <w:p w14:paraId="7C37E3C7"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13.0%</w:t>
            </w:r>
          </w:p>
        </w:tc>
      </w:tr>
      <w:tr w:rsidR="00F7725C" w:rsidRPr="00E60BC4" w14:paraId="49FD5E87" w14:textId="77777777" w:rsidTr="00E72162">
        <w:trPr>
          <w:trHeight w:val="290"/>
          <w:jc w:val="center"/>
        </w:trPr>
        <w:tc>
          <w:tcPr>
            <w:tcW w:w="2707" w:type="dxa"/>
            <w:tcBorders>
              <w:top w:val="nil"/>
              <w:left w:val="nil"/>
              <w:bottom w:val="nil"/>
              <w:right w:val="nil"/>
            </w:tcBorders>
          </w:tcPr>
          <w:p w14:paraId="793EC251"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MH &amp; SUD Outpatient</w:t>
            </w:r>
          </w:p>
        </w:tc>
        <w:tc>
          <w:tcPr>
            <w:tcW w:w="951" w:type="dxa"/>
            <w:tcBorders>
              <w:top w:val="nil"/>
              <w:left w:val="nil"/>
              <w:bottom w:val="nil"/>
              <w:right w:val="nil"/>
            </w:tcBorders>
          </w:tcPr>
          <w:p w14:paraId="77B18E6A"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1B1756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FF2358E"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F8888C7" w14:textId="77777777" w:rsidTr="00E72162">
        <w:trPr>
          <w:trHeight w:val="290"/>
          <w:jc w:val="center"/>
        </w:trPr>
        <w:tc>
          <w:tcPr>
            <w:tcW w:w="2707" w:type="dxa"/>
            <w:tcBorders>
              <w:top w:val="nil"/>
              <w:left w:val="nil"/>
              <w:bottom w:val="nil"/>
              <w:right w:val="nil"/>
            </w:tcBorders>
          </w:tcPr>
          <w:p w14:paraId="182047F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2976CB25"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24.9%</w:t>
            </w:r>
          </w:p>
        </w:tc>
        <w:tc>
          <w:tcPr>
            <w:tcW w:w="1032" w:type="dxa"/>
            <w:tcBorders>
              <w:top w:val="nil"/>
              <w:left w:val="nil"/>
              <w:bottom w:val="nil"/>
              <w:right w:val="nil"/>
            </w:tcBorders>
          </w:tcPr>
          <w:p w14:paraId="4D5C052F"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14.1%</w:t>
            </w:r>
          </w:p>
        </w:tc>
        <w:tc>
          <w:tcPr>
            <w:tcW w:w="1032" w:type="dxa"/>
            <w:tcBorders>
              <w:top w:val="nil"/>
              <w:left w:val="nil"/>
              <w:bottom w:val="nil"/>
              <w:right w:val="nil"/>
            </w:tcBorders>
          </w:tcPr>
          <w:p w14:paraId="5E3FC57F"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41.3%</w:t>
            </w:r>
          </w:p>
        </w:tc>
      </w:tr>
      <w:tr w:rsidR="00F7725C" w:rsidRPr="00E60BC4" w14:paraId="1F480C3A" w14:textId="77777777" w:rsidTr="00E72162">
        <w:trPr>
          <w:trHeight w:val="290"/>
          <w:jc w:val="center"/>
        </w:trPr>
        <w:tc>
          <w:tcPr>
            <w:tcW w:w="2707" w:type="dxa"/>
            <w:tcBorders>
              <w:top w:val="nil"/>
              <w:left w:val="nil"/>
              <w:bottom w:val="nil"/>
              <w:right w:val="nil"/>
            </w:tcBorders>
          </w:tcPr>
          <w:p w14:paraId="43F42CDC"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0969C35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44.1%</w:t>
            </w:r>
          </w:p>
        </w:tc>
        <w:tc>
          <w:tcPr>
            <w:tcW w:w="1032" w:type="dxa"/>
            <w:tcBorders>
              <w:top w:val="nil"/>
              <w:left w:val="nil"/>
              <w:bottom w:val="nil"/>
              <w:right w:val="nil"/>
            </w:tcBorders>
          </w:tcPr>
          <w:p w14:paraId="3977F57D"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36.8%</w:t>
            </w:r>
          </w:p>
        </w:tc>
        <w:tc>
          <w:tcPr>
            <w:tcW w:w="1032" w:type="dxa"/>
            <w:tcBorders>
              <w:top w:val="nil"/>
              <w:left w:val="nil"/>
              <w:bottom w:val="nil"/>
              <w:right w:val="nil"/>
            </w:tcBorders>
          </w:tcPr>
          <w:p w14:paraId="4A11932D"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57.9%</w:t>
            </w:r>
          </w:p>
        </w:tc>
      </w:tr>
      <w:tr w:rsidR="00F7725C" w:rsidRPr="00E60BC4" w14:paraId="0A8BEE2B" w14:textId="77777777" w:rsidTr="00E72162">
        <w:trPr>
          <w:trHeight w:val="290"/>
          <w:jc w:val="center"/>
        </w:trPr>
        <w:tc>
          <w:tcPr>
            <w:tcW w:w="2707" w:type="dxa"/>
            <w:tcBorders>
              <w:top w:val="nil"/>
              <w:left w:val="nil"/>
              <w:bottom w:val="nil"/>
              <w:right w:val="nil"/>
            </w:tcBorders>
          </w:tcPr>
          <w:p w14:paraId="2A09CF9C"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Primary Care</w:t>
            </w:r>
          </w:p>
        </w:tc>
        <w:tc>
          <w:tcPr>
            <w:tcW w:w="951" w:type="dxa"/>
            <w:tcBorders>
              <w:top w:val="nil"/>
              <w:left w:val="nil"/>
              <w:bottom w:val="nil"/>
              <w:right w:val="nil"/>
            </w:tcBorders>
          </w:tcPr>
          <w:p w14:paraId="556E5289"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4613AD3"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11A5718"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01CEE48B" w14:textId="77777777" w:rsidTr="00E72162">
        <w:trPr>
          <w:trHeight w:val="290"/>
          <w:jc w:val="center"/>
        </w:trPr>
        <w:tc>
          <w:tcPr>
            <w:tcW w:w="2707" w:type="dxa"/>
            <w:tcBorders>
              <w:top w:val="nil"/>
              <w:left w:val="nil"/>
              <w:bottom w:val="nil"/>
              <w:right w:val="nil"/>
            </w:tcBorders>
          </w:tcPr>
          <w:p w14:paraId="353C8ECF"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6F3F74F6"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9.1%</w:t>
            </w:r>
          </w:p>
        </w:tc>
        <w:tc>
          <w:tcPr>
            <w:tcW w:w="1032" w:type="dxa"/>
            <w:tcBorders>
              <w:top w:val="nil"/>
              <w:left w:val="nil"/>
              <w:bottom w:val="nil"/>
              <w:right w:val="nil"/>
            </w:tcBorders>
          </w:tcPr>
          <w:p w14:paraId="7076F26E"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7.3%</w:t>
            </w:r>
          </w:p>
        </w:tc>
        <w:tc>
          <w:tcPr>
            <w:tcW w:w="1032" w:type="dxa"/>
            <w:tcBorders>
              <w:top w:val="nil"/>
              <w:left w:val="nil"/>
              <w:bottom w:val="nil"/>
              <w:right w:val="nil"/>
            </w:tcBorders>
          </w:tcPr>
          <w:p w14:paraId="1E3F69E9"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12.1%</w:t>
            </w:r>
          </w:p>
        </w:tc>
      </w:tr>
      <w:tr w:rsidR="00F7725C" w:rsidRPr="00E60BC4" w14:paraId="3FBCE969" w14:textId="77777777" w:rsidTr="00E72162">
        <w:trPr>
          <w:trHeight w:val="290"/>
          <w:jc w:val="center"/>
        </w:trPr>
        <w:tc>
          <w:tcPr>
            <w:tcW w:w="2707" w:type="dxa"/>
            <w:tcBorders>
              <w:top w:val="nil"/>
              <w:left w:val="nil"/>
              <w:bottom w:val="nil"/>
              <w:right w:val="nil"/>
            </w:tcBorders>
          </w:tcPr>
          <w:p w14:paraId="7922544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nil"/>
              <w:right w:val="nil"/>
            </w:tcBorders>
          </w:tcPr>
          <w:p w14:paraId="35071E74"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-4.6%</w:t>
            </w:r>
          </w:p>
        </w:tc>
        <w:tc>
          <w:tcPr>
            <w:tcW w:w="1032" w:type="dxa"/>
            <w:tcBorders>
              <w:top w:val="nil"/>
              <w:left w:val="nil"/>
              <w:bottom w:val="nil"/>
              <w:right w:val="nil"/>
            </w:tcBorders>
          </w:tcPr>
          <w:p w14:paraId="6D2814A4"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14.1%</w:t>
            </w:r>
          </w:p>
        </w:tc>
        <w:tc>
          <w:tcPr>
            <w:tcW w:w="1032" w:type="dxa"/>
            <w:tcBorders>
              <w:top w:val="nil"/>
              <w:left w:val="nil"/>
              <w:bottom w:val="nil"/>
              <w:right w:val="nil"/>
            </w:tcBorders>
          </w:tcPr>
          <w:p w14:paraId="35ACC2E0"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-1.8%</w:t>
            </w:r>
          </w:p>
        </w:tc>
      </w:tr>
      <w:tr w:rsidR="00F7725C" w:rsidRPr="00E60BC4" w14:paraId="30512FAF" w14:textId="77777777" w:rsidTr="00E72162">
        <w:trPr>
          <w:trHeight w:val="290"/>
          <w:jc w:val="center"/>
        </w:trPr>
        <w:tc>
          <w:tcPr>
            <w:tcW w:w="2707" w:type="dxa"/>
            <w:tcBorders>
              <w:top w:val="nil"/>
              <w:left w:val="nil"/>
              <w:bottom w:val="nil"/>
              <w:right w:val="nil"/>
            </w:tcBorders>
          </w:tcPr>
          <w:p w14:paraId="4D533969" w14:textId="77777777" w:rsidR="00F7725C" w:rsidRPr="00E60BC4" w:rsidRDefault="00F7725C" w:rsidP="00E72162">
            <w:pPr>
              <w:autoSpaceDE w:val="0"/>
              <w:autoSpaceDN w:val="0"/>
              <w:adjustRightInd w:val="0"/>
              <w:rPr>
                <w:rFonts w:ascii="Calibri" w:hAnsi="Calibri" w:cs="Calibri"/>
                <w:b/>
                <w:bCs/>
                <w:color w:val="000000"/>
                <w:sz w:val="22"/>
                <w:szCs w:val="22"/>
              </w:rPr>
            </w:pPr>
            <w:r w:rsidRPr="00E60BC4">
              <w:rPr>
                <w:rFonts w:ascii="Calibri" w:hAnsi="Calibri" w:cs="Calibri"/>
                <w:b/>
                <w:bCs/>
                <w:color w:val="000000"/>
                <w:sz w:val="22"/>
                <w:szCs w:val="22"/>
              </w:rPr>
              <w:t>Other Services</w:t>
            </w:r>
          </w:p>
        </w:tc>
        <w:tc>
          <w:tcPr>
            <w:tcW w:w="951" w:type="dxa"/>
            <w:tcBorders>
              <w:top w:val="nil"/>
              <w:left w:val="nil"/>
              <w:bottom w:val="nil"/>
              <w:right w:val="nil"/>
            </w:tcBorders>
          </w:tcPr>
          <w:p w14:paraId="0CCE49F0"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0F73907"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753AE45" w14:textId="77777777" w:rsidR="00F7725C" w:rsidRPr="00E60BC4" w:rsidRDefault="00F7725C" w:rsidP="00E72162">
            <w:pPr>
              <w:autoSpaceDE w:val="0"/>
              <w:autoSpaceDN w:val="0"/>
              <w:adjustRightInd w:val="0"/>
              <w:jc w:val="right"/>
              <w:rPr>
                <w:rFonts w:ascii="Calibri" w:hAnsi="Calibri" w:cs="Calibri"/>
                <w:color w:val="000000"/>
                <w:sz w:val="22"/>
                <w:szCs w:val="22"/>
              </w:rPr>
            </w:pPr>
          </w:p>
        </w:tc>
      </w:tr>
      <w:tr w:rsidR="00F7725C" w:rsidRPr="00E60BC4" w14:paraId="4B93FBBD" w14:textId="77777777" w:rsidTr="00E72162">
        <w:trPr>
          <w:trHeight w:val="290"/>
          <w:jc w:val="center"/>
        </w:trPr>
        <w:tc>
          <w:tcPr>
            <w:tcW w:w="2707" w:type="dxa"/>
            <w:tcBorders>
              <w:top w:val="nil"/>
              <w:left w:val="nil"/>
              <w:bottom w:val="nil"/>
              <w:right w:val="nil"/>
            </w:tcBorders>
          </w:tcPr>
          <w:p w14:paraId="359F2344"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First CCBHC Period</w:t>
            </w:r>
          </w:p>
        </w:tc>
        <w:tc>
          <w:tcPr>
            <w:tcW w:w="951" w:type="dxa"/>
            <w:tcBorders>
              <w:top w:val="nil"/>
              <w:left w:val="nil"/>
              <w:bottom w:val="nil"/>
              <w:right w:val="nil"/>
            </w:tcBorders>
          </w:tcPr>
          <w:p w14:paraId="3518C79D"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20.2%</w:t>
            </w:r>
          </w:p>
        </w:tc>
        <w:tc>
          <w:tcPr>
            <w:tcW w:w="1032" w:type="dxa"/>
            <w:tcBorders>
              <w:top w:val="nil"/>
              <w:left w:val="nil"/>
              <w:bottom w:val="nil"/>
              <w:right w:val="nil"/>
            </w:tcBorders>
          </w:tcPr>
          <w:p w14:paraId="12AE98B2"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37.2%</w:t>
            </w:r>
          </w:p>
        </w:tc>
        <w:tc>
          <w:tcPr>
            <w:tcW w:w="1032" w:type="dxa"/>
            <w:tcBorders>
              <w:top w:val="nil"/>
              <w:left w:val="nil"/>
              <w:bottom w:val="nil"/>
              <w:right w:val="nil"/>
            </w:tcBorders>
          </w:tcPr>
          <w:p w14:paraId="4F24A327"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0.7%</w:t>
            </w:r>
          </w:p>
        </w:tc>
      </w:tr>
      <w:tr w:rsidR="00F7725C" w:rsidRPr="00E60BC4" w14:paraId="09A73A36" w14:textId="77777777" w:rsidTr="00E72162">
        <w:trPr>
          <w:trHeight w:val="290"/>
          <w:jc w:val="center"/>
        </w:trPr>
        <w:tc>
          <w:tcPr>
            <w:tcW w:w="2707" w:type="dxa"/>
            <w:tcBorders>
              <w:top w:val="nil"/>
              <w:left w:val="nil"/>
              <w:bottom w:val="single" w:sz="6" w:space="0" w:color="auto"/>
              <w:right w:val="nil"/>
            </w:tcBorders>
          </w:tcPr>
          <w:p w14:paraId="072D6312" w14:textId="77777777" w:rsidR="00F7725C" w:rsidRPr="00E60BC4" w:rsidRDefault="00F7725C" w:rsidP="00E72162">
            <w:pPr>
              <w:autoSpaceDE w:val="0"/>
              <w:autoSpaceDN w:val="0"/>
              <w:adjustRightInd w:val="0"/>
              <w:jc w:val="right"/>
              <w:rPr>
                <w:rFonts w:ascii="Calibri" w:hAnsi="Calibri" w:cs="Calibri"/>
                <w:color w:val="000000"/>
                <w:sz w:val="22"/>
                <w:szCs w:val="22"/>
              </w:rPr>
            </w:pPr>
            <w:r w:rsidRPr="00E60BC4">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733E621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15.6%</w:t>
            </w:r>
          </w:p>
        </w:tc>
        <w:tc>
          <w:tcPr>
            <w:tcW w:w="1032" w:type="dxa"/>
            <w:tcBorders>
              <w:top w:val="nil"/>
              <w:left w:val="nil"/>
              <w:bottom w:val="single" w:sz="6" w:space="0" w:color="auto"/>
              <w:right w:val="nil"/>
            </w:tcBorders>
          </w:tcPr>
          <w:p w14:paraId="3B46AB55"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19.5%</w:t>
            </w:r>
          </w:p>
        </w:tc>
        <w:tc>
          <w:tcPr>
            <w:tcW w:w="1032" w:type="dxa"/>
            <w:tcBorders>
              <w:top w:val="nil"/>
              <w:left w:val="nil"/>
              <w:bottom w:val="single" w:sz="6" w:space="0" w:color="auto"/>
              <w:right w:val="nil"/>
            </w:tcBorders>
          </w:tcPr>
          <w:p w14:paraId="2127A9BB" w14:textId="77777777" w:rsidR="00F7725C" w:rsidRPr="00E60BC4" w:rsidRDefault="00F7725C" w:rsidP="00E72162">
            <w:pPr>
              <w:autoSpaceDE w:val="0"/>
              <w:autoSpaceDN w:val="0"/>
              <w:adjustRightInd w:val="0"/>
              <w:jc w:val="right"/>
              <w:rPr>
                <w:rFonts w:ascii="Calibri" w:hAnsi="Calibri" w:cs="Calibri"/>
                <w:b/>
                <w:bCs/>
                <w:i/>
                <w:color w:val="000000"/>
                <w:sz w:val="22"/>
                <w:szCs w:val="22"/>
              </w:rPr>
            </w:pPr>
            <w:r w:rsidRPr="00E60BC4">
              <w:rPr>
                <w:rFonts w:ascii="Calibri" w:hAnsi="Calibri" w:cs="Calibri"/>
                <w:b/>
                <w:bCs/>
                <w:i/>
                <w:color w:val="000000"/>
                <w:sz w:val="22"/>
                <w:szCs w:val="22"/>
              </w:rPr>
              <w:t>11.8%</w:t>
            </w:r>
          </w:p>
        </w:tc>
      </w:tr>
    </w:tbl>
    <w:p w14:paraId="55AB860E" w14:textId="77777777" w:rsidR="00E847F0" w:rsidRPr="00B0496B" w:rsidRDefault="00E847F0" w:rsidP="00E847F0">
      <w:pPr>
        <w:jc w:val="center"/>
        <w:rPr>
          <w:rFonts w:eastAsia="Calibri" w:cstheme="minorHAnsi"/>
          <w:sz w:val="22"/>
          <w:szCs w:val="22"/>
        </w:rPr>
      </w:pPr>
    </w:p>
    <w:p w14:paraId="3042B4DB" w14:textId="77777777" w:rsidR="00E847F0" w:rsidRPr="00B0496B" w:rsidRDefault="00E847F0" w:rsidP="00E847F0">
      <w:pPr>
        <w:jc w:val="center"/>
        <w:rPr>
          <w:rFonts w:eastAsia="Calibri" w:cstheme="minorHAnsi"/>
          <w:sz w:val="22"/>
          <w:szCs w:val="22"/>
        </w:rPr>
      </w:pPr>
    </w:p>
    <w:p w14:paraId="0A21135F" w14:textId="77777777" w:rsidR="00E847F0" w:rsidRPr="00B0496B" w:rsidRDefault="00E847F0" w:rsidP="00E847F0">
      <w:pPr>
        <w:rPr>
          <w:rFonts w:eastAsia="Calibri" w:cstheme="minorHAnsi"/>
          <w:sz w:val="22"/>
          <w:szCs w:val="22"/>
        </w:rPr>
      </w:pPr>
      <w:r w:rsidRPr="00B0496B">
        <w:rPr>
          <w:rFonts w:eastAsia="Calibri" w:cstheme="minorHAnsi"/>
          <w:sz w:val="22"/>
          <w:szCs w:val="22"/>
        </w:rPr>
        <w:br w:type="page"/>
      </w:r>
    </w:p>
    <w:p w14:paraId="7EB5E513" w14:textId="77777777" w:rsidR="002A6F8C" w:rsidRDefault="00E847F0" w:rsidP="00E847F0">
      <w:pPr>
        <w:ind w:left="1152" w:hanging="1152"/>
        <w:jc w:val="center"/>
        <w:rPr>
          <w:rFonts w:eastAsia="Calibri" w:cstheme="minorHAnsi"/>
          <w:b/>
          <w:bCs/>
          <w:color w:val="6A7F0F"/>
          <w:sz w:val="22"/>
          <w:szCs w:val="22"/>
        </w:rPr>
      </w:pPr>
      <w:bookmarkStart w:id="146" w:name="Appendix6_Table_A67c"/>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.7c: Change in Mental Health Related Expenditure Levels per Person for </w:t>
      </w:r>
    </w:p>
    <w:p w14:paraId="01D5DE2B" w14:textId="23221605" w:rsidR="00E847F0" w:rsidRPr="002A6F8C" w:rsidRDefault="00E847F0" w:rsidP="002A6F8C">
      <w:pPr>
        <w:ind w:left="1152" w:hanging="1152"/>
        <w:jc w:val="center"/>
        <w:rPr>
          <w:rFonts w:eastAsia="Calibri"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Race/Ethnicity Services</w:t>
      </w:r>
    </w:p>
    <w:bookmarkEnd w:id="146"/>
    <w:p w14:paraId="04B8D358" w14:textId="77777777" w:rsidR="00E847F0" w:rsidRPr="00B0496B" w:rsidRDefault="00E847F0" w:rsidP="00E847F0">
      <w:pPr>
        <w:ind w:left="1152" w:hanging="1152"/>
        <w:jc w:val="center"/>
        <w:rPr>
          <w:rFonts w:cstheme="minorHAnsi"/>
          <w:sz w:val="22"/>
          <w:szCs w:val="22"/>
        </w:rPr>
      </w:pPr>
    </w:p>
    <w:tbl>
      <w:tblPr>
        <w:tblpPr w:leftFromText="180" w:rightFromText="180" w:vertAnchor="page" w:horzAnchor="page" w:tblpX="1951" w:tblpY="2386"/>
        <w:tblW w:w="8461" w:type="dxa"/>
        <w:tblLook w:val="04A0" w:firstRow="1" w:lastRow="0" w:firstColumn="1" w:lastColumn="0" w:noHBand="0" w:noVBand="1"/>
      </w:tblPr>
      <w:tblGrid>
        <w:gridCol w:w="2540"/>
        <w:gridCol w:w="840"/>
        <w:gridCol w:w="1080"/>
        <w:gridCol w:w="920"/>
        <w:gridCol w:w="1184"/>
        <w:gridCol w:w="880"/>
        <w:gridCol w:w="1017"/>
      </w:tblGrid>
      <w:tr w:rsidR="00F7725C" w:rsidRPr="00DB4541" w14:paraId="45F7353C" w14:textId="77777777" w:rsidTr="00E72162">
        <w:trPr>
          <w:trHeight w:val="300"/>
        </w:trPr>
        <w:tc>
          <w:tcPr>
            <w:tcW w:w="2540" w:type="dxa"/>
            <w:tcBorders>
              <w:top w:val="nil"/>
              <w:left w:val="nil"/>
              <w:bottom w:val="nil"/>
              <w:right w:val="nil"/>
            </w:tcBorders>
            <w:shd w:val="clear" w:color="auto" w:fill="auto"/>
            <w:noWrap/>
            <w:vAlign w:val="bottom"/>
            <w:hideMark/>
          </w:tcPr>
          <w:p w14:paraId="1B6F058F" w14:textId="77777777" w:rsidR="00F7725C" w:rsidRPr="00DB4541" w:rsidRDefault="00F7725C" w:rsidP="00E72162"/>
        </w:tc>
        <w:tc>
          <w:tcPr>
            <w:tcW w:w="840" w:type="dxa"/>
            <w:tcBorders>
              <w:top w:val="nil"/>
              <w:left w:val="nil"/>
              <w:bottom w:val="nil"/>
              <w:right w:val="nil"/>
            </w:tcBorders>
            <w:shd w:val="clear" w:color="auto" w:fill="auto"/>
            <w:noWrap/>
            <w:vAlign w:val="bottom"/>
            <w:hideMark/>
          </w:tcPr>
          <w:p w14:paraId="0D3509E2" w14:textId="77777777" w:rsidR="00F7725C" w:rsidRPr="00DB4541" w:rsidRDefault="00F7725C" w:rsidP="00E72162">
            <w:pPr>
              <w:rPr>
                <w:sz w:val="20"/>
                <w:szCs w:val="20"/>
              </w:rPr>
            </w:pPr>
          </w:p>
        </w:tc>
        <w:tc>
          <w:tcPr>
            <w:tcW w:w="1080" w:type="dxa"/>
            <w:tcBorders>
              <w:top w:val="nil"/>
              <w:left w:val="nil"/>
              <w:bottom w:val="nil"/>
              <w:right w:val="nil"/>
            </w:tcBorders>
            <w:shd w:val="clear" w:color="auto" w:fill="auto"/>
            <w:noWrap/>
            <w:vAlign w:val="bottom"/>
            <w:hideMark/>
          </w:tcPr>
          <w:p w14:paraId="46C8C8CA" w14:textId="77777777" w:rsidR="00F7725C" w:rsidRPr="00DB4541" w:rsidRDefault="00F7725C" w:rsidP="00E72162">
            <w:pPr>
              <w:jc w:val="center"/>
              <w:rPr>
                <w:sz w:val="20"/>
                <w:szCs w:val="20"/>
              </w:rPr>
            </w:pPr>
          </w:p>
        </w:tc>
        <w:tc>
          <w:tcPr>
            <w:tcW w:w="920" w:type="dxa"/>
            <w:tcBorders>
              <w:top w:val="nil"/>
              <w:left w:val="nil"/>
              <w:bottom w:val="nil"/>
              <w:right w:val="nil"/>
            </w:tcBorders>
            <w:shd w:val="clear" w:color="auto" w:fill="auto"/>
            <w:noWrap/>
            <w:vAlign w:val="bottom"/>
            <w:hideMark/>
          </w:tcPr>
          <w:p w14:paraId="1FCBD53C" w14:textId="77777777" w:rsidR="00F7725C" w:rsidRPr="00DB4541" w:rsidRDefault="00F7725C" w:rsidP="00E72162">
            <w:pPr>
              <w:jc w:val="center"/>
              <w:rPr>
                <w:sz w:val="20"/>
                <w:szCs w:val="20"/>
              </w:rPr>
            </w:pPr>
          </w:p>
        </w:tc>
        <w:tc>
          <w:tcPr>
            <w:tcW w:w="1184" w:type="dxa"/>
            <w:tcBorders>
              <w:top w:val="nil"/>
              <w:left w:val="nil"/>
              <w:bottom w:val="nil"/>
              <w:right w:val="nil"/>
            </w:tcBorders>
            <w:shd w:val="clear" w:color="auto" w:fill="auto"/>
            <w:noWrap/>
            <w:vAlign w:val="bottom"/>
            <w:hideMark/>
          </w:tcPr>
          <w:p w14:paraId="69C02F31" w14:textId="77777777" w:rsidR="00F7725C" w:rsidRPr="00DB4541" w:rsidRDefault="00F7725C" w:rsidP="00E72162">
            <w:pPr>
              <w:jc w:val="center"/>
              <w:rPr>
                <w:sz w:val="20"/>
                <w:szCs w:val="20"/>
              </w:rPr>
            </w:pPr>
          </w:p>
        </w:tc>
        <w:tc>
          <w:tcPr>
            <w:tcW w:w="880" w:type="dxa"/>
            <w:tcBorders>
              <w:top w:val="nil"/>
              <w:left w:val="nil"/>
              <w:bottom w:val="nil"/>
              <w:right w:val="nil"/>
            </w:tcBorders>
            <w:shd w:val="clear" w:color="auto" w:fill="auto"/>
            <w:noWrap/>
            <w:vAlign w:val="bottom"/>
            <w:hideMark/>
          </w:tcPr>
          <w:p w14:paraId="0CDF672F" w14:textId="77777777" w:rsidR="00F7725C" w:rsidRPr="00DB4541" w:rsidRDefault="00F7725C" w:rsidP="00E72162">
            <w:pPr>
              <w:jc w:val="center"/>
              <w:rPr>
                <w:sz w:val="20"/>
                <w:szCs w:val="20"/>
              </w:rPr>
            </w:pPr>
          </w:p>
        </w:tc>
        <w:tc>
          <w:tcPr>
            <w:tcW w:w="1017" w:type="dxa"/>
            <w:tcBorders>
              <w:top w:val="nil"/>
              <w:left w:val="nil"/>
              <w:bottom w:val="nil"/>
              <w:right w:val="nil"/>
            </w:tcBorders>
            <w:shd w:val="clear" w:color="auto" w:fill="auto"/>
            <w:noWrap/>
            <w:vAlign w:val="bottom"/>
            <w:hideMark/>
          </w:tcPr>
          <w:p w14:paraId="71863DA1"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All Other</w:t>
            </w:r>
          </w:p>
        </w:tc>
      </w:tr>
      <w:tr w:rsidR="00F7725C" w:rsidRPr="00DB4541" w14:paraId="3D54BFC8" w14:textId="77777777" w:rsidTr="00E72162">
        <w:trPr>
          <w:trHeight w:val="300"/>
        </w:trPr>
        <w:tc>
          <w:tcPr>
            <w:tcW w:w="2540" w:type="dxa"/>
            <w:tcBorders>
              <w:top w:val="nil"/>
              <w:left w:val="nil"/>
              <w:bottom w:val="nil"/>
              <w:right w:val="nil"/>
            </w:tcBorders>
            <w:shd w:val="clear" w:color="auto" w:fill="auto"/>
            <w:noWrap/>
            <w:vAlign w:val="bottom"/>
            <w:hideMark/>
          </w:tcPr>
          <w:p w14:paraId="37C2206E"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 xml:space="preserve">Mental Health </w:t>
            </w:r>
          </w:p>
        </w:tc>
        <w:tc>
          <w:tcPr>
            <w:tcW w:w="840" w:type="dxa"/>
            <w:tcBorders>
              <w:top w:val="nil"/>
              <w:left w:val="nil"/>
              <w:bottom w:val="nil"/>
              <w:right w:val="nil"/>
            </w:tcBorders>
            <w:shd w:val="clear" w:color="auto" w:fill="auto"/>
            <w:noWrap/>
            <w:vAlign w:val="bottom"/>
            <w:hideMark/>
          </w:tcPr>
          <w:p w14:paraId="2D62E970"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All</w:t>
            </w:r>
          </w:p>
        </w:tc>
        <w:tc>
          <w:tcPr>
            <w:tcW w:w="1080" w:type="dxa"/>
            <w:tcBorders>
              <w:top w:val="nil"/>
              <w:left w:val="nil"/>
              <w:bottom w:val="nil"/>
              <w:right w:val="nil"/>
            </w:tcBorders>
            <w:shd w:val="clear" w:color="auto" w:fill="auto"/>
            <w:noWrap/>
            <w:vAlign w:val="bottom"/>
            <w:hideMark/>
          </w:tcPr>
          <w:p w14:paraId="46A2407C"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Am Ind/</w:t>
            </w:r>
          </w:p>
        </w:tc>
        <w:tc>
          <w:tcPr>
            <w:tcW w:w="920" w:type="dxa"/>
            <w:tcBorders>
              <w:top w:val="nil"/>
              <w:left w:val="nil"/>
              <w:bottom w:val="nil"/>
              <w:right w:val="nil"/>
            </w:tcBorders>
            <w:shd w:val="clear" w:color="auto" w:fill="auto"/>
            <w:noWrap/>
            <w:vAlign w:val="bottom"/>
            <w:hideMark/>
          </w:tcPr>
          <w:p w14:paraId="5990A3DF"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Black/</w:t>
            </w:r>
          </w:p>
        </w:tc>
        <w:tc>
          <w:tcPr>
            <w:tcW w:w="1184" w:type="dxa"/>
            <w:tcBorders>
              <w:top w:val="nil"/>
              <w:left w:val="nil"/>
              <w:bottom w:val="nil"/>
              <w:right w:val="nil"/>
            </w:tcBorders>
            <w:shd w:val="clear" w:color="auto" w:fill="auto"/>
            <w:noWrap/>
            <w:vAlign w:val="bottom"/>
            <w:hideMark/>
          </w:tcPr>
          <w:p w14:paraId="1CEB7F26"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Hispanic/</w:t>
            </w:r>
          </w:p>
        </w:tc>
        <w:tc>
          <w:tcPr>
            <w:tcW w:w="880" w:type="dxa"/>
            <w:tcBorders>
              <w:top w:val="nil"/>
              <w:left w:val="nil"/>
              <w:bottom w:val="nil"/>
              <w:right w:val="nil"/>
            </w:tcBorders>
            <w:shd w:val="clear" w:color="auto" w:fill="auto"/>
            <w:noWrap/>
            <w:vAlign w:val="bottom"/>
            <w:hideMark/>
          </w:tcPr>
          <w:p w14:paraId="1179A62E" w14:textId="77777777" w:rsidR="00F7725C" w:rsidRPr="00DB4541" w:rsidRDefault="00F7725C" w:rsidP="00E72162">
            <w:pPr>
              <w:jc w:val="center"/>
              <w:rPr>
                <w:rFonts w:ascii="Calibri" w:hAnsi="Calibri" w:cs="Calibri"/>
                <w:b/>
                <w:bCs/>
                <w:color w:val="000000"/>
                <w:sz w:val="22"/>
                <w:szCs w:val="22"/>
              </w:rPr>
            </w:pPr>
          </w:p>
        </w:tc>
        <w:tc>
          <w:tcPr>
            <w:tcW w:w="1017" w:type="dxa"/>
            <w:tcBorders>
              <w:top w:val="nil"/>
              <w:left w:val="nil"/>
              <w:bottom w:val="nil"/>
              <w:right w:val="nil"/>
            </w:tcBorders>
            <w:shd w:val="clear" w:color="auto" w:fill="auto"/>
            <w:noWrap/>
            <w:vAlign w:val="bottom"/>
            <w:hideMark/>
          </w:tcPr>
          <w:p w14:paraId="02E8F03B"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Race/</w:t>
            </w:r>
          </w:p>
        </w:tc>
      </w:tr>
      <w:tr w:rsidR="00F7725C" w:rsidRPr="00DB4541" w14:paraId="41E8F438" w14:textId="77777777" w:rsidTr="00E72162">
        <w:trPr>
          <w:trHeight w:val="300"/>
        </w:trPr>
        <w:tc>
          <w:tcPr>
            <w:tcW w:w="2540" w:type="dxa"/>
            <w:tcBorders>
              <w:top w:val="nil"/>
              <w:left w:val="nil"/>
              <w:bottom w:val="single" w:sz="4" w:space="0" w:color="auto"/>
              <w:right w:val="nil"/>
            </w:tcBorders>
            <w:shd w:val="clear" w:color="auto" w:fill="auto"/>
            <w:noWrap/>
            <w:vAlign w:val="bottom"/>
            <w:hideMark/>
          </w:tcPr>
          <w:p w14:paraId="774E25E9"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Expenditures per Person</w:t>
            </w:r>
          </w:p>
        </w:tc>
        <w:tc>
          <w:tcPr>
            <w:tcW w:w="840" w:type="dxa"/>
            <w:tcBorders>
              <w:top w:val="nil"/>
              <w:left w:val="nil"/>
              <w:bottom w:val="single" w:sz="4" w:space="0" w:color="auto"/>
              <w:right w:val="nil"/>
            </w:tcBorders>
            <w:shd w:val="clear" w:color="auto" w:fill="auto"/>
            <w:noWrap/>
            <w:vAlign w:val="bottom"/>
            <w:hideMark/>
          </w:tcPr>
          <w:p w14:paraId="0C114CB7"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0EB8BFB5"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609F3135"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562FAFC5"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Latino/a/x</w:t>
            </w:r>
          </w:p>
        </w:tc>
        <w:tc>
          <w:tcPr>
            <w:tcW w:w="880" w:type="dxa"/>
            <w:tcBorders>
              <w:top w:val="nil"/>
              <w:left w:val="nil"/>
              <w:bottom w:val="single" w:sz="4" w:space="0" w:color="auto"/>
              <w:right w:val="nil"/>
            </w:tcBorders>
            <w:shd w:val="clear" w:color="auto" w:fill="auto"/>
            <w:noWrap/>
            <w:vAlign w:val="bottom"/>
            <w:hideMark/>
          </w:tcPr>
          <w:p w14:paraId="7E76F985"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354F652B" w14:textId="77777777" w:rsidR="00F7725C" w:rsidRPr="00DB4541" w:rsidRDefault="00F7725C" w:rsidP="00E72162">
            <w:pPr>
              <w:jc w:val="center"/>
              <w:rPr>
                <w:rFonts w:ascii="Calibri" w:hAnsi="Calibri" w:cs="Calibri"/>
                <w:b/>
                <w:bCs/>
                <w:color w:val="000000"/>
                <w:sz w:val="22"/>
                <w:szCs w:val="22"/>
              </w:rPr>
            </w:pPr>
            <w:r w:rsidRPr="00DB4541">
              <w:rPr>
                <w:rFonts w:ascii="Calibri" w:hAnsi="Calibri" w:cs="Calibri"/>
                <w:b/>
                <w:bCs/>
                <w:color w:val="000000"/>
                <w:sz w:val="22"/>
                <w:szCs w:val="22"/>
              </w:rPr>
              <w:t>Ethnicity</w:t>
            </w:r>
          </w:p>
        </w:tc>
      </w:tr>
      <w:tr w:rsidR="00F7725C" w:rsidRPr="00DB4541" w14:paraId="0DB33CC0" w14:textId="77777777" w:rsidTr="00E72162">
        <w:trPr>
          <w:trHeight w:val="300"/>
        </w:trPr>
        <w:tc>
          <w:tcPr>
            <w:tcW w:w="2540" w:type="dxa"/>
            <w:tcBorders>
              <w:top w:val="nil"/>
              <w:left w:val="nil"/>
              <w:bottom w:val="nil"/>
              <w:right w:val="nil"/>
            </w:tcBorders>
            <w:shd w:val="clear" w:color="auto" w:fill="auto"/>
            <w:noWrap/>
            <w:vAlign w:val="bottom"/>
            <w:hideMark/>
          </w:tcPr>
          <w:p w14:paraId="20EDDAC4"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Total</w:t>
            </w:r>
          </w:p>
        </w:tc>
        <w:tc>
          <w:tcPr>
            <w:tcW w:w="840" w:type="dxa"/>
            <w:tcBorders>
              <w:top w:val="nil"/>
              <w:left w:val="nil"/>
              <w:bottom w:val="nil"/>
              <w:right w:val="nil"/>
            </w:tcBorders>
            <w:shd w:val="clear" w:color="auto" w:fill="auto"/>
            <w:noWrap/>
            <w:vAlign w:val="bottom"/>
            <w:hideMark/>
          </w:tcPr>
          <w:p w14:paraId="5FEE638C" w14:textId="77777777" w:rsidR="00F7725C" w:rsidRPr="00DB4541"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576DE399"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2DC15A72"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6DB79689" w14:textId="77777777" w:rsidR="00F7725C" w:rsidRPr="00DB4541"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3716FEC8" w14:textId="77777777" w:rsidR="00F7725C" w:rsidRPr="00DB4541"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0838FF9F" w14:textId="77777777" w:rsidR="00F7725C" w:rsidRPr="00DB4541" w:rsidRDefault="00F7725C" w:rsidP="00E72162">
            <w:pPr>
              <w:rPr>
                <w:sz w:val="20"/>
                <w:szCs w:val="20"/>
              </w:rPr>
            </w:pPr>
          </w:p>
        </w:tc>
      </w:tr>
      <w:tr w:rsidR="00F7725C" w:rsidRPr="00DB4541" w14:paraId="551FAC6C" w14:textId="77777777" w:rsidTr="00E72162">
        <w:trPr>
          <w:trHeight w:val="300"/>
        </w:trPr>
        <w:tc>
          <w:tcPr>
            <w:tcW w:w="2540" w:type="dxa"/>
            <w:tcBorders>
              <w:top w:val="nil"/>
              <w:left w:val="nil"/>
              <w:bottom w:val="nil"/>
              <w:right w:val="nil"/>
            </w:tcBorders>
            <w:shd w:val="clear" w:color="auto" w:fill="auto"/>
            <w:noWrap/>
            <w:vAlign w:val="bottom"/>
            <w:hideMark/>
          </w:tcPr>
          <w:p w14:paraId="302E37E4"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822EAC2"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19.4%</w:t>
            </w:r>
          </w:p>
        </w:tc>
        <w:tc>
          <w:tcPr>
            <w:tcW w:w="1080" w:type="dxa"/>
            <w:tcBorders>
              <w:top w:val="nil"/>
              <w:left w:val="nil"/>
              <w:bottom w:val="nil"/>
              <w:right w:val="nil"/>
            </w:tcBorders>
            <w:shd w:val="clear" w:color="auto" w:fill="auto"/>
            <w:noWrap/>
            <w:vAlign w:val="bottom"/>
            <w:hideMark/>
          </w:tcPr>
          <w:p w14:paraId="6E9518DF"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5.2%</w:t>
            </w:r>
          </w:p>
        </w:tc>
        <w:tc>
          <w:tcPr>
            <w:tcW w:w="920" w:type="dxa"/>
            <w:tcBorders>
              <w:top w:val="nil"/>
              <w:left w:val="nil"/>
              <w:bottom w:val="nil"/>
              <w:right w:val="nil"/>
            </w:tcBorders>
            <w:shd w:val="clear" w:color="auto" w:fill="auto"/>
            <w:noWrap/>
            <w:vAlign w:val="bottom"/>
            <w:hideMark/>
          </w:tcPr>
          <w:p w14:paraId="68E821B7"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6.8%</w:t>
            </w:r>
          </w:p>
        </w:tc>
        <w:tc>
          <w:tcPr>
            <w:tcW w:w="1184" w:type="dxa"/>
            <w:tcBorders>
              <w:top w:val="nil"/>
              <w:left w:val="nil"/>
              <w:bottom w:val="nil"/>
              <w:right w:val="nil"/>
            </w:tcBorders>
            <w:shd w:val="clear" w:color="auto" w:fill="auto"/>
            <w:noWrap/>
            <w:vAlign w:val="bottom"/>
            <w:hideMark/>
          </w:tcPr>
          <w:p w14:paraId="2C62495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11.4%</w:t>
            </w:r>
          </w:p>
        </w:tc>
        <w:tc>
          <w:tcPr>
            <w:tcW w:w="880" w:type="dxa"/>
            <w:tcBorders>
              <w:top w:val="nil"/>
              <w:left w:val="nil"/>
              <w:bottom w:val="nil"/>
              <w:right w:val="nil"/>
            </w:tcBorders>
            <w:shd w:val="clear" w:color="auto" w:fill="auto"/>
            <w:noWrap/>
            <w:vAlign w:val="bottom"/>
            <w:hideMark/>
          </w:tcPr>
          <w:p w14:paraId="51A3681D"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20.9%</w:t>
            </w:r>
          </w:p>
        </w:tc>
        <w:tc>
          <w:tcPr>
            <w:tcW w:w="1017" w:type="dxa"/>
            <w:tcBorders>
              <w:top w:val="nil"/>
              <w:left w:val="nil"/>
              <w:bottom w:val="nil"/>
              <w:right w:val="nil"/>
            </w:tcBorders>
            <w:shd w:val="clear" w:color="auto" w:fill="auto"/>
            <w:noWrap/>
            <w:vAlign w:val="bottom"/>
            <w:hideMark/>
          </w:tcPr>
          <w:p w14:paraId="04DE0983" w14:textId="77777777" w:rsidR="00F7725C" w:rsidRPr="00DB4541" w:rsidRDefault="00F7725C" w:rsidP="00E72162">
            <w:pPr>
              <w:jc w:val="right"/>
              <w:rPr>
                <w:rFonts w:ascii="Calibri" w:hAnsi="Calibri" w:cs="Calibri"/>
                <w:b/>
                <w:bCs/>
                <w:color w:val="000000"/>
                <w:sz w:val="22"/>
                <w:szCs w:val="22"/>
              </w:rPr>
            </w:pPr>
            <w:r w:rsidRPr="00DB4541">
              <w:rPr>
                <w:rFonts w:ascii="Calibri" w:hAnsi="Calibri" w:cs="Calibri"/>
                <w:b/>
                <w:bCs/>
                <w:color w:val="000000"/>
                <w:sz w:val="22"/>
                <w:szCs w:val="22"/>
              </w:rPr>
              <w:t>77.6%</w:t>
            </w:r>
          </w:p>
        </w:tc>
      </w:tr>
      <w:tr w:rsidR="00F7725C" w:rsidRPr="00DB4541" w14:paraId="10B9ED96" w14:textId="77777777" w:rsidTr="00E72162">
        <w:trPr>
          <w:trHeight w:val="300"/>
        </w:trPr>
        <w:tc>
          <w:tcPr>
            <w:tcW w:w="2540" w:type="dxa"/>
            <w:tcBorders>
              <w:top w:val="nil"/>
              <w:left w:val="nil"/>
              <w:bottom w:val="nil"/>
              <w:right w:val="nil"/>
            </w:tcBorders>
            <w:shd w:val="clear" w:color="auto" w:fill="auto"/>
            <w:noWrap/>
            <w:vAlign w:val="bottom"/>
            <w:hideMark/>
          </w:tcPr>
          <w:p w14:paraId="3B26902A"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175686F"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28.1%</w:t>
            </w:r>
          </w:p>
        </w:tc>
        <w:tc>
          <w:tcPr>
            <w:tcW w:w="1080" w:type="dxa"/>
            <w:tcBorders>
              <w:top w:val="nil"/>
              <w:left w:val="nil"/>
              <w:bottom w:val="nil"/>
              <w:right w:val="nil"/>
            </w:tcBorders>
            <w:shd w:val="clear" w:color="auto" w:fill="auto"/>
            <w:noWrap/>
            <w:vAlign w:val="bottom"/>
            <w:hideMark/>
          </w:tcPr>
          <w:p w14:paraId="2034479D"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1.0%</w:t>
            </w:r>
          </w:p>
        </w:tc>
        <w:tc>
          <w:tcPr>
            <w:tcW w:w="920" w:type="dxa"/>
            <w:tcBorders>
              <w:top w:val="nil"/>
              <w:left w:val="nil"/>
              <w:bottom w:val="nil"/>
              <w:right w:val="nil"/>
            </w:tcBorders>
            <w:shd w:val="clear" w:color="auto" w:fill="auto"/>
            <w:noWrap/>
            <w:vAlign w:val="bottom"/>
            <w:hideMark/>
          </w:tcPr>
          <w:p w14:paraId="10AC0AFC"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35.3%</w:t>
            </w:r>
          </w:p>
        </w:tc>
        <w:tc>
          <w:tcPr>
            <w:tcW w:w="1184" w:type="dxa"/>
            <w:tcBorders>
              <w:top w:val="nil"/>
              <w:left w:val="nil"/>
              <w:bottom w:val="nil"/>
              <w:right w:val="nil"/>
            </w:tcBorders>
            <w:shd w:val="clear" w:color="auto" w:fill="auto"/>
            <w:noWrap/>
            <w:vAlign w:val="bottom"/>
            <w:hideMark/>
          </w:tcPr>
          <w:p w14:paraId="332E1AD2"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19.4%</w:t>
            </w:r>
          </w:p>
        </w:tc>
        <w:tc>
          <w:tcPr>
            <w:tcW w:w="880" w:type="dxa"/>
            <w:tcBorders>
              <w:top w:val="nil"/>
              <w:left w:val="nil"/>
              <w:bottom w:val="nil"/>
              <w:right w:val="nil"/>
            </w:tcBorders>
            <w:shd w:val="clear" w:color="auto" w:fill="auto"/>
            <w:noWrap/>
            <w:vAlign w:val="bottom"/>
            <w:hideMark/>
          </w:tcPr>
          <w:p w14:paraId="0AC7C9C0"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31.0%</w:t>
            </w:r>
          </w:p>
        </w:tc>
        <w:tc>
          <w:tcPr>
            <w:tcW w:w="1017" w:type="dxa"/>
            <w:tcBorders>
              <w:top w:val="nil"/>
              <w:left w:val="nil"/>
              <w:bottom w:val="nil"/>
              <w:right w:val="nil"/>
            </w:tcBorders>
            <w:shd w:val="clear" w:color="auto" w:fill="auto"/>
            <w:noWrap/>
            <w:vAlign w:val="bottom"/>
            <w:hideMark/>
          </w:tcPr>
          <w:p w14:paraId="2D938DF6"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27.9%</w:t>
            </w:r>
          </w:p>
        </w:tc>
      </w:tr>
      <w:tr w:rsidR="00F7725C" w:rsidRPr="00DB4541" w14:paraId="784E4A67" w14:textId="77777777" w:rsidTr="00E72162">
        <w:trPr>
          <w:trHeight w:val="300"/>
        </w:trPr>
        <w:tc>
          <w:tcPr>
            <w:tcW w:w="2540" w:type="dxa"/>
            <w:tcBorders>
              <w:top w:val="nil"/>
              <w:left w:val="nil"/>
              <w:bottom w:val="nil"/>
              <w:right w:val="nil"/>
            </w:tcBorders>
            <w:shd w:val="clear" w:color="auto" w:fill="auto"/>
            <w:noWrap/>
            <w:vAlign w:val="bottom"/>
            <w:hideMark/>
          </w:tcPr>
          <w:p w14:paraId="47DC5774"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Inpatient</w:t>
            </w:r>
          </w:p>
        </w:tc>
        <w:tc>
          <w:tcPr>
            <w:tcW w:w="840" w:type="dxa"/>
            <w:tcBorders>
              <w:top w:val="nil"/>
              <w:left w:val="nil"/>
              <w:bottom w:val="nil"/>
              <w:right w:val="nil"/>
            </w:tcBorders>
            <w:shd w:val="clear" w:color="auto" w:fill="auto"/>
            <w:noWrap/>
            <w:vAlign w:val="bottom"/>
            <w:hideMark/>
          </w:tcPr>
          <w:p w14:paraId="6B13CD50" w14:textId="77777777" w:rsidR="00F7725C" w:rsidRPr="00FE71C3" w:rsidRDefault="00F7725C" w:rsidP="00E72162">
            <w:pPr>
              <w:rPr>
                <w:rFonts w:ascii="Calibri" w:hAnsi="Calibri" w:cs="Calibri"/>
                <w:b/>
                <w:bCs/>
                <w:i/>
                <w:color w:val="000000"/>
                <w:sz w:val="22"/>
                <w:szCs w:val="22"/>
              </w:rPr>
            </w:pPr>
          </w:p>
        </w:tc>
        <w:tc>
          <w:tcPr>
            <w:tcW w:w="1080" w:type="dxa"/>
            <w:tcBorders>
              <w:top w:val="nil"/>
              <w:left w:val="nil"/>
              <w:bottom w:val="nil"/>
              <w:right w:val="nil"/>
            </w:tcBorders>
            <w:shd w:val="clear" w:color="auto" w:fill="auto"/>
            <w:noWrap/>
            <w:vAlign w:val="bottom"/>
            <w:hideMark/>
          </w:tcPr>
          <w:p w14:paraId="71B85D89"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48E94B21"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38F3FC4B" w14:textId="77777777" w:rsidR="00F7725C" w:rsidRPr="00FE71C3" w:rsidRDefault="00F7725C" w:rsidP="00E72162">
            <w:pPr>
              <w:rPr>
                <w:i/>
                <w:sz w:val="20"/>
                <w:szCs w:val="20"/>
              </w:rPr>
            </w:pPr>
          </w:p>
        </w:tc>
        <w:tc>
          <w:tcPr>
            <w:tcW w:w="880" w:type="dxa"/>
            <w:tcBorders>
              <w:top w:val="nil"/>
              <w:left w:val="nil"/>
              <w:bottom w:val="nil"/>
              <w:right w:val="nil"/>
            </w:tcBorders>
            <w:shd w:val="clear" w:color="auto" w:fill="auto"/>
            <w:noWrap/>
            <w:vAlign w:val="bottom"/>
            <w:hideMark/>
          </w:tcPr>
          <w:p w14:paraId="032291C8" w14:textId="77777777" w:rsidR="00F7725C" w:rsidRPr="00FE71C3" w:rsidRDefault="00F7725C" w:rsidP="00E72162">
            <w:pPr>
              <w:rPr>
                <w:i/>
                <w:sz w:val="20"/>
                <w:szCs w:val="20"/>
              </w:rPr>
            </w:pPr>
          </w:p>
        </w:tc>
        <w:tc>
          <w:tcPr>
            <w:tcW w:w="1017" w:type="dxa"/>
            <w:tcBorders>
              <w:top w:val="nil"/>
              <w:left w:val="nil"/>
              <w:bottom w:val="nil"/>
              <w:right w:val="nil"/>
            </w:tcBorders>
            <w:shd w:val="clear" w:color="auto" w:fill="auto"/>
            <w:noWrap/>
            <w:vAlign w:val="bottom"/>
            <w:hideMark/>
          </w:tcPr>
          <w:p w14:paraId="603F5289" w14:textId="77777777" w:rsidR="00F7725C" w:rsidRPr="00DB4541" w:rsidRDefault="00F7725C" w:rsidP="00E72162">
            <w:pPr>
              <w:rPr>
                <w:sz w:val="20"/>
                <w:szCs w:val="20"/>
              </w:rPr>
            </w:pPr>
          </w:p>
        </w:tc>
      </w:tr>
      <w:tr w:rsidR="00F7725C" w:rsidRPr="00DB4541" w14:paraId="029379BF" w14:textId="77777777" w:rsidTr="00E72162">
        <w:trPr>
          <w:trHeight w:val="300"/>
        </w:trPr>
        <w:tc>
          <w:tcPr>
            <w:tcW w:w="2540" w:type="dxa"/>
            <w:tcBorders>
              <w:top w:val="nil"/>
              <w:left w:val="nil"/>
              <w:bottom w:val="nil"/>
              <w:right w:val="nil"/>
            </w:tcBorders>
            <w:shd w:val="clear" w:color="auto" w:fill="auto"/>
            <w:noWrap/>
            <w:vAlign w:val="bottom"/>
            <w:hideMark/>
          </w:tcPr>
          <w:p w14:paraId="6E89533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25496FB8"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-19.8%</w:t>
            </w:r>
          </w:p>
        </w:tc>
        <w:tc>
          <w:tcPr>
            <w:tcW w:w="1080" w:type="dxa"/>
            <w:tcBorders>
              <w:top w:val="nil"/>
              <w:left w:val="nil"/>
              <w:bottom w:val="nil"/>
              <w:right w:val="nil"/>
            </w:tcBorders>
            <w:shd w:val="clear" w:color="auto" w:fill="auto"/>
            <w:noWrap/>
            <w:vAlign w:val="bottom"/>
            <w:hideMark/>
          </w:tcPr>
          <w:p w14:paraId="0D4FB57F"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162.0%</w:t>
            </w:r>
          </w:p>
        </w:tc>
        <w:tc>
          <w:tcPr>
            <w:tcW w:w="920" w:type="dxa"/>
            <w:tcBorders>
              <w:top w:val="nil"/>
              <w:left w:val="nil"/>
              <w:bottom w:val="nil"/>
              <w:right w:val="nil"/>
            </w:tcBorders>
            <w:shd w:val="clear" w:color="auto" w:fill="auto"/>
            <w:noWrap/>
            <w:vAlign w:val="bottom"/>
            <w:hideMark/>
          </w:tcPr>
          <w:p w14:paraId="45F27FD6"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-43.7%</w:t>
            </w:r>
          </w:p>
        </w:tc>
        <w:tc>
          <w:tcPr>
            <w:tcW w:w="1184" w:type="dxa"/>
            <w:tcBorders>
              <w:top w:val="nil"/>
              <w:left w:val="nil"/>
              <w:bottom w:val="nil"/>
              <w:right w:val="nil"/>
            </w:tcBorders>
            <w:shd w:val="clear" w:color="auto" w:fill="auto"/>
            <w:noWrap/>
            <w:vAlign w:val="bottom"/>
            <w:hideMark/>
          </w:tcPr>
          <w:p w14:paraId="031EFF26"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-86.9%</w:t>
            </w:r>
          </w:p>
        </w:tc>
        <w:tc>
          <w:tcPr>
            <w:tcW w:w="880" w:type="dxa"/>
            <w:tcBorders>
              <w:top w:val="nil"/>
              <w:left w:val="nil"/>
              <w:bottom w:val="nil"/>
              <w:right w:val="nil"/>
            </w:tcBorders>
            <w:shd w:val="clear" w:color="auto" w:fill="auto"/>
            <w:noWrap/>
            <w:vAlign w:val="bottom"/>
            <w:hideMark/>
          </w:tcPr>
          <w:p w14:paraId="572F1671"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-30.6%</w:t>
            </w:r>
          </w:p>
        </w:tc>
        <w:tc>
          <w:tcPr>
            <w:tcW w:w="1017" w:type="dxa"/>
            <w:tcBorders>
              <w:top w:val="nil"/>
              <w:left w:val="nil"/>
              <w:bottom w:val="nil"/>
              <w:right w:val="nil"/>
            </w:tcBorders>
            <w:shd w:val="clear" w:color="auto" w:fill="auto"/>
            <w:noWrap/>
            <w:vAlign w:val="bottom"/>
            <w:hideMark/>
          </w:tcPr>
          <w:p w14:paraId="447CCB6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716.8%</w:t>
            </w:r>
          </w:p>
        </w:tc>
      </w:tr>
      <w:tr w:rsidR="00F7725C" w:rsidRPr="00DB4541" w14:paraId="217C8EBE" w14:textId="77777777" w:rsidTr="00E72162">
        <w:trPr>
          <w:trHeight w:val="300"/>
        </w:trPr>
        <w:tc>
          <w:tcPr>
            <w:tcW w:w="2540" w:type="dxa"/>
            <w:tcBorders>
              <w:top w:val="nil"/>
              <w:left w:val="nil"/>
              <w:bottom w:val="nil"/>
              <w:right w:val="nil"/>
            </w:tcBorders>
            <w:shd w:val="clear" w:color="auto" w:fill="auto"/>
            <w:noWrap/>
            <w:vAlign w:val="bottom"/>
            <w:hideMark/>
          </w:tcPr>
          <w:p w14:paraId="6EB253A0"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4A3F06A8"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-29.5%</w:t>
            </w:r>
          </w:p>
        </w:tc>
        <w:tc>
          <w:tcPr>
            <w:tcW w:w="1080" w:type="dxa"/>
            <w:tcBorders>
              <w:top w:val="nil"/>
              <w:left w:val="nil"/>
              <w:bottom w:val="nil"/>
              <w:right w:val="nil"/>
            </w:tcBorders>
            <w:shd w:val="clear" w:color="auto" w:fill="auto"/>
            <w:noWrap/>
            <w:vAlign w:val="bottom"/>
            <w:hideMark/>
          </w:tcPr>
          <w:p w14:paraId="6EEF2A3A"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168.6%</w:t>
            </w:r>
          </w:p>
        </w:tc>
        <w:tc>
          <w:tcPr>
            <w:tcW w:w="920" w:type="dxa"/>
            <w:tcBorders>
              <w:top w:val="nil"/>
              <w:left w:val="nil"/>
              <w:bottom w:val="nil"/>
              <w:right w:val="nil"/>
            </w:tcBorders>
            <w:shd w:val="clear" w:color="auto" w:fill="auto"/>
            <w:noWrap/>
            <w:vAlign w:val="bottom"/>
            <w:hideMark/>
          </w:tcPr>
          <w:p w14:paraId="6833F30C"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-83.7%</w:t>
            </w:r>
          </w:p>
        </w:tc>
        <w:tc>
          <w:tcPr>
            <w:tcW w:w="1184" w:type="dxa"/>
            <w:tcBorders>
              <w:top w:val="nil"/>
              <w:left w:val="nil"/>
              <w:bottom w:val="nil"/>
              <w:right w:val="nil"/>
            </w:tcBorders>
            <w:shd w:val="clear" w:color="auto" w:fill="auto"/>
            <w:noWrap/>
            <w:vAlign w:val="bottom"/>
            <w:hideMark/>
          </w:tcPr>
          <w:p w14:paraId="2BFFF67E"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-77.9%</w:t>
            </w:r>
          </w:p>
        </w:tc>
        <w:tc>
          <w:tcPr>
            <w:tcW w:w="880" w:type="dxa"/>
            <w:tcBorders>
              <w:top w:val="nil"/>
              <w:left w:val="nil"/>
              <w:bottom w:val="nil"/>
              <w:right w:val="nil"/>
            </w:tcBorders>
            <w:shd w:val="clear" w:color="auto" w:fill="auto"/>
            <w:noWrap/>
            <w:vAlign w:val="bottom"/>
            <w:hideMark/>
          </w:tcPr>
          <w:p w14:paraId="159FFF2A"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-14.6%</w:t>
            </w:r>
          </w:p>
        </w:tc>
        <w:tc>
          <w:tcPr>
            <w:tcW w:w="1017" w:type="dxa"/>
            <w:tcBorders>
              <w:top w:val="nil"/>
              <w:left w:val="nil"/>
              <w:bottom w:val="nil"/>
              <w:right w:val="nil"/>
            </w:tcBorders>
            <w:shd w:val="clear" w:color="auto" w:fill="auto"/>
            <w:noWrap/>
            <w:vAlign w:val="bottom"/>
            <w:hideMark/>
          </w:tcPr>
          <w:p w14:paraId="360CBB5C"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r>
      <w:tr w:rsidR="00F7725C" w:rsidRPr="00DB4541" w14:paraId="160DD7E2" w14:textId="77777777" w:rsidTr="00E72162">
        <w:trPr>
          <w:trHeight w:val="300"/>
        </w:trPr>
        <w:tc>
          <w:tcPr>
            <w:tcW w:w="2540" w:type="dxa"/>
            <w:tcBorders>
              <w:top w:val="nil"/>
              <w:left w:val="nil"/>
              <w:bottom w:val="nil"/>
              <w:right w:val="nil"/>
            </w:tcBorders>
            <w:shd w:val="clear" w:color="auto" w:fill="auto"/>
            <w:noWrap/>
            <w:vAlign w:val="bottom"/>
            <w:hideMark/>
          </w:tcPr>
          <w:p w14:paraId="427CCC17"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Mental Health RTF</w:t>
            </w:r>
          </w:p>
        </w:tc>
        <w:tc>
          <w:tcPr>
            <w:tcW w:w="840" w:type="dxa"/>
            <w:tcBorders>
              <w:top w:val="nil"/>
              <w:left w:val="nil"/>
              <w:bottom w:val="nil"/>
              <w:right w:val="nil"/>
            </w:tcBorders>
            <w:shd w:val="clear" w:color="auto" w:fill="auto"/>
            <w:noWrap/>
            <w:vAlign w:val="bottom"/>
            <w:hideMark/>
          </w:tcPr>
          <w:p w14:paraId="48AE699E" w14:textId="77777777" w:rsidR="00F7725C" w:rsidRPr="00DB4541"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6616B560"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1039220F"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7ADC486D" w14:textId="77777777" w:rsidR="00F7725C" w:rsidRPr="00DB4541"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6FD37987" w14:textId="77777777" w:rsidR="00F7725C" w:rsidRPr="00DB4541"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1EEA1AAB" w14:textId="77777777" w:rsidR="00F7725C" w:rsidRPr="00DB4541" w:rsidRDefault="00F7725C" w:rsidP="00E72162">
            <w:pPr>
              <w:rPr>
                <w:sz w:val="20"/>
                <w:szCs w:val="20"/>
              </w:rPr>
            </w:pPr>
          </w:p>
        </w:tc>
      </w:tr>
      <w:tr w:rsidR="00F7725C" w:rsidRPr="00DB4541" w14:paraId="5D292851" w14:textId="77777777" w:rsidTr="00E72162">
        <w:trPr>
          <w:trHeight w:val="300"/>
        </w:trPr>
        <w:tc>
          <w:tcPr>
            <w:tcW w:w="2540" w:type="dxa"/>
            <w:tcBorders>
              <w:top w:val="nil"/>
              <w:left w:val="nil"/>
              <w:bottom w:val="nil"/>
              <w:right w:val="nil"/>
            </w:tcBorders>
            <w:shd w:val="clear" w:color="auto" w:fill="auto"/>
            <w:noWrap/>
            <w:vAlign w:val="bottom"/>
            <w:hideMark/>
          </w:tcPr>
          <w:p w14:paraId="2C1FB0B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6CA945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38.3%</w:t>
            </w:r>
          </w:p>
        </w:tc>
        <w:tc>
          <w:tcPr>
            <w:tcW w:w="1080" w:type="dxa"/>
            <w:tcBorders>
              <w:top w:val="nil"/>
              <w:left w:val="nil"/>
              <w:bottom w:val="nil"/>
              <w:right w:val="nil"/>
            </w:tcBorders>
            <w:shd w:val="clear" w:color="auto" w:fill="auto"/>
            <w:noWrap/>
            <w:vAlign w:val="bottom"/>
            <w:hideMark/>
          </w:tcPr>
          <w:p w14:paraId="34A91110"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550075A4"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-51.0%</w:t>
            </w:r>
          </w:p>
        </w:tc>
        <w:tc>
          <w:tcPr>
            <w:tcW w:w="1184" w:type="dxa"/>
            <w:tcBorders>
              <w:top w:val="nil"/>
              <w:left w:val="nil"/>
              <w:bottom w:val="nil"/>
              <w:right w:val="nil"/>
            </w:tcBorders>
            <w:shd w:val="clear" w:color="auto" w:fill="auto"/>
            <w:noWrap/>
            <w:vAlign w:val="bottom"/>
            <w:hideMark/>
          </w:tcPr>
          <w:p w14:paraId="0DAE04D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185.6%</w:t>
            </w:r>
          </w:p>
        </w:tc>
        <w:tc>
          <w:tcPr>
            <w:tcW w:w="880" w:type="dxa"/>
            <w:tcBorders>
              <w:top w:val="nil"/>
              <w:left w:val="nil"/>
              <w:bottom w:val="nil"/>
              <w:right w:val="nil"/>
            </w:tcBorders>
            <w:shd w:val="clear" w:color="auto" w:fill="auto"/>
            <w:noWrap/>
            <w:vAlign w:val="bottom"/>
            <w:hideMark/>
          </w:tcPr>
          <w:p w14:paraId="67FBC9DF"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19.8%</w:t>
            </w:r>
          </w:p>
        </w:tc>
        <w:tc>
          <w:tcPr>
            <w:tcW w:w="1017" w:type="dxa"/>
            <w:tcBorders>
              <w:top w:val="nil"/>
              <w:left w:val="nil"/>
              <w:bottom w:val="nil"/>
              <w:right w:val="nil"/>
            </w:tcBorders>
            <w:shd w:val="clear" w:color="auto" w:fill="auto"/>
            <w:noWrap/>
            <w:vAlign w:val="bottom"/>
            <w:hideMark/>
          </w:tcPr>
          <w:p w14:paraId="417C6B32"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r>
      <w:tr w:rsidR="00F7725C" w:rsidRPr="00DB4541" w14:paraId="629843AD" w14:textId="77777777" w:rsidTr="00E72162">
        <w:trPr>
          <w:trHeight w:val="300"/>
        </w:trPr>
        <w:tc>
          <w:tcPr>
            <w:tcW w:w="2540" w:type="dxa"/>
            <w:tcBorders>
              <w:top w:val="nil"/>
              <w:left w:val="nil"/>
              <w:bottom w:val="nil"/>
              <w:right w:val="nil"/>
            </w:tcBorders>
            <w:shd w:val="clear" w:color="auto" w:fill="auto"/>
            <w:noWrap/>
            <w:vAlign w:val="bottom"/>
            <w:hideMark/>
          </w:tcPr>
          <w:p w14:paraId="0EFC8C6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09A26718"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95.4%</w:t>
            </w:r>
          </w:p>
        </w:tc>
        <w:tc>
          <w:tcPr>
            <w:tcW w:w="1080" w:type="dxa"/>
            <w:tcBorders>
              <w:top w:val="nil"/>
              <w:left w:val="nil"/>
              <w:bottom w:val="nil"/>
              <w:right w:val="nil"/>
            </w:tcBorders>
            <w:shd w:val="clear" w:color="auto" w:fill="auto"/>
            <w:noWrap/>
            <w:vAlign w:val="bottom"/>
            <w:hideMark/>
          </w:tcPr>
          <w:p w14:paraId="3659AEE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2996B93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164B6345"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-85.6%</w:t>
            </w:r>
          </w:p>
        </w:tc>
        <w:tc>
          <w:tcPr>
            <w:tcW w:w="880" w:type="dxa"/>
            <w:tcBorders>
              <w:top w:val="nil"/>
              <w:left w:val="nil"/>
              <w:bottom w:val="nil"/>
              <w:right w:val="nil"/>
            </w:tcBorders>
            <w:shd w:val="clear" w:color="auto" w:fill="auto"/>
            <w:noWrap/>
            <w:vAlign w:val="bottom"/>
            <w:hideMark/>
          </w:tcPr>
          <w:p w14:paraId="652C191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90.8%</w:t>
            </w:r>
          </w:p>
        </w:tc>
        <w:tc>
          <w:tcPr>
            <w:tcW w:w="1017" w:type="dxa"/>
            <w:tcBorders>
              <w:top w:val="nil"/>
              <w:left w:val="nil"/>
              <w:bottom w:val="nil"/>
              <w:right w:val="nil"/>
            </w:tcBorders>
            <w:shd w:val="clear" w:color="auto" w:fill="auto"/>
            <w:noWrap/>
            <w:vAlign w:val="bottom"/>
            <w:hideMark/>
          </w:tcPr>
          <w:p w14:paraId="67CA9A8F"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r>
      <w:tr w:rsidR="00F7725C" w:rsidRPr="00DB4541" w14:paraId="00F65A0F" w14:textId="77777777" w:rsidTr="00E72162">
        <w:trPr>
          <w:trHeight w:val="300"/>
        </w:trPr>
        <w:tc>
          <w:tcPr>
            <w:tcW w:w="2540" w:type="dxa"/>
            <w:tcBorders>
              <w:top w:val="nil"/>
              <w:left w:val="nil"/>
              <w:bottom w:val="nil"/>
              <w:right w:val="nil"/>
            </w:tcBorders>
            <w:shd w:val="clear" w:color="auto" w:fill="auto"/>
            <w:noWrap/>
            <w:vAlign w:val="bottom"/>
            <w:hideMark/>
          </w:tcPr>
          <w:p w14:paraId="06693AFD"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Emergency Department</w:t>
            </w:r>
          </w:p>
        </w:tc>
        <w:tc>
          <w:tcPr>
            <w:tcW w:w="840" w:type="dxa"/>
            <w:tcBorders>
              <w:top w:val="nil"/>
              <w:left w:val="nil"/>
              <w:bottom w:val="nil"/>
              <w:right w:val="nil"/>
            </w:tcBorders>
            <w:shd w:val="clear" w:color="auto" w:fill="auto"/>
            <w:noWrap/>
            <w:vAlign w:val="bottom"/>
            <w:hideMark/>
          </w:tcPr>
          <w:p w14:paraId="0E08A80C" w14:textId="77777777" w:rsidR="00F7725C" w:rsidRPr="00FE71C3" w:rsidRDefault="00F7725C" w:rsidP="00E72162">
            <w:pPr>
              <w:rPr>
                <w:rFonts w:ascii="Calibri" w:hAnsi="Calibri" w:cs="Calibri"/>
                <w:b/>
                <w:bCs/>
                <w:i/>
                <w:color w:val="000000"/>
                <w:sz w:val="22"/>
                <w:szCs w:val="22"/>
              </w:rPr>
            </w:pPr>
          </w:p>
        </w:tc>
        <w:tc>
          <w:tcPr>
            <w:tcW w:w="1080" w:type="dxa"/>
            <w:tcBorders>
              <w:top w:val="nil"/>
              <w:left w:val="nil"/>
              <w:bottom w:val="nil"/>
              <w:right w:val="nil"/>
            </w:tcBorders>
            <w:shd w:val="clear" w:color="auto" w:fill="auto"/>
            <w:noWrap/>
            <w:vAlign w:val="bottom"/>
            <w:hideMark/>
          </w:tcPr>
          <w:p w14:paraId="7D23874F"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570ACF51"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54C04CBD" w14:textId="77777777" w:rsidR="00F7725C" w:rsidRPr="00DB4541"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704CC13A" w14:textId="77777777" w:rsidR="00F7725C" w:rsidRPr="00DB4541"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B9DD4B7" w14:textId="77777777" w:rsidR="00F7725C" w:rsidRPr="00DB4541" w:rsidRDefault="00F7725C" w:rsidP="00E72162">
            <w:pPr>
              <w:rPr>
                <w:sz w:val="20"/>
                <w:szCs w:val="20"/>
              </w:rPr>
            </w:pPr>
          </w:p>
        </w:tc>
      </w:tr>
      <w:tr w:rsidR="00F7725C" w:rsidRPr="00DB4541" w14:paraId="1F3B10AC" w14:textId="77777777" w:rsidTr="00E72162">
        <w:trPr>
          <w:trHeight w:val="300"/>
        </w:trPr>
        <w:tc>
          <w:tcPr>
            <w:tcW w:w="2540" w:type="dxa"/>
            <w:tcBorders>
              <w:top w:val="nil"/>
              <w:left w:val="nil"/>
              <w:bottom w:val="nil"/>
              <w:right w:val="nil"/>
            </w:tcBorders>
            <w:shd w:val="clear" w:color="auto" w:fill="auto"/>
            <w:noWrap/>
            <w:vAlign w:val="bottom"/>
            <w:hideMark/>
          </w:tcPr>
          <w:p w14:paraId="05E9A24E"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6F044E4B"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-13.4%</w:t>
            </w:r>
          </w:p>
        </w:tc>
        <w:tc>
          <w:tcPr>
            <w:tcW w:w="1080" w:type="dxa"/>
            <w:tcBorders>
              <w:top w:val="nil"/>
              <w:left w:val="nil"/>
              <w:bottom w:val="nil"/>
              <w:right w:val="nil"/>
            </w:tcBorders>
            <w:shd w:val="clear" w:color="auto" w:fill="auto"/>
            <w:noWrap/>
            <w:vAlign w:val="bottom"/>
            <w:hideMark/>
          </w:tcPr>
          <w:p w14:paraId="133C9548"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-6.3%</w:t>
            </w:r>
          </w:p>
        </w:tc>
        <w:tc>
          <w:tcPr>
            <w:tcW w:w="920" w:type="dxa"/>
            <w:tcBorders>
              <w:top w:val="nil"/>
              <w:left w:val="nil"/>
              <w:bottom w:val="nil"/>
              <w:right w:val="nil"/>
            </w:tcBorders>
            <w:shd w:val="clear" w:color="auto" w:fill="auto"/>
            <w:noWrap/>
            <w:vAlign w:val="bottom"/>
            <w:hideMark/>
          </w:tcPr>
          <w:p w14:paraId="1637B35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-35.4%</w:t>
            </w:r>
          </w:p>
        </w:tc>
        <w:tc>
          <w:tcPr>
            <w:tcW w:w="1184" w:type="dxa"/>
            <w:tcBorders>
              <w:top w:val="nil"/>
              <w:left w:val="nil"/>
              <w:bottom w:val="nil"/>
              <w:right w:val="nil"/>
            </w:tcBorders>
            <w:shd w:val="clear" w:color="auto" w:fill="auto"/>
            <w:noWrap/>
            <w:vAlign w:val="bottom"/>
            <w:hideMark/>
          </w:tcPr>
          <w:p w14:paraId="71E6DAD4"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25.6%</w:t>
            </w:r>
          </w:p>
        </w:tc>
        <w:tc>
          <w:tcPr>
            <w:tcW w:w="880" w:type="dxa"/>
            <w:tcBorders>
              <w:top w:val="nil"/>
              <w:left w:val="nil"/>
              <w:bottom w:val="nil"/>
              <w:right w:val="nil"/>
            </w:tcBorders>
            <w:shd w:val="clear" w:color="auto" w:fill="auto"/>
            <w:noWrap/>
            <w:vAlign w:val="bottom"/>
            <w:hideMark/>
          </w:tcPr>
          <w:p w14:paraId="4065DDE4"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-17.7%</w:t>
            </w:r>
          </w:p>
        </w:tc>
        <w:tc>
          <w:tcPr>
            <w:tcW w:w="1017" w:type="dxa"/>
            <w:tcBorders>
              <w:top w:val="nil"/>
              <w:left w:val="nil"/>
              <w:bottom w:val="nil"/>
              <w:right w:val="nil"/>
            </w:tcBorders>
            <w:shd w:val="clear" w:color="auto" w:fill="auto"/>
            <w:noWrap/>
            <w:vAlign w:val="bottom"/>
            <w:hideMark/>
          </w:tcPr>
          <w:p w14:paraId="1EFE5CCE"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111.5%</w:t>
            </w:r>
          </w:p>
        </w:tc>
      </w:tr>
      <w:tr w:rsidR="00F7725C" w:rsidRPr="00DB4541" w14:paraId="43702134" w14:textId="77777777" w:rsidTr="00E72162">
        <w:trPr>
          <w:trHeight w:val="300"/>
        </w:trPr>
        <w:tc>
          <w:tcPr>
            <w:tcW w:w="2540" w:type="dxa"/>
            <w:tcBorders>
              <w:top w:val="nil"/>
              <w:left w:val="nil"/>
              <w:bottom w:val="nil"/>
              <w:right w:val="nil"/>
            </w:tcBorders>
            <w:shd w:val="clear" w:color="auto" w:fill="auto"/>
            <w:noWrap/>
            <w:vAlign w:val="bottom"/>
            <w:hideMark/>
          </w:tcPr>
          <w:p w14:paraId="37FB550D"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FFAA0E6"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-14.6%</w:t>
            </w:r>
          </w:p>
        </w:tc>
        <w:tc>
          <w:tcPr>
            <w:tcW w:w="1080" w:type="dxa"/>
            <w:tcBorders>
              <w:top w:val="nil"/>
              <w:left w:val="nil"/>
              <w:bottom w:val="nil"/>
              <w:right w:val="nil"/>
            </w:tcBorders>
            <w:shd w:val="clear" w:color="auto" w:fill="auto"/>
            <w:noWrap/>
            <w:vAlign w:val="bottom"/>
            <w:hideMark/>
          </w:tcPr>
          <w:p w14:paraId="0CFB74D8"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-14.4%</w:t>
            </w:r>
          </w:p>
        </w:tc>
        <w:tc>
          <w:tcPr>
            <w:tcW w:w="920" w:type="dxa"/>
            <w:tcBorders>
              <w:top w:val="nil"/>
              <w:left w:val="nil"/>
              <w:bottom w:val="nil"/>
              <w:right w:val="nil"/>
            </w:tcBorders>
            <w:shd w:val="clear" w:color="auto" w:fill="auto"/>
            <w:noWrap/>
            <w:vAlign w:val="bottom"/>
            <w:hideMark/>
          </w:tcPr>
          <w:p w14:paraId="25BE3B6B"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-36.7%</w:t>
            </w:r>
          </w:p>
        </w:tc>
        <w:tc>
          <w:tcPr>
            <w:tcW w:w="1184" w:type="dxa"/>
            <w:tcBorders>
              <w:top w:val="nil"/>
              <w:left w:val="nil"/>
              <w:bottom w:val="nil"/>
              <w:right w:val="nil"/>
            </w:tcBorders>
            <w:shd w:val="clear" w:color="auto" w:fill="auto"/>
            <w:noWrap/>
            <w:vAlign w:val="bottom"/>
            <w:hideMark/>
          </w:tcPr>
          <w:p w14:paraId="0DFA2D26"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30.4%</w:t>
            </w:r>
          </w:p>
        </w:tc>
        <w:tc>
          <w:tcPr>
            <w:tcW w:w="880" w:type="dxa"/>
            <w:tcBorders>
              <w:top w:val="nil"/>
              <w:left w:val="nil"/>
              <w:bottom w:val="nil"/>
              <w:right w:val="nil"/>
            </w:tcBorders>
            <w:shd w:val="clear" w:color="auto" w:fill="auto"/>
            <w:noWrap/>
            <w:vAlign w:val="bottom"/>
            <w:hideMark/>
          </w:tcPr>
          <w:p w14:paraId="51A2C3E6"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-16.5%</w:t>
            </w:r>
          </w:p>
        </w:tc>
        <w:tc>
          <w:tcPr>
            <w:tcW w:w="1017" w:type="dxa"/>
            <w:tcBorders>
              <w:top w:val="nil"/>
              <w:left w:val="nil"/>
              <w:bottom w:val="nil"/>
              <w:right w:val="nil"/>
            </w:tcBorders>
            <w:shd w:val="clear" w:color="auto" w:fill="auto"/>
            <w:noWrap/>
            <w:vAlign w:val="bottom"/>
            <w:hideMark/>
          </w:tcPr>
          <w:p w14:paraId="6C423820"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-29.3%</w:t>
            </w:r>
          </w:p>
        </w:tc>
      </w:tr>
      <w:tr w:rsidR="00F7725C" w:rsidRPr="00DB4541" w14:paraId="41D28192" w14:textId="77777777" w:rsidTr="00E72162">
        <w:trPr>
          <w:trHeight w:val="300"/>
        </w:trPr>
        <w:tc>
          <w:tcPr>
            <w:tcW w:w="2540" w:type="dxa"/>
            <w:tcBorders>
              <w:top w:val="nil"/>
              <w:left w:val="nil"/>
              <w:bottom w:val="nil"/>
              <w:right w:val="nil"/>
            </w:tcBorders>
            <w:shd w:val="clear" w:color="auto" w:fill="auto"/>
            <w:noWrap/>
            <w:vAlign w:val="bottom"/>
            <w:hideMark/>
          </w:tcPr>
          <w:p w14:paraId="3FB6B237"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MH Outpatient</w:t>
            </w:r>
          </w:p>
        </w:tc>
        <w:tc>
          <w:tcPr>
            <w:tcW w:w="840" w:type="dxa"/>
            <w:tcBorders>
              <w:top w:val="nil"/>
              <w:left w:val="nil"/>
              <w:bottom w:val="nil"/>
              <w:right w:val="nil"/>
            </w:tcBorders>
            <w:shd w:val="clear" w:color="auto" w:fill="auto"/>
            <w:noWrap/>
            <w:vAlign w:val="bottom"/>
            <w:hideMark/>
          </w:tcPr>
          <w:p w14:paraId="5EDFB827" w14:textId="77777777" w:rsidR="00F7725C" w:rsidRPr="00FE71C3" w:rsidRDefault="00F7725C" w:rsidP="00E72162">
            <w:pPr>
              <w:rPr>
                <w:rFonts w:ascii="Calibri" w:hAnsi="Calibri" w:cs="Calibri"/>
                <w:b/>
                <w:bCs/>
                <w:i/>
                <w:color w:val="000000"/>
                <w:sz w:val="22"/>
                <w:szCs w:val="22"/>
              </w:rPr>
            </w:pPr>
          </w:p>
        </w:tc>
        <w:tc>
          <w:tcPr>
            <w:tcW w:w="1080" w:type="dxa"/>
            <w:tcBorders>
              <w:top w:val="nil"/>
              <w:left w:val="nil"/>
              <w:bottom w:val="nil"/>
              <w:right w:val="nil"/>
            </w:tcBorders>
            <w:shd w:val="clear" w:color="auto" w:fill="auto"/>
            <w:noWrap/>
            <w:vAlign w:val="bottom"/>
            <w:hideMark/>
          </w:tcPr>
          <w:p w14:paraId="47A897A5"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29CE68DD"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6E99AA8B" w14:textId="77777777" w:rsidR="00F7725C" w:rsidRPr="00DB4541"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1830828C" w14:textId="77777777" w:rsidR="00F7725C" w:rsidRPr="00DB4541"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180CE5A4" w14:textId="77777777" w:rsidR="00F7725C" w:rsidRPr="00DB4541" w:rsidRDefault="00F7725C" w:rsidP="00E72162">
            <w:pPr>
              <w:rPr>
                <w:sz w:val="20"/>
                <w:szCs w:val="20"/>
              </w:rPr>
            </w:pPr>
          </w:p>
        </w:tc>
      </w:tr>
      <w:tr w:rsidR="00F7725C" w:rsidRPr="00DB4541" w14:paraId="744BCCCA" w14:textId="77777777" w:rsidTr="00E72162">
        <w:trPr>
          <w:trHeight w:val="300"/>
        </w:trPr>
        <w:tc>
          <w:tcPr>
            <w:tcW w:w="2540" w:type="dxa"/>
            <w:tcBorders>
              <w:top w:val="nil"/>
              <w:left w:val="nil"/>
              <w:bottom w:val="nil"/>
              <w:right w:val="nil"/>
            </w:tcBorders>
            <w:shd w:val="clear" w:color="auto" w:fill="auto"/>
            <w:noWrap/>
            <w:vAlign w:val="bottom"/>
            <w:hideMark/>
          </w:tcPr>
          <w:p w14:paraId="43C19255"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417ADFA"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23.1%</w:t>
            </w:r>
          </w:p>
        </w:tc>
        <w:tc>
          <w:tcPr>
            <w:tcW w:w="1080" w:type="dxa"/>
            <w:tcBorders>
              <w:top w:val="nil"/>
              <w:left w:val="nil"/>
              <w:bottom w:val="nil"/>
              <w:right w:val="nil"/>
            </w:tcBorders>
            <w:shd w:val="clear" w:color="auto" w:fill="auto"/>
            <w:noWrap/>
            <w:vAlign w:val="bottom"/>
            <w:hideMark/>
          </w:tcPr>
          <w:p w14:paraId="4B7A4DA0"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26.9%</w:t>
            </w:r>
          </w:p>
        </w:tc>
        <w:tc>
          <w:tcPr>
            <w:tcW w:w="920" w:type="dxa"/>
            <w:tcBorders>
              <w:top w:val="nil"/>
              <w:left w:val="nil"/>
              <w:bottom w:val="nil"/>
              <w:right w:val="nil"/>
            </w:tcBorders>
            <w:shd w:val="clear" w:color="auto" w:fill="auto"/>
            <w:noWrap/>
            <w:vAlign w:val="bottom"/>
            <w:hideMark/>
          </w:tcPr>
          <w:p w14:paraId="2E00CC1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2.4%</w:t>
            </w:r>
          </w:p>
        </w:tc>
        <w:tc>
          <w:tcPr>
            <w:tcW w:w="1184" w:type="dxa"/>
            <w:tcBorders>
              <w:top w:val="nil"/>
              <w:left w:val="nil"/>
              <w:bottom w:val="nil"/>
              <w:right w:val="nil"/>
            </w:tcBorders>
            <w:shd w:val="clear" w:color="auto" w:fill="auto"/>
            <w:noWrap/>
            <w:vAlign w:val="bottom"/>
            <w:hideMark/>
          </w:tcPr>
          <w:p w14:paraId="6FA172F4"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25.9%</w:t>
            </w:r>
          </w:p>
        </w:tc>
        <w:tc>
          <w:tcPr>
            <w:tcW w:w="880" w:type="dxa"/>
            <w:tcBorders>
              <w:top w:val="nil"/>
              <w:left w:val="nil"/>
              <w:bottom w:val="nil"/>
              <w:right w:val="nil"/>
            </w:tcBorders>
            <w:shd w:val="clear" w:color="auto" w:fill="auto"/>
            <w:noWrap/>
            <w:vAlign w:val="bottom"/>
            <w:hideMark/>
          </w:tcPr>
          <w:p w14:paraId="1FC3DF1F"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24.2%</w:t>
            </w:r>
          </w:p>
        </w:tc>
        <w:tc>
          <w:tcPr>
            <w:tcW w:w="1017" w:type="dxa"/>
            <w:tcBorders>
              <w:top w:val="nil"/>
              <w:left w:val="nil"/>
              <w:bottom w:val="nil"/>
              <w:right w:val="nil"/>
            </w:tcBorders>
            <w:shd w:val="clear" w:color="auto" w:fill="auto"/>
            <w:noWrap/>
            <w:vAlign w:val="bottom"/>
            <w:hideMark/>
          </w:tcPr>
          <w:p w14:paraId="3853721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36.6%</w:t>
            </w:r>
          </w:p>
        </w:tc>
      </w:tr>
      <w:tr w:rsidR="00F7725C" w:rsidRPr="00FE71C3" w14:paraId="3D666DFE" w14:textId="77777777" w:rsidTr="00E72162">
        <w:trPr>
          <w:trHeight w:val="300"/>
        </w:trPr>
        <w:tc>
          <w:tcPr>
            <w:tcW w:w="2540" w:type="dxa"/>
            <w:tcBorders>
              <w:top w:val="nil"/>
              <w:left w:val="nil"/>
              <w:bottom w:val="nil"/>
              <w:right w:val="nil"/>
            </w:tcBorders>
            <w:shd w:val="clear" w:color="auto" w:fill="auto"/>
            <w:noWrap/>
            <w:vAlign w:val="bottom"/>
            <w:hideMark/>
          </w:tcPr>
          <w:p w14:paraId="1AFC60B0"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5F160ACA"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39.9%</w:t>
            </w:r>
          </w:p>
        </w:tc>
        <w:tc>
          <w:tcPr>
            <w:tcW w:w="1080" w:type="dxa"/>
            <w:tcBorders>
              <w:top w:val="nil"/>
              <w:left w:val="nil"/>
              <w:bottom w:val="nil"/>
              <w:right w:val="nil"/>
            </w:tcBorders>
            <w:shd w:val="clear" w:color="auto" w:fill="auto"/>
            <w:noWrap/>
            <w:vAlign w:val="bottom"/>
            <w:hideMark/>
          </w:tcPr>
          <w:p w14:paraId="6BA8D2D4"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35.7%</w:t>
            </w:r>
          </w:p>
        </w:tc>
        <w:tc>
          <w:tcPr>
            <w:tcW w:w="920" w:type="dxa"/>
            <w:tcBorders>
              <w:top w:val="nil"/>
              <w:left w:val="nil"/>
              <w:bottom w:val="nil"/>
              <w:right w:val="nil"/>
            </w:tcBorders>
            <w:shd w:val="clear" w:color="auto" w:fill="auto"/>
            <w:noWrap/>
            <w:vAlign w:val="bottom"/>
            <w:hideMark/>
          </w:tcPr>
          <w:p w14:paraId="46ACFAFD"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12.3%</w:t>
            </w:r>
          </w:p>
        </w:tc>
        <w:tc>
          <w:tcPr>
            <w:tcW w:w="1184" w:type="dxa"/>
            <w:tcBorders>
              <w:top w:val="nil"/>
              <w:left w:val="nil"/>
              <w:bottom w:val="nil"/>
              <w:right w:val="nil"/>
            </w:tcBorders>
            <w:shd w:val="clear" w:color="auto" w:fill="auto"/>
            <w:noWrap/>
            <w:vAlign w:val="bottom"/>
            <w:hideMark/>
          </w:tcPr>
          <w:p w14:paraId="75258C01"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49.8%</w:t>
            </w:r>
          </w:p>
        </w:tc>
        <w:tc>
          <w:tcPr>
            <w:tcW w:w="880" w:type="dxa"/>
            <w:tcBorders>
              <w:top w:val="nil"/>
              <w:left w:val="nil"/>
              <w:bottom w:val="nil"/>
              <w:right w:val="nil"/>
            </w:tcBorders>
            <w:shd w:val="clear" w:color="auto" w:fill="auto"/>
            <w:noWrap/>
            <w:vAlign w:val="bottom"/>
            <w:hideMark/>
          </w:tcPr>
          <w:p w14:paraId="3C79093C"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41.9%</w:t>
            </w:r>
          </w:p>
        </w:tc>
        <w:tc>
          <w:tcPr>
            <w:tcW w:w="1017" w:type="dxa"/>
            <w:tcBorders>
              <w:top w:val="nil"/>
              <w:left w:val="nil"/>
              <w:bottom w:val="nil"/>
              <w:right w:val="nil"/>
            </w:tcBorders>
            <w:shd w:val="clear" w:color="auto" w:fill="auto"/>
            <w:noWrap/>
            <w:vAlign w:val="bottom"/>
            <w:hideMark/>
          </w:tcPr>
          <w:p w14:paraId="0A641AD7"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58.1%</w:t>
            </w:r>
          </w:p>
        </w:tc>
      </w:tr>
      <w:tr w:rsidR="00F7725C" w:rsidRPr="00DB4541" w14:paraId="5C3F8D56" w14:textId="77777777" w:rsidTr="00E72162">
        <w:trPr>
          <w:trHeight w:val="300"/>
        </w:trPr>
        <w:tc>
          <w:tcPr>
            <w:tcW w:w="2540" w:type="dxa"/>
            <w:tcBorders>
              <w:top w:val="nil"/>
              <w:left w:val="nil"/>
              <w:bottom w:val="nil"/>
              <w:right w:val="nil"/>
            </w:tcBorders>
            <w:shd w:val="clear" w:color="auto" w:fill="auto"/>
            <w:noWrap/>
            <w:vAlign w:val="bottom"/>
            <w:hideMark/>
          </w:tcPr>
          <w:p w14:paraId="1D96727B" w14:textId="77777777" w:rsidR="00F7725C" w:rsidRPr="00DB4541" w:rsidRDefault="00F7725C" w:rsidP="00E72162">
            <w:pPr>
              <w:rPr>
                <w:rFonts w:ascii="Calibri" w:hAnsi="Calibri" w:cs="Calibri"/>
                <w:b/>
                <w:bCs/>
                <w:color w:val="000000"/>
                <w:sz w:val="22"/>
                <w:szCs w:val="22"/>
              </w:rPr>
            </w:pPr>
            <w:r w:rsidRPr="00DB4541">
              <w:rPr>
                <w:rFonts w:ascii="Calibri" w:hAnsi="Calibri" w:cs="Calibri"/>
                <w:b/>
                <w:bCs/>
                <w:color w:val="000000"/>
                <w:sz w:val="22"/>
                <w:szCs w:val="22"/>
              </w:rPr>
              <w:t>Other Services</w:t>
            </w:r>
          </w:p>
        </w:tc>
        <w:tc>
          <w:tcPr>
            <w:tcW w:w="840" w:type="dxa"/>
            <w:tcBorders>
              <w:top w:val="nil"/>
              <w:left w:val="nil"/>
              <w:bottom w:val="nil"/>
              <w:right w:val="nil"/>
            </w:tcBorders>
            <w:shd w:val="clear" w:color="auto" w:fill="auto"/>
            <w:noWrap/>
            <w:vAlign w:val="bottom"/>
            <w:hideMark/>
          </w:tcPr>
          <w:p w14:paraId="2FB29DEB" w14:textId="77777777" w:rsidR="00F7725C" w:rsidRPr="00FE71C3" w:rsidRDefault="00F7725C" w:rsidP="00E72162">
            <w:pPr>
              <w:rPr>
                <w:rFonts w:ascii="Calibri" w:hAnsi="Calibri" w:cs="Calibri"/>
                <w:b/>
                <w:bCs/>
                <w:i/>
                <w:color w:val="000000"/>
                <w:sz w:val="22"/>
                <w:szCs w:val="22"/>
              </w:rPr>
            </w:pPr>
          </w:p>
        </w:tc>
        <w:tc>
          <w:tcPr>
            <w:tcW w:w="1080" w:type="dxa"/>
            <w:tcBorders>
              <w:top w:val="nil"/>
              <w:left w:val="nil"/>
              <w:bottom w:val="nil"/>
              <w:right w:val="nil"/>
            </w:tcBorders>
            <w:shd w:val="clear" w:color="auto" w:fill="auto"/>
            <w:noWrap/>
            <w:vAlign w:val="bottom"/>
            <w:hideMark/>
          </w:tcPr>
          <w:p w14:paraId="726113EA" w14:textId="77777777" w:rsidR="00F7725C" w:rsidRPr="00DB4541"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1145E628" w14:textId="77777777" w:rsidR="00F7725C" w:rsidRPr="00DB4541"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419B409B" w14:textId="77777777" w:rsidR="00F7725C" w:rsidRPr="00DB4541"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7C0A5D5C" w14:textId="77777777" w:rsidR="00F7725C" w:rsidRPr="00DB4541"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34AC9792" w14:textId="77777777" w:rsidR="00F7725C" w:rsidRPr="00DB4541" w:rsidRDefault="00F7725C" w:rsidP="00E72162">
            <w:pPr>
              <w:rPr>
                <w:sz w:val="20"/>
                <w:szCs w:val="20"/>
              </w:rPr>
            </w:pPr>
          </w:p>
        </w:tc>
      </w:tr>
      <w:tr w:rsidR="00F7725C" w:rsidRPr="00DB4541" w14:paraId="1CA4DA2E" w14:textId="77777777" w:rsidTr="00E72162">
        <w:trPr>
          <w:trHeight w:val="300"/>
        </w:trPr>
        <w:tc>
          <w:tcPr>
            <w:tcW w:w="2540" w:type="dxa"/>
            <w:tcBorders>
              <w:top w:val="nil"/>
              <w:left w:val="nil"/>
              <w:bottom w:val="nil"/>
              <w:right w:val="nil"/>
            </w:tcBorders>
            <w:shd w:val="clear" w:color="auto" w:fill="auto"/>
            <w:noWrap/>
            <w:vAlign w:val="bottom"/>
            <w:hideMark/>
          </w:tcPr>
          <w:p w14:paraId="0D1DF928"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51EC2FFF"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90.0%</w:t>
            </w:r>
          </w:p>
        </w:tc>
        <w:tc>
          <w:tcPr>
            <w:tcW w:w="1080" w:type="dxa"/>
            <w:tcBorders>
              <w:top w:val="nil"/>
              <w:left w:val="nil"/>
              <w:bottom w:val="nil"/>
              <w:right w:val="nil"/>
            </w:tcBorders>
            <w:shd w:val="clear" w:color="auto" w:fill="auto"/>
            <w:noWrap/>
            <w:vAlign w:val="bottom"/>
            <w:hideMark/>
          </w:tcPr>
          <w:p w14:paraId="6CFA39E0"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-2.8%</w:t>
            </w:r>
          </w:p>
        </w:tc>
        <w:tc>
          <w:tcPr>
            <w:tcW w:w="920" w:type="dxa"/>
            <w:tcBorders>
              <w:top w:val="nil"/>
              <w:left w:val="nil"/>
              <w:bottom w:val="nil"/>
              <w:right w:val="nil"/>
            </w:tcBorders>
            <w:shd w:val="clear" w:color="auto" w:fill="auto"/>
            <w:noWrap/>
            <w:vAlign w:val="bottom"/>
            <w:hideMark/>
          </w:tcPr>
          <w:p w14:paraId="568B4A5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38AF270C"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60.9%</w:t>
            </w:r>
          </w:p>
        </w:tc>
        <w:tc>
          <w:tcPr>
            <w:tcW w:w="880" w:type="dxa"/>
            <w:tcBorders>
              <w:top w:val="nil"/>
              <w:left w:val="nil"/>
              <w:bottom w:val="nil"/>
              <w:right w:val="nil"/>
            </w:tcBorders>
            <w:shd w:val="clear" w:color="auto" w:fill="auto"/>
            <w:noWrap/>
            <w:vAlign w:val="bottom"/>
            <w:hideMark/>
          </w:tcPr>
          <w:p w14:paraId="3279C97B"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82.6%</w:t>
            </w:r>
          </w:p>
        </w:tc>
        <w:tc>
          <w:tcPr>
            <w:tcW w:w="1017" w:type="dxa"/>
            <w:tcBorders>
              <w:top w:val="nil"/>
              <w:left w:val="nil"/>
              <w:bottom w:val="nil"/>
              <w:right w:val="nil"/>
            </w:tcBorders>
            <w:shd w:val="clear" w:color="auto" w:fill="auto"/>
            <w:noWrap/>
            <w:vAlign w:val="bottom"/>
            <w:hideMark/>
          </w:tcPr>
          <w:p w14:paraId="05335086"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NR</w:t>
            </w:r>
          </w:p>
        </w:tc>
      </w:tr>
      <w:tr w:rsidR="00F7725C" w:rsidRPr="00DB4541" w14:paraId="17CCB220" w14:textId="77777777" w:rsidTr="00E72162">
        <w:trPr>
          <w:trHeight w:val="300"/>
        </w:trPr>
        <w:tc>
          <w:tcPr>
            <w:tcW w:w="2540" w:type="dxa"/>
            <w:tcBorders>
              <w:top w:val="nil"/>
              <w:left w:val="nil"/>
              <w:bottom w:val="single" w:sz="4" w:space="0" w:color="auto"/>
              <w:right w:val="nil"/>
            </w:tcBorders>
            <w:shd w:val="clear" w:color="auto" w:fill="auto"/>
            <w:noWrap/>
            <w:vAlign w:val="bottom"/>
            <w:hideMark/>
          </w:tcPr>
          <w:p w14:paraId="7B52E4B5"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361CF754"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56.8%</w:t>
            </w:r>
          </w:p>
        </w:tc>
        <w:tc>
          <w:tcPr>
            <w:tcW w:w="1080" w:type="dxa"/>
            <w:tcBorders>
              <w:top w:val="nil"/>
              <w:left w:val="nil"/>
              <w:bottom w:val="single" w:sz="4" w:space="0" w:color="auto"/>
              <w:right w:val="nil"/>
            </w:tcBorders>
            <w:shd w:val="clear" w:color="auto" w:fill="auto"/>
            <w:noWrap/>
            <w:vAlign w:val="bottom"/>
            <w:hideMark/>
          </w:tcPr>
          <w:p w14:paraId="104929DC"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-29.4%</w:t>
            </w:r>
          </w:p>
        </w:tc>
        <w:tc>
          <w:tcPr>
            <w:tcW w:w="920" w:type="dxa"/>
            <w:tcBorders>
              <w:top w:val="nil"/>
              <w:left w:val="nil"/>
              <w:bottom w:val="single" w:sz="4" w:space="0" w:color="auto"/>
              <w:right w:val="nil"/>
            </w:tcBorders>
            <w:shd w:val="clear" w:color="auto" w:fill="auto"/>
            <w:noWrap/>
            <w:vAlign w:val="bottom"/>
            <w:hideMark/>
          </w:tcPr>
          <w:p w14:paraId="61D79651"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86.8%</w:t>
            </w:r>
          </w:p>
        </w:tc>
        <w:tc>
          <w:tcPr>
            <w:tcW w:w="1184" w:type="dxa"/>
            <w:tcBorders>
              <w:top w:val="nil"/>
              <w:left w:val="nil"/>
              <w:bottom w:val="single" w:sz="4" w:space="0" w:color="auto"/>
              <w:right w:val="nil"/>
            </w:tcBorders>
            <w:shd w:val="clear" w:color="auto" w:fill="auto"/>
            <w:noWrap/>
            <w:vAlign w:val="bottom"/>
            <w:hideMark/>
          </w:tcPr>
          <w:p w14:paraId="26AE8083"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44.6%</w:t>
            </w:r>
          </w:p>
        </w:tc>
        <w:tc>
          <w:tcPr>
            <w:tcW w:w="880" w:type="dxa"/>
            <w:tcBorders>
              <w:top w:val="nil"/>
              <w:left w:val="nil"/>
              <w:bottom w:val="single" w:sz="4" w:space="0" w:color="auto"/>
              <w:right w:val="nil"/>
            </w:tcBorders>
            <w:shd w:val="clear" w:color="auto" w:fill="auto"/>
            <w:noWrap/>
            <w:vAlign w:val="bottom"/>
            <w:hideMark/>
          </w:tcPr>
          <w:p w14:paraId="0F84E853"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65.7%</w:t>
            </w:r>
          </w:p>
        </w:tc>
        <w:tc>
          <w:tcPr>
            <w:tcW w:w="1017" w:type="dxa"/>
            <w:tcBorders>
              <w:top w:val="nil"/>
              <w:left w:val="nil"/>
              <w:bottom w:val="single" w:sz="4" w:space="0" w:color="auto"/>
              <w:right w:val="nil"/>
            </w:tcBorders>
            <w:shd w:val="clear" w:color="auto" w:fill="auto"/>
            <w:noWrap/>
            <w:vAlign w:val="bottom"/>
            <w:hideMark/>
          </w:tcPr>
          <w:p w14:paraId="78D17D9C" w14:textId="77777777" w:rsidR="00F7725C" w:rsidRPr="00DB4541" w:rsidRDefault="00F7725C" w:rsidP="00E72162">
            <w:pPr>
              <w:jc w:val="right"/>
              <w:rPr>
                <w:rFonts w:ascii="Calibri" w:hAnsi="Calibri" w:cs="Calibri"/>
                <w:color w:val="000000"/>
                <w:sz w:val="22"/>
                <w:szCs w:val="22"/>
              </w:rPr>
            </w:pPr>
            <w:r w:rsidRPr="00DB4541">
              <w:rPr>
                <w:rFonts w:ascii="Calibri" w:hAnsi="Calibri" w:cs="Calibri"/>
                <w:color w:val="000000"/>
                <w:sz w:val="22"/>
                <w:szCs w:val="22"/>
              </w:rPr>
              <w:t>95.0%</w:t>
            </w:r>
          </w:p>
        </w:tc>
      </w:tr>
    </w:tbl>
    <w:p w14:paraId="6D9330A7" w14:textId="77777777" w:rsidR="00E847F0" w:rsidRPr="005A6983" w:rsidRDefault="00E847F0" w:rsidP="00E847F0">
      <w:pPr>
        <w:rPr>
          <w:rFonts w:cstheme="minorHAnsi"/>
          <w:b/>
          <w:sz w:val="22"/>
          <w:szCs w:val="22"/>
        </w:rPr>
      </w:pPr>
    </w:p>
    <w:p w14:paraId="42BE63FD" w14:textId="77777777" w:rsidR="00E847F0" w:rsidRPr="005A6983" w:rsidRDefault="00E847F0" w:rsidP="00E847F0">
      <w:pPr>
        <w:jc w:val="center"/>
        <w:rPr>
          <w:rFonts w:eastAsia="Calibri" w:cstheme="minorHAnsi"/>
          <w:sz w:val="22"/>
          <w:szCs w:val="22"/>
        </w:rPr>
      </w:pPr>
    </w:p>
    <w:p w14:paraId="1D0EBB5A" w14:textId="77777777" w:rsidR="00E847F0" w:rsidRPr="005A6983" w:rsidRDefault="00E847F0" w:rsidP="00E847F0">
      <w:pPr>
        <w:jc w:val="center"/>
        <w:rPr>
          <w:rFonts w:eastAsia="Calibri" w:cstheme="minorHAnsi"/>
          <w:sz w:val="22"/>
          <w:szCs w:val="22"/>
        </w:rPr>
      </w:pPr>
    </w:p>
    <w:p w14:paraId="59362863" w14:textId="77777777" w:rsidR="00E847F0" w:rsidRPr="005A6983" w:rsidRDefault="00E847F0" w:rsidP="00E847F0">
      <w:pPr>
        <w:rPr>
          <w:rFonts w:eastAsia="Calibri" w:cstheme="minorHAnsi"/>
          <w:sz w:val="22"/>
          <w:szCs w:val="22"/>
        </w:rPr>
      </w:pPr>
      <w:r w:rsidRPr="005A6983">
        <w:rPr>
          <w:rFonts w:eastAsia="Calibri" w:cstheme="minorHAnsi"/>
          <w:sz w:val="22"/>
          <w:szCs w:val="22"/>
        </w:rPr>
        <w:br w:type="page"/>
      </w:r>
    </w:p>
    <w:p w14:paraId="7B4AD2E6" w14:textId="77777777" w:rsidR="002A6F8C" w:rsidRDefault="00E847F0" w:rsidP="00E839A9">
      <w:pPr>
        <w:jc w:val="center"/>
        <w:rPr>
          <w:rFonts w:eastAsia="Calibri" w:cstheme="minorHAnsi"/>
          <w:b/>
          <w:bCs/>
          <w:color w:val="6A7F0F"/>
          <w:sz w:val="22"/>
          <w:szCs w:val="22"/>
        </w:rPr>
      </w:pPr>
      <w:bookmarkStart w:id="147" w:name="Appendix6_Table_A67d"/>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.7d: Change in Mental Health Related Expenditure Levels </w:t>
      </w:r>
      <w:bookmarkStart w:id="148" w:name="_Hlk125286691"/>
      <w:r w:rsidRPr="00000D4B">
        <w:rPr>
          <w:rFonts w:eastAsia="Calibri" w:cstheme="minorHAnsi"/>
          <w:b/>
          <w:bCs/>
          <w:color w:val="6A7F0F"/>
          <w:sz w:val="22"/>
          <w:szCs w:val="22"/>
        </w:rPr>
        <w:t xml:space="preserve">per Person </w:t>
      </w:r>
      <w:bookmarkEnd w:id="148"/>
      <w:r w:rsidRPr="00000D4B">
        <w:rPr>
          <w:rFonts w:eastAsia="Calibri" w:cstheme="minorHAnsi"/>
          <w:b/>
          <w:bCs/>
          <w:color w:val="6A7F0F"/>
          <w:sz w:val="22"/>
          <w:szCs w:val="22"/>
        </w:rPr>
        <w:t xml:space="preserve">for </w:t>
      </w:r>
    </w:p>
    <w:p w14:paraId="6FFF62F8" w14:textId="71D7B515" w:rsidR="00E847F0" w:rsidRPr="00000D4B" w:rsidRDefault="00E847F0" w:rsidP="00E839A9">
      <w:pPr>
        <w:jc w:val="center"/>
        <w:rPr>
          <w:rFonts w:eastAsia="Calibri"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Place of Residence</w:t>
      </w:r>
    </w:p>
    <w:bookmarkEnd w:id="147"/>
    <w:p w14:paraId="3384C067" w14:textId="77777777" w:rsidR="00E847F0" w:rsidRPr="00A76A99" w:rsidRDefault="00E847F0" w:rsidP="00E847F0">
      <w:pPr>
        <w:ind w:left="1152" w:hanging="1152"/>
        <w:jc w:val="center"/>
        <w:rPr>
          <w:rFonts w:cstheme="minorHAnsi"/>
          <w:sz w:val="22"/>
          <w:szCs w:val="22"/>
          <w:u w:val="single"/>
        </w:rPr>
      </w:pPr>
    </w:p>
    <w:p w14:paraId="5868261A" w14:textId="77777777" w:rsidR="00E847F0" w:rsidRPr="005A6983" w:rsidRDefault="00E847F0" w:rsidP="00E847F0">
      <w:pPr>
        <w:rPr>
          <w:rFonts w:cstheme="minorHAnsi"/>
          <w:b/>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DA605E" w14:paraId="3FF177A5" w14:textId="77777777" w:rsidTr="00E72162">
        <w:trPr>
          <w:trHeight w:val="290"/>
          <w:jc w:val="center"/>
        </w:trPr>
        <w:tc>
          <w:tcPr>
            <w:tcW w:w="2707" w:type="dxa"/>
            <w:tcBorders>
              <w:top w:val="nil"/>
              <w:left w:val="nil"/>
              <w:bottom w:val="nil"/>
              <w:right w:val="nil"/>
            </w:tcBorders>
          </w:tcPr>
          <w:p w14:paraId="6C098AB5"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 xml:space="preserve">Mental Health </w:t>
            </w:r>
          </w:p>
        </w:tc>
        <w:tc>
          <w:tcPr>
            <w:tcW w:w="951" w:type="dxa"/>
            <w:tcBorders>
              <w:top w:val="nil"/>
              <w:left w:val="nil"/>
              <w:bottom w:val="nil"/>
              <w:right w:val="nil"/>
            </w:tcBorders>
          </w:tcPr>
          <w:p w14:paraId="451B3644"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All</w:t>
            </w:r>
          </w:p>
        </w:tc>
        <w:tc>
          <w:tcPr>
            <w:tcW w:w="1032" w:type="dxa"/>
            <w:tcBorders>
              <w:top w:val="nil"/>
              <w:left w:val="nil"/>
              <w:bottom w:val="nil"/>
              <w:right w:val="nil"/>
            </w:tcBorders>
          </w:tcPr>
          <w:p w14:paraId="3FFDB9ED"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03D2902B"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Rural or</w:t>
            </w:r>
          </w:p>
        </w:tc>
      </w:tr>
      <w:tr w:rsidR="00F7725C" w:rsidRPr="00DA605E" w14:paraId="6F769BF7" w14:textId="77777777" w:rsidTr="00E72162">
        <w:trPr>
          <w:trHeight w:val="290"/>
          <w:jc w:val="center"/>
        </w:trPr>
        <w:tc>
          <w:tcPr>
            <w:tcW w:w="2707" w:type="dxa"/>
            <w:tcBorders>
              <w:top w:val="nil"/>
              <w:left w:val="nil"/>
              <w:bottom w:val="single" w:sz="6" w:space="0" w:color="auto"/>
              <w:right w:val="nil"/>
            </w:tcBorders>
          </w:tcPr>
          <w:p w14:paraId="2D87CD5C"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Expenditures per Person</w:t>
            </w:r>
          </w:p>
        </w:tc>
        <w:tc>
          <w:tcPr>
            <w:tcW w:w="951" w:type="dxa"/>
            <w:tcBorders>
              <w:top w:val="nil"/>
              <w:left w:val="nil"/>
              <w:bottom w:val="single" w:sz="6" w:space="0" w:color="auto"/>
              <w:right w:val="nil"/>
            </w:tcBorders>
          </w:tcPr>
          <w:p w14:paraId="4DDE02C9"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591DB3FB"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638E91A7"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Remote</w:t>
            </w:r>
          </w:p>
        </w:tc>
      </w:tr>
      <w:tr w:rsidR="00F7725C" w:rsidRPr="00DA605E" w14:paraId="66C92F80" w14:textId="77777777" w:rsidTr="00E72162">
        <w:trPr>
          <w:trHeight w:val="290"/>
          <w:jc w:val="center"/>
        </w:trPr>
        <w:tc>
          <w:tcPr>
            <w:tcW w:w="2707" w:type="dxa"/>
            <w:tcBorders>
              <w:top w:val="nil"/>
              <w:left w:val="nil"/>
              <w:bottom w:val="nil"/>
              <w:right w:val="nil"/>
            </w:tcBorders>
          </w:tcPr>
          <w:p w14:paraId="344A4CF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Total</w:t>
            </w:r>
          </w:p>
        </w:tc>
        <w:tc>
          <w:tcPr>
            <w:tcW w:w="951" w:type="dxa"/>
            <w:tcBorders>
              <w:top w:val="nil"/>
              <w:left w:val="nil"/>
              <w:bottom w:val="nil"/>
              <w:right w:val="nil"/>
            </w:tcBorders>
          </w:tcPr>
          <w:p w14:paraId="217676EB"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8BCE625"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1D5EBF0"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35D8BB24" w14:textId="77777777" w:rsidTr="00E72162">
        <w:trPr>
          <w:trHeight w:val="290"/>
          <w:jc w:val="center"/>
        </w:trPr>
        <w:tc>
          <w:tcPr>
            <w:tcW w:w="2707" w:type="dxa"/>
            <w:tcBorders>
              <w:top w:val="nil"/>
              <w:left w:val="nil"/>
              <w:bottom w:val="nil"/>
              <w:right w:val="nil"/>
            </w:tcBorders>
          </w:tcPr>
          <w:p w14:paraId="4F302F1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068C8824"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19.4%</w:t>
            </w:r>
          </w:p>
        </w:tc>
        <w:tc>
          <w:tcPr>
            <w:tcW w:w="1032" w:type="dxa"/>
            <w:tcBorders>
              <w:top w:val="nil"/>
              <w:left w:val="nil"/>
              <w:bottom w:val="nil"/>
              <w:right w:val="nil"/>
            </w:tcBorders>
          </w:tcPr>
          <w:p w14:paraId="584F7251"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21.2%</w:t>
            </w:r>
          </w:p>
        </w:tc>
        <w:tc>
          <w:tcPr>
            <w:tcW w:w="1032" w:type="dxa"/>
            <w:tcBorders>
              <w:top w:val="nil"/>
              <w:left w:val="nil"/>
              <w:bottom w:val="nil"/>
              <w:right w:val="nil"/>
            </w:tcBorders>
          </w:tcPr>
          <w:p w14:paraId="7AE171D4"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17.7%</w:t>
            </w:r>
          </w:p>
        </w:tc>
      </w:tr>
      <w:tr w:rsidR="00F7725C" w:rsidRPr="00DA605E" w14:paraId="7722EAE7" w14:textId="77777777" w:rsidTr="00E72162">
        <w:trPr>
          <w:trHeight w:val="290"/>
          <w:jc w:val="center"/>
        </w:trPr>
        <w:tc>
          <w:tcPr>
            <w:tcW w:w="2707" w:type="dxa"/>
            <w:tcBorders>
              <w:top w:val="nil"/>
              <w:left w:val="nil"/>
              <w:bottom w:val="nil"/>
              <w:right w:val="nil"/>
            </w:tcBorders>
          </w:tcPr>
          <w:p w14:paraId="569027EC"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73586C63"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28.1%</w:t>
            </w:r>
          </w:p>
        </w:tc>
        <w:tc>
          <w:tcPr>
            <w:tcW w:w="1032" w:type="dxa"/>
            <w:tcBorders>
              <w:top w:val="nil"/>
              <w:left w:val="nil"/>
              <w:bottom w:val="nil"/>
              <w:right w:val="nil"/>
            </w:tcBorders>
          </w:tcPr>
          <w:p w14:paraId="22430222"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42.0%</w:t>
            </w:r>
          </w:p>
        </w:tc>
        <w:tc>
          <w:tcPr>
            <w:tcW w:w="1032" w:type="dxa"/>
            <w:tcBorders>
              <w:top w:val="nil"/>
              <w:left w:val="nil"/>
              <w:bottom w:val="nil"/>
              <w:right w:val="nil"/>
            </w:tcBorders>
          </w:tcPr>
          <w:p w14:paraId="7FB5A90A"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14.9%</w:t>
            </w:r>
          </w:p>
        </w:tc>
      </w:tr>
      <w:tr w:rsidR="00F7725C" w:rsidRPr="00DA605E" w14:paraId="13D8327E" w14:textId="77777777" w:rsidTr="00E72162">
        <w:trPr>
          <w:trHeight w:val="290"/>
          <w:jc w:val="center"/>
        </w:trPr>
        <w:tc>
          <w:tcPr>
            <w:tcW w:w="2707" w:type="dxa"/>
            <w:tcBorders>
              <w:top w:val="nil"/>
              <w:left w:val="nil"/>
              <w:bottom w:val="nil"/>
              <w:right w:val="nil"/>
            </w:tcBorders>
          </w:tcPr>
          <w:p w14:paraId="119A8CF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Inpatient</w:t>
            </w:r>
          </w:p>
        </w:tc>
        <w:tc>
          <w:tcPr>
            <w:tcW w:w="951" w:type="dxa"/>
            <w:tcBorders>
              <w:top w:val="nil"/>
              <w:left w:val="nil"/>
              <w:bottom w:val="nil"/>
              <w:right w:val="nil"/>
            </w:tcBorders>
          </w:tcPr>
          <w:p w14:paraId="711DB81D" w14:textId="77777777" w:rsidR="00F7725C" w:rsidRPr="00DA605E" w:rsidRDefault="00F7725C" w:rsidP="00E72162">
            <w:pPr>
              <w:autoSpaceDE w:val="0"/>
              <w:autoSpaceDN w:val="0"/>
              <w:adjustRightInd w:val="0"/>
              <w:jc w:val="right"/>
              <w:rPr>
                <w:rFonts w:ascii="Calibri" w:hAnsi="Calibri" w:cs="Calibri"/>
                <w:i/>
                <w:color w:val="000000"/>
                <w:sz w:val="22"/>
                <w:szCs w:val="22"/>
              </w:rPr>
            </w:pPr>
          </w:p>
        </w:tc>
        <w:tc>
          <w:tcPr>
            <w:tcW w:w="1032" w:type="dxa"/>
            <w:tcBorders>
              <w:top w:val="nil"/>
              <w:left w:val="nil"/>
              <w:bottom w:val="nil"/>
              <w:right w:val="nil"/>
            </w:tcBorders>
          </w:tcPr>
          <w:p w14:paraId="1C2D2414"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ACDCA57"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27FFD838" w14:textId="77777777" w:rsidTr="00E72162">
        <w:trPr>
          <w:trHeight w:val="290"/>
          <w:jc w:val="center"/>
        </w:trPr>
        <w:tc>
          <w:tcPr>
            <w:tcW w:w="2707" w:type="dxa"/>
            <w:tcBorders>
              <w:top w:val="nil"/>
              <w:left w:val="nil"/>
              <w:bottom w:val="nil"/>
              <w:right w:val="nil"/>
            </w:tcBorders>
          </w:tcPr>
          <w:p w14:paraId="6815B8C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245F970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-19.8%</w:t>
            </w:r>
          </w:p>
        </w:tc>
        <w:tc>
          <w:tcPr>
            <w:tcW w:w="1032" w:type="dxa"/>
            <w:tcBorders>
              <w:top w:val="nil"/>
              <w:left w:val="nil"/>
              <w:bottom w:val="nil"/>
              <w:right w:val="nil"/>
            </w:tcBorders>
          </w:tcPr>
          <w:p w14:paraId="02326388"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-15.0%</w:t>
            </w:r>
          </w:p>
        </w:tc>
        <w:tc>
          <w:tcPr>
            <w:tcW w:w="1032" w:type="dxa"/>
            <w:tcBorders>
              <w:top w:val="nil"/>
              <w:left w:val="nil"/>
              <w:bottom w:val="nil"/>
              <w:right w:val="nil"/>
            </w:tcBorders>
          </w:tcPr>
          <w:p w14:paraId="6221066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-40.6%</w:t>
            </w:r>
          </w:p>
        </w:tc>
      </w:tr>
      <w:tr w:rsidR="00F7725C" w:rsidRPr="00DA605E" w14:paraId="39164C53" w14:textId="77777777" w:rsidTr="00E72162">
        <w:trPr>
          <w:trHeight w:val="290"/>
          <w:jc w:val="center"/>
        </w:trPr>
        <w:tc>
          <w:tcPr>
            <w:tcW w:w="2707" w:type="dxa"/>
            <w:tcBorders>
              <w:top w:val="nil"/>
              <w:left w:val="nil"/>
              <w:bottom w:val="nil"/>
              <w:right w:val="nil"/>
            </w:tcBorders>
          </w:tcPr>
          <w:p w14:paraId="1D16A04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0810A083"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-29.5%</w:t>
            </w:r>
          </w:p>
        </w:tc>
        <w:tc>
          <w:tcPr>
            <w:tcW w:w="1032" w:type="dxa"/>
            <w:tcBorders>
              <w:top w:val="nil"/>
              <w:left w:val="nil"/>
              <w:bottom w:val="nil"/>
              <w:right w:val="nil"/>
            </w:tcBorders>
          </w:tcPr>
          <w:p w14:paraId="00EA82B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19.0%</w:t>
            </w:r>
          </w:p>
        </w:tc>
        <w:tc>
          <w:tcPr>
            <w:tcW w:w="1032" w:type="dxa"/>
            <w:tcBorders>
              <w:top w:val="nil"/>
              <w:left w:val="nil"/>
              <w:bottom w:val="nil"/>
              <w:right w:val="nil"/>
            </w:tcBorders>
          </w:tcPr>
          <w:p w14:paraId="3FA50750"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-30.5%</w:t>
            </w:r>
          </w:p>
        </w:tc>
      </w:tr>
      <w:tr w:rsidR="00F7725C" w:rsidRPr="00DA605E" w14:paraId="5C11AE43" w14:textId="77777777" w:rsidTr="00E72162">
        <w:trPr>
          <w:trHeight w:val="290"/>
          <w:jc w:val="center"/>
        </w:trPr>
        <w:tc>
          <w:tcPr>
            <w:tcW w:w="2707" w:type="dxa"/>
            <w:tcBorders>
              <w:top w:val="nil"/>
              <w:left w:val="nil"/>
              <w:bottom w:val="nil"/>
              <w:right w:val="nil"/>
            </w:tcBorders>
          </w:tcPr>
          <w:p w14:paraId="277ADD4D"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Mental Health RTF</w:t>
            </w:r>
          </w:p>
        </w:tc>
        <w:tc>
          <w:tcPr>
            <w:tcW w:w="951" w:type="dxa"/>
            <w:tcBorders>
              <w:top w:val="nil"/>
              <w:left w:val="nil"/>
              <w:bottom w:val="nil"/>
              <w:right w:val="nil"/>
            </w:tcBorders>
          </w:tcPr>
          <w:p w14:paraId="2F88A1F3"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7B9ABFD"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907D20B"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1C80D60E" w14:textId="77777777" w:rsidTr="00E72162">
        <w:trPr>
          <w:trHeight w:val="290"/>
          <w:jc w:val="center"/>
        </w:trPr>
        <w:tc>
          <w:tcPr>
            <w:tcW w:w="2707" w:type="dxa"/>
            <w:tcBorders>
              <w:top w:val="nil"/>
              <w:left w:val="nil"/>
              <w:bottom w:val="nil"/>
              <w:right w:val="nil"/>
            </w:tcBorders>
          </w:tcPr>
          <w:p w14:paraId="2D57180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0140CC2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38.3%</w:t>
            </w:r>
          </w:p>
        </w:tc>
        <w:tc>
          <w:tcPr>
            <w:tcW w:w="1032" w:type="dxa"/>
            <w:tcBorders>
              <w:top w:val="nil"/>
              <w:left w:val="nil"/>
              <w:bottom w:val="nil"/>
              <w:right w:val="nil"/>
            </w:tcBorders>
          </w:tcPr>
          <w:p w14:paraId="2DE4122A"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78.9%</w:t>
            </w:r>
          </w:p>
        </w:tc>
        <w:tc>
          <w:tcPr>
            <w:tcW w:w="1032" w:type="dxa"/>
            <w:tcBorders>
              <w:top w:val="nil"/>
              <w:left w:val="nil"/>
              <w:bottom w:val="nil"/>
              <w:right w:val="nil"/>
            </w:tcBorders>
          </w:tcPr>
          <w:p w14:paraId="2199989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13.3%</w:t>
            </w:r>
          </w:p>
        </w:tc>
      </w:tr>
      <w:tr w:rsidR="00F7725C" w:rsidRPr="00DA605E" w14:paraId="6317D16C" w14:textId="77777777" w:rsidTr="00E72162">
        <w:trPr>
          <w:trHeight w:val="290"/>
          <w:jc w:val="center"/>
        </w:trPr>
        <w:tc>
          <w:tcPr>
            <w:tcW w:w="2707" w:type="dxa"/>
            <w:tcBorders>
              <w:top w:val="nil"/>
              <w:left w:val="nil"/>
              <w:bottom w:val="nil"/>
              <w:right w:val="nil"/>
            </w:tcBorders>
          </w:tcPr>
          <w:p w14:paraId="15A0A17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4E5EB07A"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95.4%</w:t>
            </w:r>
          </w:p>
        </w:tc>
        <w:tc>
          <w:tcPr>
            <w:tcW w:w="1032" w:type="dxa"/>
            <w:tcBorders>
              <w:top w:val="nil"/>
              <w:left w:val="nil"/>
              <w:bottom w:val="nil"/>
              <w:right w:val="nil"/>
            </w:tcBorders>
          </w:tcPr>
          <w:p w14:paraId="21A5058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124.1%</w:t>
            </w:r>
          </w:p>
        </w:tc>
        <w:tc>
          <w:tcPr>
            <w:tcW w:w="1032" w:type="dxa"/>
            <w:tcBorders>
              <w:top w:val="nil"/>
              <w:left w:val="nil"/>
              <w:bottom w:val="nil"/>
              <w:right w:val="nil"/>
            </w:tcBorders>
          </w:tcPr>
          <w:p w14:paraId="52D2266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71.3%</w:t>
            </w:r>
          </w:p>
        </w:tc>
      </w:tr>
      <w:tr w:rsidR="00F7725C" w:rsidRPr="00DA605E" w14:paraId="484E604E" w14:textId="77777777" w:rsidTr="00E72162">
        <w:trPr>
          <w:trHeight w:val="290"/>
          <w:jc w:val="center"/>
        </w:trPr>
        <w:tc>
          <w:tcPr>
            <w:tcW w:w="2707" w:type="dxa"/>
            <w:tcBorders>
              <w:top w:val="nil"/>
              <w:left w:val="nil"/>
              <w:bottom w:val="nil"/>
              <w:right w:val="nil"/>
            </w:tcBorders>
          </w:tcPr>
          <w:p w14:paraId="23CA092F"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Emergency Department</w:t>
            </w:r>
          </w:p>
        </w:tc>
        <w:tc>
          <w:tcPr>
            <w:tcW w:w="951" w:type="dxa"/>
            <w:tcBorders>
              <w:top w:val="nil"/>
              <w:left w:val="nil"/>
              <w:bottom w:val="nil"/>
              <w:right w:val="nil"/>
            </w:tcBorders>
          </w:tcPr>
          <w:p w14:paraId="18CF079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96342E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00AC5AD"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294AE98E" w14:textId="77777777" w:rsidTr="00E72162">
        <w:trPr>
          <w:trHeight w:val="290"/>
          <w:jc w:val="center"/>
        </w:trPr>
        <w:tc>
          <w:tcPr>
            <w:tcW w:w="2707" w:type="dxa"/>
            <w:tcBorders>
              <w:top w:val="nil"/>
              <w:left w:val="nil"/>
              <w:bottom w:val="nil"/>
              <w:right w:val="nil"/>
            </w:tcBorders>
          </w:tcPr>
          <w:p w14:paraId="01D15DB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5805E77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-13.4%</w:t>
            </w:r>
          </w:p>
        </w:tc>
        <w:tc>
          <w:tcPr>
            <w:tcW w:w="1032" w:type="dxa"/>
            <w:tcBorders>
              <w:top w:val="nil"/>
              <w:left w:val="nil"/>
              <w:bottom w:val="nil"/>
              <w:right w:val="nil"/>
            </w:tcBorders>
          </w:tcPr>
          <w:p w14:paraId="758E795B"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-20.2%</w:t>
            </w:r>
          </w:p>
        </w:tc>
        <w:tc>
          <w:tcPr>
            <w:tcW w:w="1032" w:type="dxa"/>
            <w:tcBorders>
              <w:top w:val="nil"/>
              <w:left w:val="nil"/>
              <w:bottom w:val="nil"/>
              <w:right w:val="nil"/>
            </w:tcBorders>
          </w:tcPr>
          <w:p w14:paraId="75D28BD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-1.4%</w:t>
            </w:r>
          </w:p>
        </w:tc>
      </w:tr>
      <w:tr w:rsidR="00F7725C" w:rsidRPr="00DA605E" w14:paraId="477BD76D" w14:textId="77777777" w:rsidTr="00E72162">
        <w:trPr>
          <w:trHeight w:val="290"/>
          <w:jc w:val="center"/>
        </w:trPr>
        <w:tc>
          <w:tcPr>
            <w:tcW w:w="2707" w:type="dxa"/>
            <w:tcBorders>
              <w:top w:val="nil"/>
              <w:left w:val="nil"/>
              <w:bottom w:val="nil"/>
              <w:right w:val="nil"/>
            </w:tcBorders>
          </w:tcPr>
          <w:p w14:paraId="39EEC69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1844D503"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-14.6%</w:t>
            </w:r>
          </w:p>
        </w:tc>
        <w:tc>
          <w:tcPr>
            <w:tcW w:w="1032" w:type="dxa"/>
            <w:tcBorders>
              <w:top w:val="nil"/>
              <w:left w:val="nil"/>
              <w:bottom w:val="nil"/>
              <w:right w:val="nil"/>
            </w:tcBorders>
          </w:tcPr>
          <w:p w14:paraId="23ACA53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-18.0%</w:t>
            </w:r>
          </w:p>
        </w:tc>
        <w:tc>
          <w:tcPr>
            <w:tcW w:w="1032" w:type="dxa"/>
            <w:tcBorders>
              <w:top w:val="nil"/>
              <w:left w:val="nil"/>
              <w:bottom w:val="nil"/>
              <w:right w:val="nil"/>
            </w:tcBorders>
          </w:tcPr>
          <w:p w14:paraId="314BE42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-6.4%</w:t>
            </w:r>
          </w:p>
        </w:tc>
      </w:tr>
      <w:tr w:rsidR="00F7725C" w:rsidRPr="00DA605E" w14:paraId="10F2F2BE" w14:textId="77777777" w:rsidTr="00E72162">
        <w:trPr>
          <w:trHeight w:val="290"/>
          <w:jc w:val="center"/>
        </w:trPr>
        <w:tc>
          <w:tcPr>
            <w:tcW w:w="2707" w:type="dxa"/>
            <w:tcBorders>
              <w:top w:val="nil"/>
              <w:left w:val="nil"/>
              <w:bottom w:val="nil"/>
              <w:right w:val="nil"/>
            </w:tcBorders>
          </w:tcPr>
          <w:p w14:paraId="750439BA"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MH Outpatient</w:t>
            </w:r>
          </w:p>
        </w:tc>
        <w:tc>
          <w:tcPr>
            <w:tcW w:w="951" w:type="dxa"/>
            <w:tcBorders>
              <w:top w:val="nil"/>
              <w:left w:val="nil"/>
              <w:bottom w:val="nil"/>
              <w:right w:val="nil"/>
            </w:tcBorders>
          </w:tcPr>
          <w:p w14:paraId="3E277933"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B617146"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4433271"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62D1BC45" w14:textId="77777777" w:rsidTr="00E72162">
        <w:trPr>
          <w:trHeight w:val="290"/>
          <w:jc w:val="center"/>
        </w:trPr>
        <w:tc>
          <w:tcPr>
            <w:tcW w:w="2707" w:type="dxa"/>
            <w:tcBorders>
              <w:top w:val="nil"/>
              <w:left w:val="nil"/>
              <w:bottom w:val="nil"/>
              <w:right w:val="nil"/>
            </w:tcBorders>
          </w:tcPr>
          <w:p w14:paraId="535726C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5176C21B"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23.1%</w:t>
            </w:r>
          </w:p>
        </w:tc>
        <w:tc>
          <w:tcPr>
            <w:tcW w:w="1032" w:type="dxa"/>
            <w:tcBorders>
              <w:top w:val="nil"/>
              <w:left w:val="nil"/>
              <w:bottom w:val="nil"/>
              <w:right w:val="nil"/>
            </w:tcBorders>
          </w:tcPr>
          <w:p w14:paraId="540179A6"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16.8%</w:t>
            </w:r>
          </w:p>
        </w:tc>
        <w:tc>
          <w:tcPr>
            <w:tcW w:w="1032" w:type="dxa"/>
            <w:tcBorders>
              <w:top w:val="nil"/>
              <w:left w:val="nil"/>
              <w:bottom w:val="nil"/>
              <w:right w:val="nil"/>
            </w:tcBorders>
          </w:tcPr>
          <w:p w14:paraId="57A4A81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32.6%</w:t>
            </w:r>
          </w:p>
        </w:tc>
      </w:tr>
      <w:tr w:rsidR="00F7725C" w:rsidRPr="00DA605E" w14:paraId="51D0A457" w14:textId="77777777" w:rsidTr="00E72162">
        <w:trPr>
          <w:trHeight w:val="290"/>
          <w:jc w:val="center"/>
        </w:trPr>
        <w:tc>
          <w:tcPr>
            <w:tcW w:w="2707" w:type="dxa"/>
            <w:tcBorders>
              <w:top w:val="nil"/>
              <w:left w:val="nil"/>
              <w:bottom w:val="nil"/>
              <w:right w:val="nil"/>
            </w:tcBorders>
          </w:tcPr>
          <w:p w14:paraId="23308034"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16B31C44"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39.9%</w:t>
            </w:r>
          </w:p>
        </w:tc>
        <w:tc>
          <w:tcPr>
            <w:tcW w:w="1032" w:type="dxa"/>
            <w:tcBorders>
              <w:top w:val="nil"/>
              <w:left w:val="nil"/>
              <w:bottom w:val="nil"/>
              <w:right w:val="nil"/>
            </w:tcBorders>
          </w:tcPr>
          <w:p w14:paraId="70501A37"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43.3%</w:t>
            </w:r>
          </w:p>
        </w:tc>
        <w:tc>
          <w:tcPr>
            <w:tcW w:w="1032" w:type="dxa"/>
            <w:tcBorders>
              <w:top w:val="nil"/>
              <w:left w:val="nil"/>
              <w:bottom w:val="nil"/>
              <w:right w:val="nil"/>
            </w:tcBorders>
          </w:tcPr>
          <w:p w14:paraId="4C0AB50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37.3%</w:t>
            </w:r>
          </w:p>
        </w:tc>
      </w:tr>
      <w:tr w:rsidR="00F7725C" w:rsidRPr="00DA605E" w14:paraId="04B436E1" w14:textId="77777777" w:rsidTr="00E72162">
        <w:trPr>
          <w:trHeight w:val="290"/>
          <w:jc w:val="center"/>
        </w:trPr>
        <w:tc>
          <w:tcPr>
            <w:tcW w:w="2707" w:type="dxa"/>
            <w:tcBorders>
              <w:top w:val="nil"/>
              <w:left w:val="nil"/>
              <w:bottom w:val="nil"/>
              <w:right w:val="nil"/>
            </w:tcBorders>
          </w:tcPr>
          <w:p w14:paraId="4C3D77AB"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Other Services</w:t>
            </w:r>
          </w:p>
        </w:tc>
        <w:tc>
          <w:tcPr>
            <w:tcW w:w="951" w:type="dxa"/>
            <w:tcBorders>
              <w:top w:val="nil"/>
              <w:left w:val="nil"/>
              <w:bottom w:val="nil"/>
              <w:right w:val="nil"/>
            </w:tcBorders>
          </w:tcPr>
          <w:p w14:paraId="6D24C1B2"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627BD0E"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D8C9170"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6C06BCEA" w14:textId="77777777" w:rsidTr="00E72162">
        <w:trPr>
          <w:trHeight w:val="290"/>
          <w:jc w:val="center"/>
        </w:trPr>
        <w:tc>
          <w:tcPr>
            <w:tcW w:w="2707" w:type="dxa"/>
            <w:tcBorders>
              <w:top w:val="nil"/>
              <w:left w:val="nil"/>
              <w:bottom w:val="nil"/>
              <w:right w:val="nil"/>
            </w:tcBorders>
          </w:tcPr>
          <w:p w14:paraId="10AA0A44"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665892D7"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90.0%</w:t>
            </w:r>
          </w:p>
        </w:tc>
        <w:tc>
          <w:tcPr>
            <w:tcW w:w="1032" w:type="dxa"/>
            <w:tcBorders>
              <w:top w:val="nil"/>
              <w:left w:val="nil"/>
              <w:bottom w:val="nil"/>
              <w:right w:val="nil"/>
            </w:tcBorders>
          </w:tcPr>
          <w:p w14:paraId="6F062E86"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229.8%</w:t>
            </w:r>
          </w:p>
        </w:tc>
        <w:tc>
          <w:tcPr>
            <w:tcW w:w="1032" w:type="dxa"/>
            <w:tcBorders>
              <w:top w:val="nil"/>
              <w:left w:val="nil"/>
              <w:bottom w:val="nil"/>
              <w:right w:val="nil"/>
            </w:tcBorders>
          </w:tcPr>
          <w:p w14:paraId="5B33C48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8.3%</w:t>
            </w:r>
          </w:p>
        </w:tc>
      </w:tr>
      <w:tr w:rsidR="00F7725C" w:rsidRPr="00DA605E" w14:paraId="61A4D167" w14:textId="77777777" w:rsidTr="00E72162">
        <w:trPr>
          <w:trHeight w:val="290"/>
          <w:jc w:val="center"/>
        </w:trPr>
        <w:tc>
          <w:tcPr>
            <w:tcW w:w="2707" w:type="dxa"/>
            <w:tcBorders>
              <w:top w:val="nil"/>
              <w:left w:val="nil"/>
              <w:bottom w:val="single" w:sz="6" w:space="0" w:color="auto"/>
              <w:right w:val="nil"/>
            </w:tcBorders>
          </w:tcPr>
          <w:p w14:paraId="598A495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292CF4B6"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56.8%</w:t>
            </w:r>
          </w:p>
        </w:tc>
        <w:tc>
          <w:tcPr>
            <w:tcW w:w="1032" w:type="dxa"/>
            <w:tcBorders>
              <w:top w:val="nil"/>
              <w:left w:val="nil"/>
              <w:bottom w:val="single" w:sz="6" w:space="0" w:color="auto"/>
              <w:right w:val="nil"/>
            </w:tcBorders>
          </w:tcPr>
          <w:p w14:paraId="3CB4BCF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111.5%</w:t>
            </w:r>
          </w:p>
        </w:tc>
        <w:tc>
          <w:tcPr>
            <w:tcW w:w="1032" w:type="dxa"/>
            <w:tcBorders>
              <w:top w:val="nil"/>
              <w:left w:val="nil"/>
              <w:bottom w:val="single" w:sz="6" w:space="0" w:color="auto"/>
              <w:right w:val="nil"/>
            </w:tcBorders>
          </w:tcPr>
          <w:p w14:paraId="7CC30BB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27.4%</w:t>
            </w:r>
          </w:p>
        </w:tc>
      </w:tr>
    </w:tbl>
    <w:p w14:paraId="731489A9" w14:textId="77777777" w:rsidR="00E847F0" w:rsidRPr="005A6983" w:rsidRDefault="00E847F0" w:rsidP="00E847F0">
      <w:pPr>
        <w:jc w:val="center"/>
        <w:rPr>
          <w:rFonts w:eastAsia="Calibri" w:cstheme="minorHAnsi"/>
          <w:sz w:val="22"/>
          <w:szCs w:val="22"/>
        </w:rPr>
      </w:pPr>
    </w:p>
    <w:p w14:paraId="75F20CE8" w14:textId="77777777" w:rsidR="00E847F0" w:rsidRPr="005A6983" w:rsidRDefault="00E847F0" w:rsidP="00E847F0">
      <w:pPr>
        <w:jc w:val="center"/>
        <w:rPr>
          <w:rFonts w:eastAsia="Calibri" w:cstheme="minorHAnsi"/>
          <w:sz w:val="22"/>
          <w:szCs w:val="22"/>
        </w:rPr>
      </w:pPr>
    </w:p>
    <w:p w14:paraId="61E60B80" w14:textId="77777777" w:rsidR="00E847F0" w:rsidRPr="005A6983" w:rsidRDefault="00E847F0" w:rsidP="00E847F0">
      <w:pPr>
        <w:jc w:val="center"/>
        <w:rPr>
          <w:rFonts w:eastAsia="Calibri" w:cstheme="minorHAnsi"/>
          <w:sz w:val="22"/>
          <w:szCs w:val="22"/>
        </w:rPr>
      </w:pPr>
    </w:p>
    <w:p w14:paraId="51542B01" w14:textId="77777777" w:rsidR="00E847F0" w:rsidRDefault="00E847F0" w:rsidP="00E847F0">
      <w:pPr>
        <w:rPr>
          <w:rFonts w:eastAsia="Calibri" w:cstheme="minorHAnsi"/>
          <w:sz w:val="22"/>
          <w:szCs w:val="22"/>
        </w:rPr>
      </w:pPr>
      <w:r>
        <w:rPr>
          <w:rFonts w:eastAsia="Calibri" w:cstheme="minorHAnsi"/>
          <w:sz w:val="22"/>
          <w:szCs w:val="22"/>
        </w:rPr>
        <w:br w:type="page"/>
      </w:r>
    </w:p>
    <w:p w14:paraId="0DE668FA" w14:textId="77777777" w:rsidR="002A6F8C" w:rsidRDefault="00E847F0" w:rsidP="00E839A9">
      <w:pPr>
        <w:jc w:val="center"/>
        <w:rPr>
          <w:rFonts w:eastAsia="Calibri" w:cstheme="minorHAnsi"/>
          <w:b/>
          <w:bCs/>
          <w:color w:val="6A7F0F"/>
          <w:sz w:val="22"/>
          <w:szCs w:val="22"/>
        </w:rPr>
      </w:pPr>
      <w:bookmarkStart w:id="149" w:name="Appendix6_Table_A67e"/>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.7e: Change in Substance Use Related Expenditure Levels per Person for </w:t>
      </w:r>
    </w:p>
    <w:p w14:paraId="720F6F23" w14:textId="4E6182DE" w:rsidR="00E847F0" w:rsidRPr="00000D4B" w:rsidRDefault="00E847F0" w:rsidP="00E839A9">
      <w:pPr>
        <w:jc w:val="center"/>
        <w:rPr>
          <w:rFonts w:eastAsia="Calibri"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Race/Ethnicity Services</w:t>
      </w:r>
    </w:p>
    <w:bookmarkEnd w:id="149"/>
    <w:p w14:paraId="552778D1" w14:textId="77777777" w:rsidR="00E847F0" w:rsidRPr="005A6983" w:rsidRDefault="00E847F0" w:rsidP="00E847F0">
      <w:pPr>
        <w:ind w:left="1152" w:hanging="1152"/>
        <w:jc w:val="center"/>
        <w:rPr>
          <w:rFonts w:cstheme="minorHAnsi"/>
          <w:b/>
          <w:sz w:val="22"/>
          <w:szCs w:val="22"/>
        </w:rPr>
      </w:pPr>
    </w:p>
    <w:tbl>
      <w:tblPr>
        <w:tblW w:w="8461" w:type="dxa"/>
        <w:jc w:val="center"/>
        <w:tblLook w:val="04A0" w:firstRow="1" w:lastRow="0" w:firstColumn="1" w:lastColumn="0" w:noHBand="0" w:noVBand="1"/>
      </w:tblPr>
      <w:tblGrid>
        <w:gridCol w:w="2540"/>
        <w:gridCol w:w="840"/>
        <w:gridCol w:w="1080"/>
        <w:gridCol w:w="920"/>
        <w:gridCol w:w="1184"/>
        <w:gridCol w:w="880"/>
        <w:gridCol w:w="1017"/>
      </w:tblGrid>
      <w:tr w:rsidR="00F7725C" w:rsidRPr="00306062" w14:paraId="556E9FC6"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9371E86" w14:textId="77777777" w:rsidR="00F7725C" w:rsidRPr="00306062" w:rsidRDefault="00F7725C" w:rsidP="00E72162"/>
        </w:tc>
        <w:tc>
          <w:tcPr>
            <w:tcW w:w="840" w:type="dxa"/>
            <w:tcBorders>
              <w:top w:val="nil"/>
              <w:left w:val="nil"/>
              <w:bottom w:val="nil"/>
              <w:right w:val="nil"/>
            </w:tcBorders>
            <w:shd w:val="clear" w:color="auto" w:fill="auto"/>
            <w:noWrap/>
            <w:vAlign w:val="bottom"/>
            <w:hideMark/>
          </w:tcPr>
          <w:p w14:paraId="129AC83C" w14:textId="77777777" w:rsidR="00F7725C" w:rsidRPr="00306062" w:rsidRDefault="00F7725C" w:rsidP="00E72162">
            <w:pPr>
              <w:rPr>
                <w:sz w:val="20"/>
                <w:szCs w:val="20"/>
              </w:rPr>
            </w:pPr>
          </w:p>
        </w:tc>
        <w:tc>
          <w:tcPr>
            <w:tcW w:w="1080" w:type="dxa"/>
            <w:tcBorders>
              <w:top w:val="nil"/>
              <w:left w:val="nil"/>
              <w:bottom w:val="nil"/>
              <w:right w:val="nil"/>
            </w:tcBorders>
            <w:shd w:val="clear" w:color="auto" w:fill="auto"/>
            <w:noWrap/>
            <w:vAlign w:val="bottom"/>
            <w:hideMark/>
          </w:tcPr>
          <w:p w14:paraId="57005932" w14:textId="77777777" w:rsidR="00F7725C" w:rsidRPr="00306062" w:rsidRDefault="00F7725C" w:rsidP="00E72162">
            <w:pPr>
              <w:jc w:val="center"/>
              <w:rPr>
                <w:sz w:val="20"/>
                <w:szCs w:val="20"/>
              </w:rPr>
            </w:pPr>
          </w:p>
        </w:tc>
        <w:tc>
          <w:tcPr>
            <w:tcW w:w="920" w:type="dxa"/>
            <w:tcBorders>
              <w:top w:val="nil"/>
              <w:left w:val="nil"/>
              <w:bottom w:val="nil"/>
              <w:right w:val="nil"/>
            </w:tcBorders>
            <w:shd w:val="clear" w:color="auto" w:fill="auto"/>
            <w:noWrap/>
            <w:vAlign w:val="bottom"/>
            <w:hideMark/>
          </w:tcPr>
          <w:p w14:paraId="436AC43B" w14:textId="77777777" w:rsidR="00F7725C" w:rsidRPr="00306062" w:rsidRDefault="00F7725C" w:rsidP="00E72162">
            <w:pPr>
              <w:jc w:val="center"/>
              <w:rPr>
                <w:sz w:val="20"/>
                <w:szCs w:val="20"/>
              </w:rPr>
            </w:pPr>
          </w:p>
        </w:tc>
        <w:tc>
          <w:tcPr>
            <w:tcW w:w="1184" w:type="dxa"/>
            <w:tcBorders>
              <w:top w:val="nil"/>
              <w:left w:val="nil"/>
              <w:bottom w:val="nil"/>
              <w:right w:val="nil"/>
            </w:tcBorders>
            <w:shd w:val="clear" w:color="auto" w:fill="auto"/>
            <w:noWrap/>
            <w:vAlign w:val="bottom"/>
            <w:hideMark/>
          </w:tcPr>
          <w:p w14:paraId="71F6E8F1" w14:textId="77777777" w:rsidR="00F7725C" w:rsidRPr="00306062" w:rsidRDefault="00F7725C" w:rsidP="00E72162">
            <w:pPr>
              <w:jc w:val="center"/>
              <w:rPr>
                <w:sz w:val="20"/>
                <w:szCs w:val="20"/>
              </w:rPr>
            </w:pPr>
          </w:p>
        </w:tc>
        <w:tc>
          <w:tcPr>
            <w:tcW w:w="880" w:type="dxa"/>
            <w:tcBorders>
              <w:top w:val="nil"/>
              <w:left w:val="nil"/>
              <w:bottom w:val="nil"/>
              <w:right w:val="nil"/>
            </w:tcBorders>
            <w:shd w:val="clear" w:color="auto" w:fill="auto"/>
            <w:noWrap/>
            <w:vAlign w:val="bottom"/>
            <w:hideMark/>
          </w:tcPr>
          <w:p w14:paraId="285359C4" w14:textId="77777777" w:rsidR="00F7725C" w:rsidRPr="00306062" w:rsidRDefault="00F7725C" w:rsidP="00E72162">
            <w:pPr>
              <w:jc w:val="center"/>
              <w:rPr>
                <w:sz w:val="20"/>
                <w:szCs w:val="20"/>
              </w:rPr>
            </w:pPr>
          </w:p>
        </w:tc>
        <w:tc>
          <w:tcPr>
            <w:tcW w:w="1017" w:type="dxa"/>
            <w:tcBorders>
              <w:top w:val="nil"/>
              <w:left w:val="nil"/>
              <w:bottom w:val="nil"/>
              <w:right w:val="nil"/>
            </w:tcBorders>
            <w:shd w:val="clear" w:color="auto" w:fill="auto"/>
            <w:noWrap/>
            <w:vAlign w:val="bottom"/>
            <w:hideMark/>
          </w:tcPr>
          <w:p w14:paraId="20A7838E"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All Other</w:t>
            </w:r>
          </w:p>
        </w:tc>
      </w:tr>
      <w:tr w:rsidR="00F7725C" w:rsidRPr="00306062" w14:paraId="15CA6591"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0FF449D2"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Substance Use</w:t>
            </w:r>
          </w:p>
        </w:tc>
        <w:tc>
          <w:tcPr>
            <w:tcW w:w="840" w:type="dxa"/>
            <w:tcBorders>
              <w:top w:val="nil"/>
              <w:left w:val="nil"/>
              <w:bottom w:val="nil"/>
              <w:right w:val="nil"/>
            </w:tcBorders>
            <w:shd w:val="clear" w:color="auto" w:fill="auto"/>
            <w:noWrap/>
            <w:vAlign w:val="bottom"/>
            <w:hideMark/>
          </w:tcPr>
          <w:p w14:paraId="29C0BD6E"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All</w:t>
            </w:r>
          </w:p>
        </w:tc>
        <w:tc>
          <w:tcPr>
            <w:tcW w:w="1080" w:type="dxa"/>
            <w:tcBorders>
              <w:top w:val="nil"/>
              <w:left w:val="nil"/>
              <w:bottom w:val="nil"/>
              <w:right w:val="nil"/>
            </w:tcBorders>
            <w:shd w:val="clear" w:color="auto" w:fill="auto"/>
            <w:noWrap/>
            <w:vAlign w:val="bottom"/>
            <w:hideMark/>
          </w:tcPr>
          <w:p w14:paraId="622FEB04"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Am Ind/</w:t>
            </w:r>
          </w:p>
        </w:tc>
        <w:tc>
          <w:tcPr>
            <w:tcW w:w="920" w:type="dxa"/>
            <w:tcBorders>
              <w:top w:val="nil"/>
              <w:left w:val="nil"/>
              <w:bottom w:val="nil"/>
              <w:right w:val="nil"/>
            </w:tcBorders>
            <w:shd w:val="clear" w:color="auto" w:fill="auto"/>
            <w:noWrap/>
            <w:vAlign w:val="bottom"/>
            <w:hideMark/>
          </w:tcPr>
          <w:p w14:paraId="6357F249"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Black/</w:t>
            </w:r>
          </w:p>
        </w:tc>
        <w:tc>
          <w:tcPr>
            <w:tcW w:w="1184" w:type="dxa"/>
            <w:tcBorders>
              <w:top w:val="nil"/>
              <w:left w:val="nil"/>
              <w:bottom w:val="nil"/>
              <w:right w:val="nil"/>
            </w:tcBorders>
            <w:shd w:val="clear" w:color="auto" w:fill="auto"/>
            <w:noWrap/>
            <w:vAlign w:val="bottom"/>
            <w:hideMark/>
          </w:tcPr>
          <w:p w14:paraId="3FF6C1B2"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Hispanic/</w:t>
            </w:r>
          </w:p>
        </w:tc>
        <w:tc>
          <w:tcPr>
            <w:tcW w:w="880" w:type="dxa"/>
            <w:tcBorders>
              <w:top w:val="nil"/>
              <w:left w:val="nil"/>
              <w:bottom w:val="nil"/>
              <w:right w:val="nil"/>
            </w:tcBorders>
            <w:shd w:val="clear" w:color="auto" w:fill="auto"/>
            <w:noWrap/>
            <w:vAlign w:val="bottom"/>
            <w:hideMark/>
          </w:tcPr>
          <w:p w14:paraId="7871A812" w14:textId="77777777" w:rsidR="00F7725C" w:rsidRPr="00306062" w:rsidRDefault="00F7725C" w:rsidP="00E72162">
            <w:pPr>
              <w:jc w:val="center"/>
              <w:rPr>
                <w:rFonts w:ascii="Calibri" w:hAnsi="Calibri" w:cs="Calibri"/>
                <w:b/>
                <w:bCs/>
                <w:color w:val="000000"/>
                <w:sz w:val="22"/>
                <w:szCs w:val="22"/>
              </w:rPr>
            </w:pPr>
          </w:p>
        </w:tc>
        <w:tc>
          <w:tcPr>
            <w:tcW w:w="1017" w:type="dxa"/>
            <w:tcBorders>
              <w:top w:val="nil"/>
              <w:left w:val="nil"/>
              <w:bottom w:val="nil"/>
              <w:right w:val="nil"/>
            </w:tcBorders>
            <w:shd w:val="clear" w:color="auto" w:fill="auto"/>
            <w:noWrap/>
            <w:vAlign w:val="bottom"/>
            <w:hideMark/>
          </w:tcPr>
          <w:p w14:paraId="3B49B5A6"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Race/</w:t>
            </w:r>
          </w:p>
        </w:tc>
      </w:tr>
      <w:tr w:rsidR="00F7725C" w:rsidRPr="00306062" w14:paraId="5FF0391F"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10A7315D"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Expenditures per Person</w:t>
            </w:r>
          </w:p>
        </w:tc>
        <w:tc>
          <w:tcPr>
            <w:tcW w:w="840" w:type="dxa"/>
            <w:tcBorders>
              <w:top w:val="nil"/>
              <w:left w:val="nil"/>
              <w:bottom w:val="single" w:sz="4" w:space="0" w:color="auto"/>
              <w:right w:val="nil"/>
            </w:tcBorders>
            <w:shd w:val="clear" w:color="auto" w:fill="auto"/>
            <w:noWrap/>
            <w:vAlign w:val="bottom"/>
            <w:hideMark/>
          </w:tcPr>
          <w:p w14:paraId="791D6D69"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78FB50EC"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5C5C70A2"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6159DD47"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Latino/a/x</w:t>
            </w:r>
          </w:p>
        </w:tc>
        <w:tc>
          <w:tcPr>
            <w:tcW w:w="880" w:type="dxa"/>
            <w:tcBorders>
              <w:top w:val="nil"/>
              <w:left w:val="nil"/>
              <w:bottom w:val="single" w:sz="4" w:space="0" w:color="auto"/>
              <w:right w:val="nil"/>
            </w:tcBorders>
            <w:shd w:val="clear" w:color="auto" w:fill="auto"/>
            <w:noWrap/>
            <w:vAlign w:val="bottom"/>
            <w:hideMark/>
          </w:tcPr>
          <w:p w14:paraId="4F8AD23F"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1BB0927B" w14:textId="77777777" w:rsidR="00F7725C" w:rsidRPr="00306062" w:rsidRDefault="00F7725C" w:rsidP="00E72162">
            <w:pPr>
              <w:jc w:val="center"/>
              <w:rPr>
                <w:rFonts w:ascii="Calibri" w:hAnsi="Calibri" w:cs="Calibri"/>
                <w:b/>
                <w:bCs/>
                <w:color w:val="000000"/>
                <w:sz w:val="22"/>
                <w:szCs w:val="22"/>
              </w:rPr>
            </w:pPr>
            <w:r w:rsidRPr="00306062">
              <w:rPr>
                <w:rFonts w:ascii="Calibri" w:hAnsi="Calibri" w:cs="Calibri"/>
                <w:b/>
                <w:bCs/>
                <w:color w:val="000000"/>
                <w:sz w:val="22"/>
                <w:szCs w:val="22"/>
              </w:rPr>
              <w:t>Ethnicity</w:t>
            </w:r>
          </w:p>
        </w:tc>
      </w:tr>
      <w:tr w:rsidR="00F7725C" w:rsidRPr="00306062" w14:paraId="33193999"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DCC3C32"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Total</w:t>
            </w:r>
          </w:p>
        </w:tc>
        <w:tc>
          <w:tcPr>
            <w:tcW w:w="840" w:type="dxa"/>
            <w:tcBorders>
              <w:top w:val="nil"/>
              <w:left w:val="nil"/>
              <w:bottom w:val="nil"/>
              <w:right w:val="nil"/>
            </w:tcBorders>
            <w:shd w:val="clear" w:color="auto" w:fill="auto"/>
            <w:noWrap/>
            <w:vAlign w:val="bottom"/>
            <w:hideMark/>
          </w:tcPr>
          <w:p w14:paraId="3F2E0D26"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64BB537A"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017E6603"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691C29C6"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787B82F8"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355C5AEE" w14:textId="77777777" w:rsidR="00F7725C" w:rsidRPr="00306062" w:rsidRDefault="00F7725C" w:rsidP="00E72162">
            <w:pPr>
              <w:rPr>
                <w:sz w:val="20"/>
                <w:szCs w:val="20"/>
              </w:rPr>
            </w:pPr>
          </w:p>
        </w:tc>
      </w:tr>
      <w:tr w:rsidR="00F7725C" w:rsidRPr="00306062" w14:paraId="3DBFB22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69C373F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A443B86"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18.8%</w:t>
            </w:r>
          </w:p>
        </w:tc>
        <w:tc>
          <w:tcPr>
            <w:tcW w:w="1080" w:type="dxa"/>
            <w:tcBorders>
              <w:top w:val="nil"/>
              <w:left w:val="nil"/>
              <w:bottom w:val="nil"/>
              <w:right w:val="nil"/>
            </w:tcBorders>
            <w:shd w:val="clear" w:color="auto" w:fill="auto"/>
            <w:noWrap/>
            <w:vAlign w:val="bottom"/>
            <w:hideMark/>
          </w:tcPr>
          <w:p w14:paraId="76AC3C0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-2.8%</w:t>
            </w:r>
          </w:p>
        </w:tc>
        <w:tc>
          <w:tcPr>
            <w:tcW w:w="920" w:type="dxa"/>
            <w:tcBorders>
              <w:top w:val="nil"/>
              <w:left w:val="nil"/>
              <w:bottom w:val="nil"/>
              <w:right w:val="nil"/>
            </w:tcBorders>
            <w:shd w:val="clear" w:color="auto" w:fill="auto"/>
            <w:noWrap/>
            <w:vAlign w:val="bottom"/>
            <w:hideMark/>
          </w:tcPr>
          <w:p w14:paraId="4887A2C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-3.1%</w:t>
            </w:r>
          </w:p>
        </w:tc>
        <w:tc>
          <w:tcPr>
            <w:tcW w:w="1184" w:type="dxa"/>
            <w:tcBorders>
              <w:top w:val="nil"/>
              <w:left w:val="nil"/>
              <w:bottom w:val="nil"/>
              <w:right w:val="nil"/>
            </w:tcBorders>
            <w:shd w:val="clear" w:color="auto" w:fill="auto"/>
            <w:noWrap/>
            <w:vAlign w:val="bottom"/>
            <w:hideMark/>
          </w:tcPr>
          <w:p w14:paraId="167D464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25.7%</w:t>
            </w:r>
          </w:p>
        </w:tc>
        <w:tc>
          <w:tcPr>
            <w:tcW w:w="880" w:type="dxa"/>
            <w:tcBorders>
              <w:top w:val="nil"/>
              <w:left w:val="nil"/>
              <w:bottom w:val="nil"/>
              <w:right w:val="nil"/>
            </w:tcBorders>
            <w:shd w:val="clear" w:color="auto" w:fill="auto"/>
            <w:noWrap/>
            <w:vAlign w:val="bottom"/>
            <w:hideMark/>
          </w:tcPr>
          <w:p w14:paraId="5EFCCC6E"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27.4%</w:t>
            </w:r>
          </w:p>
        </w:tc>
        <w:tc>
          <w:tcPr>
            <w:tcW w:w="1017" w:type="dxa"/>
            <w:tcBorders>
              <w:top w:val="nil"/>
              <w:left w:val="nil"/>
              <w:bottom w:val="nil"/>
              <w:right w:val="nil"/>
            </w:tcBorders>
            <w:shd w:val="clear" w:color="auto" w:fill="auto"/>
            <w:noWrap/>
            <w:vAlign w:val="bottom"/>
            <w:hideMark/>
          </w:tcPr>
          <w:p w14:paraId="233B873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-5.0%</w:t>
            </w:r>
          </w:p>
        </w:tc>
      </w:tr>
      <w:tr w:rsidR="00F7725C" w:rsidRPr="00306062" w14:paraId="1EE6FD72"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7E228C8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0E773699"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32.7%</w:t>
            </w:r>
          </w:p>
        </w:tc>
        <w:tc>
          <w:tcPr>
            <w:tcW w:w="1080" w:type="dxa"/>
            <w:tcBorders>
              <w:top w:val="nil"/>
              <w:left w:val="nil"/>
              <w:bottom w:val="nil"/>
              <w:right w:val="nil"/>
            </w:tcBorders>
            <w:shd w:val="clear" w:color="auto" w:fill="auto"/>
            <w:noWrap/>
            <w:vAlign w:val="bottom"/>
            <w:hideMark/>
          </w:tcPr>
          <w:p w14:paraId="0E764DB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10.0%</w:t>
            </w:r>
          </w:p>
        </w:tc>
        <w:tc>
          <w:tcPr>
            <w:tcW w:w="920" w:type="dxa"/>
            <w:tcBorders>
              <w:top w:val="nil"/>
              <w:left w:val="nil"/>
              <w:bottom w:val="nil"/>
              <w:right w:val="nil"/>
            </w:tcBorders>
            <w:shd w:val="clear" w:color="auto" w:fill="auto"/>
            <w:noWrap/>
            <w:vAlign w:val="bottom"/>
            <w:hideMark/>
          </w:tcPr>
          <w:p w14:paraId="6B915AC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33.5%</w:t>
            </w:r>
          </w:p>
        </w:tc>
        <w:tc>
          <w:tcPr>
            <w:tcW w:w="1184" w:type="dxa"/>
            <w:tcBorders>
              <w:top w:val="nil"/>
              <w:left w:val="nil"/>
              <w:bottom w:val="nil"/>
              <w:right w:val="nil"/>
            </w:tcBorders>
            <w:shd w:val="clear" w:color="auto" w:fill="auto"/>
            <w:noWrap/>
            <w:vAlign w:val="bottom"/>
            <w:hideMark/>
          </w:tcPr>
          <w:p w14:paraId="4254353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16.0%</w:t>
            </w:r>
          </w:p>
        </w:tc>
        <w:tc>
          <w:tcPr>
            <w:tcW w:w="880" w:type="dxa"/>
            <w:tcBorders>
              <w:top w:val="nil"/>
              <w:left w:val="nil"/>
              <w:bottom w:val="nil"/>
              <w:right w:val="nil"/>
            </w:tcBorders>
            <w:shd w:val="clear" w:color="auto" w:fill="auto"/>
            <w:noWrap/>
            <w:vAlign w:val="bottom"/>
            <w:hideMark/>
          </w:tcPr>
          <w:p w14:paraId="338A96B6"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40.8%</w:t>
            </w:r>
          </w:p>
        </w:tc>
        <w:tc>
          <w:tcPr>
            <w:tcW w:w="1017" w:type="dxa"/>
            <w:tcBorders>
              <w:top w:val="nil"/>
              <w:left w:val="nil"/>
              <w:bottom w:val="nil"/>
              <w:right w:val="nil"/>
            </w:tcBorders>
            <w:shd w:val="clear" w:color="auto" w:fill="auto"/>
            <w:noWrap/>
            <w:vAlign w:val="bottom"/>
            <w:hideMark/>
          </w:tcPr>
          <w:p w14:paraId="66C49723"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63.0%</w:t>
            </w:r>
          </w:p>
        </w:tc>
      </w:tr>
      <w:tr w:rsidR="00F7725C" w:rsidRPr="00306062" w14:paraId="2C5A99D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E95CF30"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Inpatient</w:t>
            </w:r>
          </w:p>
        </w:tc>
        <w:tc>
          <w:tcPr>
            <w:tcW w:w="840" w:type="dxa"/>
            <w:tcBorders>
              <w:top w:val="nil"/>
              <w:left w:val="nil"/>
              <w:bottom w:val="nil"/>
              <w:right w:val="nil"/>
            </w:tcBorders>
            <w:shd w:val="clear" w:color="auto" w:fill="auto"/>
            <w:noWrap/>
            <w:vAlign w:val="bottom"/>
            <w:hideMark/>
          </w:tcPr>
          <w:p w14:paraId="743A36EE"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785A4823"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3A8E5456"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01463732"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7DC0255E"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F668DCC" w14:textId="77777777" w:rsidR="00F7725C" w:rsidRPr="00306062" w:rsidRDefault="00F7725C" w:rsidP="00E72162">
            <w:pPr>
              <w:rPr>
                <w:sz w:val="20"/>
                <w:szCs w:val="20"/>
              </w:rPr>
            </w:pPr>
          </w:p>
        </w:tc>
      </w:tr>
      <w:tr w:rsidR="00F7725C" w:rsidRPr="00306062" w14:paraId="0151BF1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ACD631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245F3EDA"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-2.4%</w:t>
            </w:r>
          </w:p>
        </w:tc>
        <w:tc>
          <w:tcPr>
            <w:tcW w:w="1080" w:type="dxa"/>
            <w:tcBorders>
              <w:top w:val="nil"/>
              <w:left w:val="nil"/>
              <w:bottom w:val="nil"/>
              <w:right w:val="nil"/>
            </w:tcBorders>
            <w:shd w:val="clear" w:color="auto" w:fill="auto"/>
            <w:noWrap/>
            <w:vAlign w:val="bottom"/>
            <w:hideMark/>
          </w:tcPr>
          <w:p w14:paraId="74FAEE5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280.0%</w:t>
            </w:r>
          </w:p>
        </w:tc>
        <w:tc>
          <w:tcPr>
            <w:tcW w:w="920" w:type="dxa"/>
            <w:tcBorders>
              <w:top w:val="nil"/>
              <w:left w:val="nil"/>
              <w:bottom w:val="nil"/>
              <w:right w:val="nil"/>
            </w:tcBorders>
            <w:shd w:val="clear" w:color="auto" w:fill="auto"/>
            <w:noWrap/>
            <w:vAlign w:val="bottom"/>
            <w:hideMark/>
          </w:tcPr>
          <w:p w14:paraId="59963B7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49.6%</w:t>
            </w:r>
          </w:p>
        </w:tc>
        <w:tc>
          <w:tcPr>
            <w:tcW w:w="1184" w:type="dxa"/>
            <w:tcBorders>
              <w:top w:val="nil"/>
              <w:left w:val="nil"/>
              <w:bottom w:val="nil"/>
              <w:right w:val="nil"/>
            </w:tcBorders>
            <w:shd w:val="clear" w:color="auto" w:fill="auto"/>
            <w:noWrap/>
            <w:vAlign w:val="bottom"/>
            <w:hideMark/>
          </w:tcPr>
          <w:p w14:paraId="73746FE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-56.1%</w:t>
            </w:r>
          </w:p>
        </w:tc>
        <w:tc>
          <w:tcPr>
            <w:tcW w:w="880" w:type="dxa"/>
            <w:tcBorders>
              <w:top w:val="nil"/>
              <w:left w:val="nil"/>
              <w:bottom w:val="nil"/>
              <w:right w:val="nil"/>
            </w:tcBorders>
            <w:shd w:val="clear" w:color="auto" w:fill="auto"/>
            <w:noWrap/>
            <w:vAlign w:val="bottom"/>
            <w:hideMark/>
          </w:tcPr>
          <w:p w14:paraId="54F55CFC"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-65.8%</w:t>
            </w:r>
          </w:p>
        </w:tc>
        <w:tc>
          <w:tcPr>
            <w:tcW w:w="1017" w:type="dxa"/>
            <w:tcBorders>
              <w:top w:val="nil"/>
              <w:left w:val="nil"/>
              <w:bottom w:val="nil"/>
              <w:right w:val="nil"/>
            </w:tcBorders>
            <w:shd w:val="clear" w:color="auto" w:fill="auto"/>
            <w:noWrap/>
            <w:vAlign w:val="bottom"/>
            <w:hideMark/>
          </w:tcPr>
          <w:p w14:paraId="63FD23C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-16.1%</w:t>
            </w:r>
          </w:p>
        </w:tc>
      </w:tr>
      <w:tr w:rsidR="00F7725C" w:rsidRPr="00306062" w14:paraId="4E19B5EA"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81D9C1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62FB09E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3.6%</w:t>
            </w:r>
          </w:p>
        </w:tc>
        <w:tc>
          <w:tcPr>
            <w:tcW w:w="1080" w:type="dxa"/>
            <w:tcBorders>
              <w:top w:val="nil"/>
              <w:left w:val="nil"/>
              <w:bottom w:val="nil"/>
              <w:right w:val="nil"/>
            </w:tcBorders>
            <w:shd w:val="clear" w:color="auto" w:fill="auto"/>
            <w:noWrap/>
            <w:vAlign w:val="bottom"/>
            <w:hideMark/>
          </w:tcPr>
          <w:p w14:paraId="53B7FAD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542024F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985.9%</w:t>
            </w:r>
          </w:p>
        </w:tc>
        <w:tc>
          <w:tcPr>
            <w:tcW w:w="1184" w:type="dxa"/>
            <w:tcBorders>
              <w:top w:val="nil"/>
              <w:left w:val="nil"/>
              <w:bottom w:val="nil"/>
              <w:right w:val="nil"/>
            </w:tcBorders>
            <w:shd w:val="clear" w:color="auto" w:fill="auto"/>
            <w:noWrap/>
            <w:vAlign w:val="bottom"/>
            <w:hideMark/>
          </w:tcPr>
          <w:p w14:paraId="7035E28D"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-95.7%</w:t>
            </w:r>
          </w:p>
        </w:tc>
        <w:tc>
          <w:tcPr>
            <w:tcW w:w="880" w:type="dxa"/>
            <w:tcBorders>
              <w:top w:val="nil"/>
              <w:left w:val="nil"/>
              <w:bottom w:val="nil"/>
              <w:right w:val="nil"/>
            </w:tcBorders>
            <w:shd w:val="clear" w:color="auto" w:fill="auto"/>
            <w:noWrap/>
            <w:vAlign w:val="bottom"/>
            <w:hideMark/>
          </w:tcPr>
          <w:p w14:paraId="5E41337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92.3%</w:t>
            </w:r>
          </w:p>
        </w:tc>
        <w:tc>
          <w:tcPr>
            <w:tcW w:w="1017" w:type="dxa"/>
            <w:tcBorders>
              <w:top w:val="nil"/>
              <w:left w:val="nil"/>
              <w:bottom w:val="nil"/>
              <w:right w:val="nil"/>
            </w:tcBorders>
            <w:shd w:val="clear" w:color="auto" w:fill="auto"/>
            <w:noWrap/>
            <w:vAlign w:val="bottom"/>
            <w:hideMark/>
          </w:tcPr>
          <w:p w14:paraId="0660E40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328.4%</w:t>
            </w:r>
          </w:p>
        </w:tc>
      </w:tr>
      <w:tr w:rsidR="00F7725C" w:rsidRPr="00306062" w14:paraId="13BEEABD"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4B64C120"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Substance Use RTF</w:t>
            </w:r>
          </w:p>
        </w:tc>
        <w:tc>
          <w:tcPr>
            <w:tcW w:w="840" w:type="dxa"/>
            <w:tcBorders>
              <w:top w:val="nil"/>
              <w:left w:val="nil"/>
              <w:bottom w:val="nil"/>
              <w:right w:val="nil"/>
            </w:tcBorders>
            <w:shd w:val="clear" w:color="auto" w:fill="auto"/>
            <w:noWrap/>
            <w:vAlign w:val="bottom"/>
            <w:hideMark/>
          </w:tcPr>
          <w:p w14:paraId="7351D0C6"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24C32834"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6DEA187F"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48BAB686"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3DF90C38"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16569C82" w14:textId="77777777" w:rsidR="00F7725C" w:rsidRPr="00306062" w:rsidRDefault="00F7725C" w:rsidP="00E72162">
            <w:pPr>
              <w:rPr>
                <w:sz w:val="20"/>
                <w:szCs w:val="20"/>
              </w:rPr>
            </w:pPr>
          </w:p>
        </w:tc>
      </w:tr>
      <w:tr w:rsidR="00F7725C" w:rsidRPr="00306062" w14:paraId="13D6485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E40216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1D4DACCE"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-45.3%</w:t>
            </w:r>
          </w:p>
        </w:tc>
        <w:tc>
          <w:tcPr>
            <w:tcW w:w="1080" w:type="dxa"/>
            <w:tcBorders>
              <w:top w:val="nil"/>
              <w:left w:val="nil"/>
              <w:bottom w:val="nil"/>
              <w:right w:val="nil"/>
            </w:tcBorders>
            <w:shd w:val="clear" w:color="auto" w:fill="auto"/>
            <w:noWrap/>
            <w:vAlign w:val="bottom"/>
            <w:hideMark/>
          </w:tcPr>
          <w:p w14:paraId="47EB2C8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2417509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2D7C8BA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81.6%</w:t>
            </w:r>
          </w:p>
        </w:tc>
        <w:tc>
          <w:tcPr>
            <w:tcW w:w="880" w:type="dxa"/>
            <w:tcBorders>
              <w:top w:val="nil"/>
              <w:left w:val="nil"/>
              <w:bottom w:val="nil"/>
              <w:right w:val="nil"/>
            </w:tcBorders>
            <w:shd w:val="clear" w:color="auto" w:fill="auto"/>
            <w:noWrap/>
            <w:vAlign w:val="bottom"/>
            <w:hideMark/>
          </w:tcPr>
          <w:p w14:paraId="1E0544E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-28.8%</w:t>
            </w:r>
          </w:p>
        </w:tc>
        <w:tc>
          <w:tcPr>
            <w:tcW w:w="1017" w:type="dxa"/>
            <w:tcBorders>
              <w:top w:val="nil"/>
              <w:left w:val="nil"/>
              <w:bottom w:val="nil"/>
              <w:right w:val="nil"/>
            </w:tcBorders>
            <w:shd w:val="clear" w:color="auto" w:fill="auto"/>
            <w:noWrap/>
            <w:vAlign w:val="bottom"/>
            <w:hideMark/>
          </w:tcPr>
          <w:p w14:paraId="4B3037B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-60.3%</w:t>
            </w:r>
          </w:p>
        </w:tc>
      </w:tr>
      <w:tr w:rsidR="00F7725C" w:rsidRPr="00306062" w14:paraId="2822CBE4"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EA2EC4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6B5041FA"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-45.1%</w:t>
            </w:r>
          </w:p>
        </w:tc>
        <w:tc>
          <w:tcPr>
            <w:tcW w:w="1080" w:type="dxa"/>
            <w:tcBorders>
              <w:top w:val="nil"/>
              <w:left w:val="nil"/>
              <w:bottom w:val="nil"/>
              <w:right w:val="nil"/>
            </w:tcBorders>
            <w:shd w:val="clear" w:color="auto" w:fill="auto"/>
            <w:noWrap/>
            <w:vAlign w:val="bottom"/>
            <w:hideMark/>
          </w:tcPr>
          <w:p w14:paraId="0100054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78D6B57A"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1184" w:type="dxa"/>
            <w:tcBorders>
              <w:top w:val="nil"/>
              <w:left w:val="nil"/>
              <w:bottom w:val="nil"/>
              <w:right w:val="nil"/>
            </w:tcBorders>
            <w:shd w:val="clear" w:color="auto" w:fill="auto"/>
            <w:noWrap/>
            <w:vAlign w:val="bottom"/>
            <w:hideMark/>
          </w:tcPr>
          <w:p w14:paraId="5FFCF6D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-99.7%</w:t>
            </w:r>
          </w:p>
        </w:tc>
        <w:tc>
          <w:tcPr>
            <w:tcW w:w="880" w:type="dxa"/>
            <w:tcBorders>
              <w:top w:val="nil"/>
              <w:left w:val="nil"/>
              <w:bottom w:val="nil"/>
              <w:right w:val="nil"/>
            </w:tcBorders>
            <w:shd w:val="clear" w:color="auto" w:fill="auto"/>
            <w:noWrap/>
            <w:vAlign w:val="bottom"/>
            <w:hideMark/>
          </w:tcPr>
          <w:p w14:paraId="06977719"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-47.7%</w:t>
            </w:r>
          </w:p>
        </w:tc>
        <w:tc>
          <w:tcPr>
            <w:tcW w:w="1017" w:type="dxa"/>
            <w:tcBorders>
              <w:top w:val="nil"/>
              <w:left w:val="nil"/>
              <w:bottom w:val="nil"/>
              <w:right w:val="nil"/>
            </w:tcBorders>
            <w:shd w:val="clear" w:color="auto" w:fill="auto"/>
            <w:noWrap/>
            <w:vAlign w:val="bottom"/>
            <w:hideMark/>
          </w:tcPr>
          <w:p w14:paraId="7BC0A26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54.2%</w:t>
            </w:r>
          </w:p>
        </w:tc>
      </w:tr>
      <w:tr w:rsidR="00F7725C" w:rsidRPr="00306062" w14:paraId="65C6A596"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9F4C384"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Emergency Department</w:t>
            </w:r>
          </w:p>
        </w:tc>
        <w:tc>
          <w:tcPr>
            <w:tcW w:w="840" w:type="dxa"/>
            <w:tcBorders>
              <w:top w:val="nil"/>
              <w:left w:val="nil"/>
              <w:bottom w:val="nil"/>
              <w:right w:val="nil"/>
            </w:tcBorders>
            <w:shd w:val="clear" w:color="auto" w:fill="auto"/>
            <w:noWrap/>
            <w:vAlign w:val="bottom"/>
            <w:hideMark/>
          </w:tcPr>
          <w:p w14:paraId="1DFD890E"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227F995B"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142B058A"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51802B91"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3D142880"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496293A3" w14:textId="77777777" w:rsidR="00F7725C" w:rsidRPr="00306062" w:rsidRDefault="00F7725C" w:rsidP="00E72162">
            <w:pPr>
              <w:rPr>
                <w:sz w:val="20"/>
                <w:szCs w:val="20"/>
              </w:rPr>
            </w:pPr>
          </w:p>
        </w:tc>
      </w:tr>
      <w:tr w:rsidR="00F7725C" w:rsidRPr="00306062" w14:paraId="06B69C14"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0CB4F60"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62B0CE3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15.8%</w:t>
            </w:r>
          </w:p>
        </w:tc>
        <w:tc>
          <w:tcPr>
            <w:tcW w:w="1080" w:type="dxa"/>
            <w:tcBorders>
              <w:top w:val="nil"/>
              <w:left w:val="nil"/>
              <w:bottom w:val="nil"/>
              <w:right w:val="nil"/>
            </w:tcBorders>
            <w:shd w:val="clear" w:color="auto" w:fill="auto"/>
            <w:noWrap/>
            <w:vAlign w:val="bottom"/>
            <w:hideMark/>
          </w:tcPr>
          <w:p w14:paraId="33E42AF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5350F96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-88.8%</w:t>
            </w:r>
          </w:p>
        </w:tc>
        <w:tc>
          <w:tcPr>
            <w:tcW w:w="1184" w:type="dxa"/>
            <w:tcBorders>
              <w:top w:val="nil"/>
              <w:left w:val="nil"/>
              <w:bottom w:val="nil"/>
              <w:right w:val="nil"/>
            </w:tcBorders>
            <w:shd w:val="clear" w:color="auto" w:fill="auto"/>
            <w:noWrap/>
            <w:vAlign w:val="bottom"/>
            <w:hideMark/>
          </w:tcPr>
          <w:p w14:paraId="647DD78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-47.9%</w:t>
            </w:r>
          </w:p>
        </w:tc>
        <w:tc>
          <w:tcPr>
            <w:tcW w:w="880" w:type="dxa"/>
            <w:tcBorders>
              <w:top w:val="nil"/>
              <w:left w:val="nil"/>
              <w:bottom w:val="nil"/>
              <w:right w:val="nil"/>
            </w:tcBorders>
            <w:shd w:val="clear" w:color="auto" w:fill="auto"/>
            <w:noWrap/>
            <w:vAlign w:val="bottom"/>
            <w:hideMark/>
          </w:tcPr>
          <w:p w14:paraId="4AC2962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18.1%</w:t>
            </w:r>
          </w:p>
        </w:tc>
        <w:tc>
          <w:tcPr>
            <w:tcW w:w="1017" w:type="dxa"/>
            <w:tcBorders>
              <w:top w:val="nil"/>
              <w:left w:val="nil"/>
              <w:bottom w:val="nil"/>
              <w:right w:val="nil"/>
            </w:tcBorders>
            <w:shd w:val="clear" w:color="auto" w:fill="auto"/>
            <w:noWrap/>
            <w:vAlign w:val="bottom"/>
            <w:hideMark/>
          </w:tcPr>
          <w:p w14:paraId="2607723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r>
      <w:tr w:rsidR="00F7725C" w:rsidRPr="00306062" w14:paraId="48FC73C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68E5FC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EFDAEE3"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52.0%</w:t>
            </w:r>
          </w:p>
        </w:tc>
        <w:tc>
          <w:tcPr>
            <w:tcW w:w="1080" w:type="dxa"/>
            <w:tcBorders>
              <w:top w:val="nil"/>
              <w:left w:val="nil"/>
              <w:bottom w:val="nil"/>
              <w:right w:val="nil"/>
            </w:tcBorders>
            <w:shd w:val="clear" w:color="auto" w:fill="auto"/>
            <w:noWrap/>
            <w:vAlign w:val="bottom"/>
            <w:hideMark/>
          </w:tcPr>
          <w:p w14:paraId="252B008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c>
          <w:tcPr>
            <w:tcW w:w="920" w:type="dxa"/>
            <w:tcBorders>
              <w:top w:val="nil"/>
              <w:left w:val="nil"/>
              <w:bottom w:val="nil"/>
              <w:right w:val="nil"/>
            </w:tcBorders>
            <w:shd w:val="clear" w:color="auto" w:fill="auto"/>
            <w:noWrap/>
            <w:vAlign w:val="bottom"/>
            <w:hideMark/>
          </w:tcPr>
          <w:p w14:paraId="7DBFE82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-98.9%</w:t>
            </w:r>
          </w:p>
        </w:tc>
        <w:tc>
          <w:tcPr>
            <w:tcW w:w="1184" w:type="dxa"/>
            <w:tcBorders>
              <w:top w:val="nil"/>
              <w:left w:val="nil"/>
              <w:bottom w:val="nil"/>
              <w:right w:val="nil"/>
            </w:tcBorders>
            <w:shd w:val="clear" w:color="auto" w:fill="auto"/>
            <w:noWrap/>
            <w:vAlign w:val="bottom"/>
            <w:hideMark/>
          </w:tcPr>
          <w:p w14:paraId="4639E0FB" w14:textId="77777777" w:rsidR="00F7725C" w:rsidRPr="004471C2" w:rsidRDefault="00F7725C" w:rsidP="00E72162">
            <w:pPr>
              <w:jc w:val="right"/>
              <w:rPr>
                <w:rFonts w:ascii="Calibri" w:hAnsi="Calibri" w:cs="Calibri"/>
                <w:bCs/>
                <w:color w:val="000000"/>
                <w:sz w:val="22"/>
                <w:szCs w:val="22"/>
              </w:rPr>
            </w:pPr>
            <w:r w:rsidRPr="004471C2">
              <w:rPr>
                <w:rFonts w:ascii="Calibri" w:hAnsi="Calibri" w:cs="Calibri"/>
                <w:bCs/>
                <w:color w:val="000000"/>
                <w:sz w:val="22"/>
                <w:szCs w:val="22"/>
              </w:rPr>
              <w:t>NR</w:t>
            </w:r>
          </w:p>
        </w:tc>
        <w:tc>
          <w:tcPr>
            <w:tcW w:w="880" w:type="dxa"/>
            <w:tcBorders>
              <w:top w:val="nil"/>
              <w:left w:val="nil"/>
              <w:bottom w:val="nil"/>
              <w:right w:val="nil"/>
            </w:tcBorders>
            <w:shd w:val="clear" w:color="auto" w:fill="auto"/>
            <w:noWrap/>
            <w:vAlign w:val="bottom"/>
            <w:hideMark/>
          </w:tcPr>
          <w:p w14:paraId="3578DBAB"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32.2%</w:t>
            </w:r>
          </w:p>
        </w:tc>
        <w:tc>
          <w:tcPr>
            <w:tcW w:w="1017" w:type="dxa"/>
            <w:tcBorders>
              <w:top w:val="nil"/>
              <w:left w:val="nil"/>
              <w:bottom w:val="nil"/>
              <w:right w:val="nil"/>
            </w:tcBorders>
            <w:shd w:val="clear" w:color="auto" w:fill="auto"/>
            <w:noWrap/>
            <w:vAlign w:val="bottom"/>
            <w:hideMark/>
          </w:tcPr>
          <w:p w14:paraId="78900AD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NR</w:t>
            </w:r>
          </w:p>
        </w:tc>
      </w:tr>
      <w:tr w:rsidR="00F7725C" w:rsidRPr="00306062" w14:paraId="44FE40F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7F38B5E"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SUD Outpatient</w:t>
            </w:r>
          </w:p>
        </w:tc>
        <w:tc>
          <w:tcPr>
            <w:tcW w:w="840" w:type="dxa"/>
            <w:tcBorders>
              <w:top w:val="nil"/>
              <w:left w:val="nil"/>
              <w:bottom w:val="nil"/>
              <w:right w:val="nil"/>
            </w:tcBorders>
            <w:shd w:val="clear" w:color="auto" w:fill="auto"/>
            <w:noWrap/>
            <w:vAlign w:val="bottom"/>
            <w:hideMark/>
          </w:tcPr>
          <w:p w14:paraId="75364D57"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3F420BA6"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63C5C1AF"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34A4435F"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1CB96376"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0F297871" w14:textId="77777777" w:rsidR="00F7725C" w:rsidRPr="00306062" w:rsidRDefault="00F7725C" w:rsidP="00E72162">
            <w:pPr>
              <w:rPr>
                <w:sz w:val="20"/>
                <w:szCs w:val="20"/>
              </w:rPr>
            </w:pPr>
          </w:p>
        </w:tc>
      </w:tr>
      <w:tr w:rsidR="00F7725C" w:rsidRPr="00306062" w14:paraId="37BFFE25"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690F539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C06BE78"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31.0%</w:t>
            </w:r>
          </w:p>
        </w:tc>
        <w:tc>
          <w:tcPr>
            <w:tcW w:w="1080" w:type="dxa"/>
            <w:tcBorders>
              <w:top w:val="nil"/>
              <w:left w:val="nil"/>
              <w:bottom w:val="nil"/>
              <w:right w:val="nil"/>
            </w:tcBorders>
            <w:shd w:val="clear" w:color="auto" w:fill="auto"/>
            <w:noWrap/>
            <w:vAlign w:val="bottom"/>
            <w:hideMark/>
          </w:tcPr>
          <w:p w14:paraId="79C5C9A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-3.5%</w:t>
            </w:r>
          </w:p>
        </w:tc>
        <w:tc>
          <w:tcPr>
            <w:tcW w:w="920" w:type="dxa"/>
            <w:tcBorders>
              <w:top w:val="nil"/>
              <w:left w:val="nil"/>
              <w:bottom w:val="nil"/>
              <w:right w:val="nil"/>
            </w:tcBorders>
            <w:shd w:val="clear" w:color="auto" w:fill="auto"/>
            <w:noWrap/>
            <w:vAlign w:val="bottom"/>
            <w:hideMark/>
          </w:tcPr>
          <w:p w14:paraId="33D6C1A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39.8%</w:t>
            </w:r>
          </w:p>
        </w:tc>
        <w:tc>
          <w:tcPr>
            <w:tcW w:w="1184" w:type="dxa"/>
            <w:tcBorders>
              <w:top w:val="nil"/>
              <w:left w:val="nil"/>
              <w:bottom w:val="nil"/>
              <w:right w:val="nil"/>
            </w:tcBorders>
            <w:shd w:val="clear" w:color="auto" w:fill="auto"/>
            <w:noWrap/>
            <w:vAlign w:val="bottom"/>
            <w:hideMark/>
          </w:tcPr>
          <w:p w14:paraId="50CFC203"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22.5%</w:t>
            </w:r>
          </w:p>
        </w:tc>
        <w:tc>
          <w:tcPr>
            <w:tcW w:w="880" w:type="dxa"/>
            <w:tcBorders>
              <w:top w:val="nil"/>
              <w:left w:val="nil"/>
              <w:bottom w:val="nil"/>
              <w:right w:val="nil"/>
            </w:tcBorders>
            <w:shd w:val="clear" w:color="auto" w:fill="auto"/>
            <w:noWrap/>
            <w:vAlign w:val="bottom"/>
            <w:hideMark/>
          </w:tcPr>
          <w:p w14:paraId="4D52DC95"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39.2%</w:t>
            </w:r>
          </w:p>
        </w:tc>
        <w:tc>
          <w:tcPr>
            <w:tcW w:w="1017" w:type="dxa"/>
            <w:tcBorders>
              <w:top w:val="nil"/>
              <w:left w:val="nil"/>
              <w:bottom w:val="nil"/>
              <w:right w:val="nil"/>
            </w:tcBorders>
            <w:shd w:val="clear" w:color="auto" w:fill="auto"/>
            <w:noWrap/>
            <w:vAlign w:val="bottom"/>
            <w:hideMark/>
          </w:tcPr>
          <w:p w14:paraId="7EE524C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11.0%</w:t>
            </w:r>
          </w:p>
        </w:tc>
      </w:tr>
      <w:tr w:rsidR="00F7725C" w:rsidRPr="00306062" w14:paraId="2B180B1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B8598F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2F4B5A63"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48.9%</w:t>
            </w:r>
          </w:p>
        </w:tc>
        <w:tc>
          <w:tcPr>
            <w:tcW w:w="1080" w:type="dxa"/>
            <w:tcBorders>
              <w:top w:val="nil"/>
              <w:left w:val="nil"/>
              <w:bottom w:val="nil"/>
              <w:right w:val="nil"/>
            </w:tcBorders>
            <w:shd w:val="clear" w:color="auto" w:fill="auto"/>
            <w:noWrap/>
            <w:vAlign w:val="bottom"/>
            <w:hideMark/>
          </w:tcPr>
          <w:p w14:paraId="78D74315"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7.1%</w:t>
            </w:r>
          </w:p>
        </w:tc>
        <w:tc>
          <w:tcPr>
            <w:tcW w:w="920" w:type="dxa"/>
            <w:tcBorders>
              <w:top w:val="nil"/>
              <w:left w:val="nil"/>
              <w:bottom w:val="nil"/>
              <w:right w:val="nil"/>
            </w:tcBorders>
            <w:shd w:val="clear" w:color="auto" w:fill="auto"/>
            <w:noWrap/>
            <w:vAlign w:val="bottom"/>
            <w:hideMark/>
          </w:tcPr>
          <w:p w14:paraId="75356287"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56.9%</w:t>
            </w:r>
          </w:p>
        </w:tc>
        <w:tc>
          <w:tcPr>
            <w:tcW w:w="1184" w:type="dxa"/>
            <w:tcBorders>
              <w:top w:val="nil"/>
              <w:left w:val="nil"/>
              <w:bottom w:val="nil"/>
              <w:right w:val="nil"/>
            </w:tcBorders>
            <w:shd w:val="clear" w:color="auto" w:fill="auto"/>
            <w:noWrap/>
            <w:vAlign w:val="bottom"/>
            <w:hideMark/>
          </w:tcPr>
          <w:p w14:paraId="1C11D672"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15.7%</w:t>
            </w:r>
          </w:p>
        </w:tc>
        <w:tc>
          <w:tcPr>
            <w:tcW w:w="880" w:type="dxa"/>
            <w:tcBorders>
              <w:top w:val="nil"/>
              <w:left w:val="nil"/>
              <w:bottom w:val="nil"/>
              <w:right w:val="nil"/>
            </w:tcBorders>
            <w:shd w:val="clear" w:color="auto" w:fill="auto"/>
            <w:noWrap/>
            <w:vAlign w:val="bottom"/>
            <w:hideMark/>
          </w:tcPr>
          <w:p w14:paraId="735CA190"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68.3%</w:t>
            </w:r>
          </w:p>
        </w:tc>
        <w:tc>
          <w:tcPr>
            <w:tcW w:w="1017" w:type="dxa"/>
            <w:tcBorders>
              <w:top w:val="nil"/>
              <w:left w:val="nil"/>
              <w:bottom w:val="nil"/>
              <w:right w:val="nil"/>
            </w:tcBorders>
            <w:shd w:val="clear" w:color="auto" w:fill="auto"/>
            <w:noWrap/>
            <w:vAlign w:val="bottom"/>
            <w:hideMark/>
          </w:tcPr>
          <w:p w14:paraId="43AEFC76"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65.5%</w:t>
            </w:r>
          </w:p>
        </w:tc>
      </w:tr>
      <w:tr w:rsidR="00F7725C" w:rsidRPr="00306062" w14:paraId="49229C22"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46F45FB" w14:textId="77777777" w:rsidR="00F7725C" w:rsidRPr="00306062" w:rsidRDefault="00F7725C" w:rsidP="00E72162">
            <w:pPr>
              <w:rPr>
                <w:rFonts w:ascii="Calibri" w:hAnsi="Calibri" w:cs="Calibri"/>
                <w:b/>
                <w:bCs/>
                <w:color w:val="000000"/>
                <w:sz w:val="22"/>
                <w:szCs w:val="22"/>
              </w:rPr>
            </w:pPr>
            <w:r w:rsidRPr="00306062">
              <w:rPr>
                <w:rFonts w:ascii="Calibri" w:hAnsi="Calibri" w:cs="Calibri"/>
                <w:b/>
                <w:bCs/>
                <w:color w:val="000000"/>
                <w:sz w:val="22"/>
                <w:szCs w:val="22"/>
              </w:rPr>
              <w:t>Other Services</w:t>
            </w:r>
          </w:p>
        </w:tc>
        <w:tc>
          <w:tcPr>
            <w:tcW w:w="840" w:type="dxa"/>
            <w:tcBorders>
              <w:top w:val="nil"/>
              <w:left w:val="nil"/>
              <w:bottom w:val="nil"/>
              <w:right w:val="nil"/>
            </w:tcBorders>
            <w:shd w:val="clear" w:color="auto" w:fill="auto"/>
            <w:noWrap/>
            <w:vAlign w:val="bottom"/>
            <w:hideMark/>
          </w:tcPr>
          <w:p w14:paraId="4BDC7DFB" w14:textId="77777777" w:rsidR="00F7725C" w:rsidRPr="00306062" w:rsidRDefault="00F7725C" w:rsidP="00E72162">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14:paraId="64D9F12E" w14:textId="77777777" w:rsidR="00F7725C" w:rsidRPr="00306062" w:rsidRDefault="00F7725C" w:rsidP="00E72162">
            <w:pPr>
              <w:rPr>
                <w:sz w:val="20"/>
                <w:szCs w:val="20"/>
              </w:rPr>
            </w:pPr>
          </w:p>
        </w:tc>
        <w:tc>
          <w:tcPr>
            <w:tcW w:w="920" w:type="dxa"/>
            <w:tcBorders>
              <w:top w:val="nil"/>
              <w:left w:val="nil"/>
              <w:bottom w:val="nil"/>
              <w:right w:val="nil"/>
            </w:tcBorders>
            <w:shd w:val="clear" w:color="auto" w:fill="auto"/>
            <w:noWrap/>
            <w:vAlign w:val="bottom"/>
            <w:hideMark/>
          </w:tcPr>
          <w:p w14:paraId="18065A3D" w14:textId="77777777" w:rsidR="00F7725C" w:rsidRPr="00306062" w:rsidRDefault="00F7725C" w:rsidP="00E72162">
            <w:pPr>
              <w:rPr>
                <w:sz w:val="20"/>
                <w:szCs w:val="20"/>
              </w:rPr>
            </w:pPr>
          </w:p>
        </w:tc>
        <w:tc>
          <w:tcPr>
            <w:tcW w:w="1184" w:type="dxa"/>
            <w:tcBorders>
              <w:top w:val="nil"/>
              <w:left w:val="nil"/>
              <w:bottom w:val="nil"/>
              <w:right w:val="nil"/>
            </w:tcBorders>
            <w:shd w:val="clear" w:color="auto" w:fill="auto"/>
            <w:noWrap/>
            <w:vAlign w:val="bottom"/>
            <w:hideMark/>
          </w:tcPr>
          <w:p w14:paraId="46C0988C" w14:textId="77777777" w:rsidR="00F7725C" w:rsidRPr="00306062" w:rsidRDefault="00F7725C" w:rsidP="00E72162">
            <w:pPr>
              <w:rPr>
                <w:sz w:val="20"/>
                <w:szCs w:val="20"/>
              </w:rPr>
            </w:pPr>
          </w:p>
        </w:tc>
        <w:tc>
          <w:tcPr>
            <w:tcW w:w="880" w:type="dxa"/>
            <w:tcBorders>
              <w:top w:val="nil"/>
              <w:left w:val="nil"/>
              <w:bottom w:val="nil"/>
              <w:right w:val="nil"/>
            </w:tcBorders>
            <w:shd w:val="clear" w:color="auto" w:fill="auto"/>
            <w:noWrap/>
            <w:vAlign w:val="bottom"/>
            <w:hideMark/>
          </w:tcPr>
          <w:p w14:paraId="65A90A26" w14:textId="77777777" w:rsidR="00F7725C" w:rsidRPr="00306062" w:rsidRDefault="00F7725C" w:rsidP="00E72162">
            <w:pPr>
              <w:rPr>
                <w:sz w:val="20"/>
                <w:szCs w:val="20"/>
              </w:rPr>
            </w:pPr>
          </w:p>
        </w:tc>
        <w:tc>
          <w:tcPr>
            <w:tcW w:w="1017" w:type="dxa"/>
            <w:tcBorders>
              <w:top w:val="nil"/>
              <w:left w:val="nil"/>
              <w:bottom w:val="nil"/>
              <w:right w:val="nil"/>
            </w:tcBorders>
            <w:shd w:val="clear" w:color="auto" w:fill="auto"/>
            <w:noWrap/>
            <w:vAlign w:val="bottom"/>
            <w:hideMark/>
          </w:tcPr>
          <w:p w14:paraId="20F74519" w14:textId="77777777" w:rsidR="00F7725C" w:rsidRPr="00306062" w:rsidRDefault="00F7725C" w:rsidP="00E72162">
            <w:pPr>
              <w:rPr>
                <w:sz w:val="20"/>
                <w:szCs w:val="20"/>
              </w:rPr>
            </w:pPr>
          </w:p>
        </w:tc>
      </w:tr>
      <w:tr w:rsidR="00F7725C" w:rsidRPr="00306062" w14:paraId="507D970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4FCCAC3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9F7174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14.9%</w:t>
            </w:r>
          </w:p>
        </w:tc>
        <w:tc>
          <w:tcPr>
            <w:tcW w:w="1080" w:type="dxa"/>
            <w:tcBorders>
              <w:top w:val="nil"/>
              <w:left w:val="nil"/>
              <w:bottom w:val="nil"/>
              <w:right w:val="nil"/>
            </w:tcBorders>
            <w:shd w:val="clear" w:color="auto" w:fill="auto"/>
            <w:noWrap/>
            <w:vAlign w:val="bottom"/>
            <w:hideMark/>
          </w:tcPr>
          <w:p w14:paraId="174547E7"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38.5%</w:t>
            </w:r>
          </w:p>
        </w:tc>
        <w:tc>
          <w:tcPr>
            <w:tcW w:w="920" w:type="dxa"/>
            <w:tcBorders>
              <w:top w:val="nil"/>
              <w:left w:val="nil"/>
              <w:bottom w:val="nil"/>
              <w:right w:val="nil"/>
            </w:tcBorders>
            <w:shd w:val="clear" w:color="auto" w:fill="auto"/>
            <w:noWrap/>
            <w:vAlign w:val="bottom"/>
            <w:hideMark/>
          </w:tcPr>
          <w:p w14:paraId="57E43079"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-57.7%</w:t>
            </w:r>
          </w:p>
        </w:tc>
        <w:tc>
          <w:tcPr>
            <w:tcW w:w="1184" w:type="dxa"/>
            <w:tcBorders>
              <w:top w:val="nil"/>
              <w:left w:val="nil"/>
              <w:bottom w:val="nil"/>
              <w:right w:val="nil"/>
            </w:tcBorders>
            <w:shd w:val="clear" w:color="auto" w:fill="auto"/>
            <w:noWrap/>
            <w:vAlign w:val="bottom"/>
            <w:hideMark/>
          </w:tcPr>
          <w:p w14:paraId="68247DB4"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-27.7%</w:t>
            </w:r>
          </w:p>
        </w:tc>
        <w:tc>
          <w:tcPr>
            <w:tcW w:w="880" w:type="dxa"/>
            <w:tcBorders>
              <w:top w:val="nil"/>
              <w:left w:val="nil"/>
              <w:bottom w:val="nil"/>
              <w:right w:val="nil"/>
            </w:tcBorders>
            <w:shd w:val="clear" w:color="auto" w:fill="auto"/>
            <w:noWrap/>
            <w:vAlign w:val="bottom"/>
            <w:hideMark/>
          </w:tcPr>
          <w:p w14:paraId="5AF743DF"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31.3%</w:t>
            </w:r>
          </w:p>
        </w:tc>
        <w:tc>
          <w:tcPr>
            <w:tcW w:w="1017" w:type="dxa"/>
            <w:tcBorders>
              <w:top w:val="nil"/>
              <w:left w:val="nil"/>
              <w:bottom w:val="nil"/>
              <w:right w:val="nil"/>
            </w:tcBorders>
            <w:shd w:val="clear" w:color="auto" w:fill="auto"/>
            <w:noWrap/>
            <w:vAlign w:val="bottom"/>
            <w:hideMark/>
          </w:tcPr>
          <w:p w14:paraId="5AF3A7EA"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-95.7%</w:t>
            </w:r>
          </w:p>
        </w:tc>
      </w:tr>
      <w:tr w:rsidR="00F7725C" w:rsidRPr="00306062" w14:paraId="311AD090"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7D18756E"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2E5E0781"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-6.6%</w:t>
            </w:r>
          </w:p>
        </w:tc>
        <w:tc>
          <w:tcPr>
            <w:tcW w:w="1080" w:type="dxa"/>
            <w:tcBorders>
              <w:top w:val="nil"/>
              <w:left w:val="nil"/>
              <w:bottom w:val="single" w:sz="4" w:space="0" w:color="auto"/>
              <w:right w:val="nil"/>
            </w:tcBorders>
            <w:shd w:val="clear" w:color="auto" w:fill="auto"/>
            <w:noWrap/>
            <w:vAlign w:val="bottom"/>
            <w:hideMark/>
          </w:tcPr>
          <w:p w14:paraId="6852B428"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-10.5%</w:t>
            </w:r>
          </w:p>
        </w:tc>
        <w:tc>
          <w:tcPr>
            <w:tcW w:w="920" w:type="dxa"/>
            <w:tcBorders>
              <w:top w:val="nil"/>
              <w:left w:val="nil"/>
              <w:bottom w:val="single" w:sz="4" w:space="0" w:color="auto"/>
              <w:right w:val="nil"/>
            </w:tcBorders>
            <w:shd w:val="clear" w:color="auto" w:fill="auto"/>
            <w:noWrap/>
            <w:vAlign w:val="bottom"/>
            <w:hideMark/>
          </w:tcPr>
          <w:p w14:paraId="47D649A2" w14:textId="77777777" w:rsidR="00F7725C" w:rsidRPr="00FE71C3" w:rsidRDefault="00F7725C" w:rsidP="00E72162">
            <w:pPr>
              <w:jc w:val="right"/>
              <w:rPr>
                <w:rFonts w:ascii="Calibri" w:hAnsi="Calibri" w:cs="Calibri"/>
                <w:b/>
                <w:bCs/>
                <w:i/>
                <w:color w:val="000000"/>
                <w:sz w:val="22"/>
                <w:szCs w:val="22"/>
              </w:rPr>
            </w:pPr>
            <w:r w:rsidRPr="00FE71C3">
              <w:rPr>
                <w:rFonts w:ascii="Calibri" w:hAnsi="Calibri" w:cs="Calibri"/>
                <w:b/>
                <w:bCs/>
                <w:i/>
                <w:color w:val="000000"/>
                <w:sz w:val="22"/>
                <w:szCs w:val="22"/>
              </w:rPr>
              <w:t>-77.7%</w:t>
            </w:r>
          </w:p>
        </w:tc>
        <w:tc>
          <w:tcPr>
            <w:tcW w:w="1184" w:type="dxa"/>
            <w:tcBorders>
              <w:top w:val="nil"/>
              <w:left w:val="nil"/>
              <w:bottom w:val="single" w:sz="4" w:space="0" w:color="auto"/>
              <w:right w:val="nil"/>
            </w:tcBorders>
            <w:shd w:val="clear" w:color="auto" w:fill="auto"/>
            <w:noWrap/>
            <w:vAlign w:val="bottom"/>
            <w:hideMark/>
          </w:tcPr>
          <w:p w14:paraId="02D3A34C"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-49.1%</w:t>
            </w:r>
          </w:p>
        </w:tc>
        <w:tc>
          <w:tcPr>
            <w:tcW w:w="880" w:type="dxa"/>
            <w:tcBorders>
              <w:top w:val="nil"/>
              <w:left w:val="nil"/>
              <w:bottom w:val="single" w:sz="4" w:space="0" w:color="auto"/>
              <w:right w:val="nil"/>
            </w:tcBorders>
            <w:shd w:val="clear" w:color="auto" w:fill="auto"/>
            <w:noWrap/>
            <w:vAlign w:val="bottom"/>
            <w:hideMark/>
          </w:tcPr>
          <w:p w14:paraId="0C2C4D1D"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5.1%</w:t>
            </w:r>
          </w:p>
        </w:tc>
        <w:tc>
          <w:tcPr>
            <w:tcW w:w="1017" w:type="dxa"/>
            <w:tcBorders>
              <w:top w:val="nil"/>
              <w:left w:val="nil"/>
              <w:bottom w:val="single" w:sz="4" w:space="0" w:color="auto"/>
              <w:right w:val="nil"/>
            </w:tcBorders>
            <w:shd w:val="clear" w:color="auto" w:fill="auto"/>
            <w:noWrap/>
            <w:vAlign w:val="bottom"/>
            <w:hideMark/>
          </w:tcPr>
          <w:p w14:paraId="1A97155A" w14:textId="77777777" w:rsidR="00F7725C" w:rsidRPr="00306062" w:rsidRDefault="00F7725C" w:rsidP="00E72162">
            <w:pPr>
              <w:jc w:val="right"/>
              <w:rPr>
                <w:rFonts w:ascii="Calibri" w:hAnsi="Calibri" w:cs="Calibri"/>
                <w:color w:val="000000"/>
                <w:sz w:val="22"/>
                <w:szCs w:val="22"/>
              </w:rPr>
            </w:pPr>
            <w:r w:rsidRPr="00306062">
              <w:rPr>
                <w:rFonts w:ascii="Calibri" w:hAnsi="Calibri" w:cs="Calibri"/>
                <w:color w:val="000000"/>
                <w:sz w:val="22"/>
                <w:szCs w:val="22"/>
              </w:rPr>
              <w:t>-17.5%</w:t>
            </w:r>
          </w:p>
        </w:tc>
      </w:tr>
    </w:tbl>
    <w:p w14:paraId="6FE115C0" w14:textId="77777777" w:rsidR="00E847F0" w:rsidRPr="005A6983" w:rsidRDefault="00E847F0" w:rsidP="00E847F0">
      <w:pPr>
        <w:rPr>
          <w:rFonts w:cstheme="minorHAnsi"/>
          <w:b/>
          <w:sz w:val="22"/>
          <w:szCs w:val="22"/>
        </w:rPr>
      </w:pPr>
    </w:p>
    <w:p w14:paraId="290C60F6" w14:textId="77777777" w:rsidR="00E847F0" w:rsidRPr="005A6983" w:rsidRDefault="00E847F0" w:rsidP="00E847F0">
      <w:pPr>
        <w:jc w:val="center"/>
        <w:rPr>
          <w:rFonts w:eastAsia="Calibri" w:cstheme="minorHAnsi"/>
          <w:sz w:val="22"/>
          <w:szCs w:val="22"/>
        </w:rPr>
      </w:pPr>
    </w:p>
    <w:p w14:paraId="5AF07ABB" w14:textId="77777777" w:rsidR="00E847F0" w:rsidRPr="005A6983" w:rsidRDefault="00E847F0" w:rsidP="00E847F0">
      <w:pPr>
        <w:rPr>
          <w:rFonts w:eastAsia="Calibri" w:cstheme="minorHAnsi"/>
          <w:sz w:val="22"/>
          <w:szCs w:val="22"/>
        </w:rPr>
      </w:pPr>
      <w:r w:rsidRPr="005A6983">
        <w:rPr>
          <w:rFonts w:eastAsia="Calibri" w:cstheme="minorHAnsi"/>
          <w:sz w:val="22"/>
          <w:szCs w:val="22"/>
        </w:rPr>
        <w:br w:type="page"/>
      </w:r>
    </w:p>
    <w:p w14:paraId="5341EF7D" w14:textId="77777777" w:rsidR="00000D4B" w:rsidRDefault="00E847F0" w:rsidP="00E847F0">
      <w:pPr>
        <w:ind w:left="1152" w:hanging="1152"/>
        <w:jc w:val="center"/>
        <w:rPr>
          <w:rFonts w:eastAsia="Calibri" w:cstheme="minorHAnsi"/>
          <w:b/>
          <w:bCs/>
          <w:color w:val="6A7F0F"/>
          <w:sz w:val="22"/>
          <w:szCs w:val="22"/>
        </w:rPr>
      </w:pPr>
      <w:bookmarkStart w:id="150" w:name="Appendix6_Table_A67f"/>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.7f: Change in Substance Use Related Expenditure Levels per Person for </w:t>
      </w:r>
    </w:p>
    <w:p w14:paraId="0563380A" w14:textId="238D78F6" w:rsidR="00E847F0" w:rsidRPr="00000D4B" w:rsidRDefault="00E847F0" w:rsidP="00000D4B">
      <w:pPr>
        <w:ind w:left="1152" w:hanging="1152"/>
        <w:jc w:val="center"/>
        <w:rPr>
          <w:rFonts w:eastAsia="Calibri"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Place of Residence</w:t>
      </w:r>
    </w:p>
    <w:bookmarkEnd w:id="150"/>
    <w:p w14:paraId="4A698A95" w14:textId="77777777" w:rsidR="00E847F0" w:rsidRPr="005A6983" w:rsidRDefault="00E847F0" w:rsidP="00E847F0">
      <w:pPr>
        <w:jc w:val="center"/>
        <w:rPr>
          <w:rFonts w:eastAsia="Calibri" w:cstheme="minorHAnsi"/>
          <w:sz w:val="22"/>
          <w:szCs w:val="22"/>
        </w:rPr>
      </w:pPr>
    </w:p>
    <w:p w14:paraId="005D8CA1" w14:textId="77777777" w:rsidR="00E847F0" w:rsidRPr="005A6983" w:rsidRDefault="00E847F0" w:rsidP="00E847F0">
      <w:pPr>
        <w:jc w:val="center"/>
        <w:rPr>
          <w:rFonts w:eastAsia="Calibri" w:cstheme="minorHAnsi"/>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DA605E" w14:paraId="39DDFE22" w14:textId="77777777" w:rsidTr="00E72162">
        <w:trPr>
          <w:trHeight w:val="290"/>
          <w:jc w:val="center"/>
        </w:trPr>
        <w:tc>
          <w:tcPr>
            <w:tcW w:w="2707" w:type="dxa"/>
            <w:tcBorders>
              <w:top w:val="nil"/>
              <w:left w:val="nil"/>
              <w:bottom w:val="nil"/>
              <w:right w:val="nil"/>
            </w:tcBorders>
          </w:tcPr>
          <w:p w14:paraId="038CF855"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Substance Use</w:t>
            </w:r>
          </w:p>
        </w:tc>
        <w:tc>
          <w:tcPr>
            <w:tcW w:w="951" w:type="dxa"/>
            <w:tcBorders>
              <w:top w:val="nil"/>
              <w:left w:val="nil"/>
              <w:bottom w:val="nil"/>
              <w:right w:val="nil"/>
            </w:tcBorders>
          </w:tcPr>
          <w:p w14:paraId="521F76E5"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All</w:t>
            </w:r>
          </w:p>
        </w:tc>
        <w:tc>
          <w:tcPr>
            <w:tcW w:w="1032" w:type="dxa"/>
            <w:tcBorders>
              <w:top w:val="nil"/>
              <w:left w:val="nil"/>
              <w:bottom w:val="nil"/>
              <w:right w:val="nil"/>
            </w:tcBorders>
          </w:tcPr>
          <w:p w14:paraId="1C211ADE"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3D106ACD"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Rural or</w:t>
            </w:r>
          </w:p>
        </w:tc>
      </w:tr>
      <w:tr w:rsidR="00F7725C" w:rsidRPr="00DA605E" w14:paraId="6F0226C2" w14:textId="77777777" w:rsidTr="00E72162">
        <w:trPr>
          <w:trHeight w:val="290"/>
          <w:jc w:val="center"/>
        </w:trPr>
        <w:tc>
          <w:tcPr>
            <w:tcW w:w="2707" w:type="dxa"/>
            <w:tcBorders>
              <w:top w:val="nil"/>
              <w:left w:val="nil"/>
              <w:bottom w:val="single" w:sz="6" w:space="0" w:color="auto"/>
              <w:right w:val="nil"/>
            </w:tcBorders>
          </w:tcPr>
          <w:p w14:paraId="146B3905"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Expenditures per Person</w:t>
            </w:r>
          </w:p>
        </w:tc>
        <w:tc>
          <w:tcPr>
            <w:tcW w:w="951" w:type="dxa"/>
            <w:tcBorders>
              <w:top w:val="nil"/>
              <w:left w:val="nil"/>
              <w:bottom w:val="single" w:sz="6" w:space="0" w:color="auto"/>
              <w:right w:val="nil"/>
            </w:tcBorders>
          </w:tcPr>
          <w:p w14:paraId="7077200C"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25156525"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40D60ECA"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Remote</w:t>
            </w:r>
          </w:p>
        </w:tc>
      </w:tr>
      <w:tr w:rsidR="00F7725C" w:rsidRPr="00DA605E" w14:paraId="556EF608" w14:textId="77777777" w:rsidTr="00E72162">
        <w:trPr>
          <w:trHeight w:val="290"/>
          <w:jc w:val="center"/>
        </w:trPr>
        <w:tc>
          <w:tcPr>
            <w:tcW w:w="2707" w:type="dxa"/>
            <w:tcBorders>
              <w:top w:val="nil"/>
              <w:left w:val="nil"/>
              <w:bottom w:val="nil"/>
              <w:right w:val="nil"/>
            </w:tcBorders>
          </w:tcPr>
          <w:p w14:paraId="4095D657"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Total</w:t>
            </w:r>
          </w:p>
        </w:tc>
        <w:tc>
          <w:tcPr>
            <w:tcW w:w="951" w:type="dxa"/>
            <w:tcBorders>
              <w:top w:val="nil"/>
              <w:left w:val="nil"/>
              <w:bottom w:val="nil"/>
              <w:right w:val="nil"/>
            </w:tcBorders>
          </w:tcPr>
          <w:p w14:paraId="4F4C96CE"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8423673"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F2FBCE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608F05D4" w14:textId="77777777" w:rsidTr="00E72162">
        <w:trPr>
          <w:trHeight w:val="290"/>
          <w:jc w:val="center"/>
        </w:trPr>
        <w:tc>
          <w:tcPr>
            <w:tcW w:w="2707" w:type="dxa"/>
            <w:tcBorders>
              <w:top w:val="nil"/>
              <w:left w:val="nil"/>
              <w:bottom w:val="nil"/>
              <w:right w:val="nil"/>
            </w:tcBorders>
          </w:tcPr>
          <w:p w14:paraId="1CE18460"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12A006D5"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18.8%</w:t>
            </w:r>
          </w:p>
        </w:tc>
        <w:tc>
          <w:tcPr>
            <w:tcW w:w="1032" w:type="dxa"/>
            <w:tcBorders>
              <w:top w:val="nil"/>
              <w:left w:val="nil"/>
              <w:bottom w:val="nil"/>
              <w:right w:val="nil"/>
            </w:tcBorders>
          </w:tcPr>
          <w:p w14:paraId="2032D67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-7.5%</w:t>
            </w:r>
          </w:p>
        </w:tc>
        <w:tc>
          <w:tcPr>
            <w:tcW w:w="1032" w:type="dxa"/>
            <w:tcBorders>
              <w:top w:val="nil"/>
              <w:left w:val="nil"/>
              <w:bottom w:val="nil"/>
              <w:right w:val="nil"/>
            </w:tcBorders>
          </w:tcPr>
          <w:p w14:paraId="5959AEA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77.7%</w:t>
            </w:r>
          </w:p>
        </w:tc>
      </w:tr>
      <w:tr w:rsidR="00F7725C" w:rsidRPr="00DA605E" w14:paraId="33A90687" w14:textId="77777777" w:rsidTr="00E72162">
        <w:trPr>
          <w:trHeight w:val="290"/>
          <w:jc w:val="center"/>
        </w:trPr>
        <w:tc>
          <w:tcPr>
            <w:tcW w:w="2707" w:type="dxa"/>
            <w:tcBorders>
              <w:top w:val="nil"/>
              <w:left w:val="nil"/>
              <w:bottom w:val="nil"/>
              <w:right w:val="nil"/>
            </w:tcBorders>
          </w:tcPr>
          <w:p w14:paraId="69DF6DD4"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3B8559B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32.7%</w:t>
            </w:r>
          </w:p>
        </w:tc>
        <w:tc>
          <w:tcPr>
            <w:tcW w:w="1032" w:type="dxa"/>
            <w:tcBorders>
              <w:top w:val="nil"/>
              <w:left w:val="nil"/>
              <w:bottom w:val="nil"/>
              <w:right w:val="nil"/>
            </w:tcBorders>
          </w:tcPr>
          <w:p w14:paraId="05CFE3C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-9.1%</w:t>
            </w:r>
          </w:p>
        </w:tc>
        <w:tc>
          <w:tcPr>
            <w:tcW w:w="1032" w:type="dxa"/>
            <w:tcBorders>
              <w:top w:val="nil"/>
              <w:left w:val="nil"/>
              <w:bottom w:val="nil"/>
              <w:right w:val="nil"/>
            </w:tcBorders>
          </w:tcPr>
          <w:p w14:paraId="13620D68"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136.8%</w:t>
            </w:r>
          </w:p>
        </w:tc>
      </w:tr>
      <w:tr w:rsidR="00F7725C" w:rsidRPr="00DA605E" w14:paraId="14A93D8F" w14:textId="77777777" w:rsidTr="00E72162">
        <w:trPr>
          <w:trHeight w:val="290"/>
          <w:jc w:val="center"/>
        </w:trPr>
        <w:tc>
          <w:tcPr>
            <w:tcW w:w="2707" w:type="dxa"/>
            <w:tcBorders>
              <w:top w:val="nil"/>
              <w:left w:val="nil"/>
              <w:bottom w:val="nil"/>
              <w:right w:val="nil"/>
            </w:tcBorders>
          </w:tcPr>
          <w:p w14:paraId="766C4846"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Inpatient</w:t>
            </w:r>
          </w:p>
        </w:tc>
        <w:tc>
          <w:tcPr>
            <w:tcW w:w="951" w:type="dxa"/>
            <w:tcBorders>
              <w:top w:val="nil"/>
              <w:left w:val="nil"/>
              <w:bottom w:val="nil"/>
              <w:right w:val="nil"/>
            </w:tcBorders>
          </w:tcPr>
          <w:p w14:paraId="331DA077" w14:textId="77777777" w:rsidR="00F7725C" w:rsidRPr="00DA605E" w:rsidRDefault="00F7725C" w:rsidP="00E72162">
            <w:pPr>
              <w:autoSpaceDE w:val="0"/>
              <w:autoSpaceDN w:val="0"/>
              <w:adjustRightInd w:val="0"/>
              <w:jc w:val="right"/>
              <w:rPr>
                <w:rFonts w:ascii="Calibri" w:hAnsi="Calibri" w:cs="Calibri"/>
                <w:i/>
                <w:color w:val="000000"/>
                <w:sz w:val="22"/>
                <w:szCs w:val="22"/>
              </w:rPr>
            </w:pPr>
          </w:p>
        </w:tc>
        <w:tc>
          <w:tcPr>
            <w:tcW w:w="1032" w:type="dxa"/>
            <w:tcBorders>
              <w:top w:val="nil"/>
              <w:left w:val="nil"/>
              <w:bottom w:val="nil"/>
              <w:right w:val="nil"/>
            </w:tcBorders>
          </w:tcPr>
          <w:p w14:paraId="12A1B29A"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04D685A"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4FD8091A" w14:textId="77777777" w:rsidTr="00E72162">
        <w:trPr>
          <w:trHeight w:val="290"/>
          <w:jc w:val="center"/>
        </w:trPr>
        <w:tc>
          <w:tcPr>
            <w:tcW w:w="2707" w:type="dxa"/>
            <w:tcBorders>
              <w:top w:val="nil"/>
              <w:left w:val="nil"/>
              <w:bottom w:val="nil"/>
              <w:right w:val="nil"/>
            </w:tcBorders>
          </w:tcPr>
          <w:p w14:paraId="3BAB49E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353EEA2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-2.4%</w:t>
            </w:r>
          </w:p>
        </w:tc>
        <w:tc>
          <w:tcPr>
            <w:tcW w:w="1032" w:type="dxa"/>
            <w:tcBorders>
              <w:top w:val="nil"/>
              <w:left w:val="nil"/>
              <w:bottom w:val="nil"/>
              <w:right w:val="nil"/>
            </w:tcBorders>
          </w:tcPr>
          <w:p w14:paraId="49AA903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-98.4%</w:t>
            </w:r>
          </w:p>
        </w:tc>
        <w:tc>
          <w:tcPr>
            <w:tcW w:w="1032" w:type="dxa"/>
            <w:tcBorders>
              <w:top w:val="nil"/>
              <w:left w:val="nil"/>
              <w:bottom w:val="nil"/>
              <w:right w:val="nil"/>
            </w:tcBorders>
          </w:tcPr>
          <w:p w14:paraId="2F6BA650"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NR</w:t>
            </w:r>
          </w:p>
        </w:tc>
      </w:tr>
      <w:tr w:rsidR="00F7725C" w:rsidRPr="00DA605E" w14:paraId="535ECC92" w14:textId="77777777" w:rsidTr="00E72162">
        <w:trPr>
          <w:trHeight w:val="290"/>
          <w:jc w:val="center"/>
        </w:trPr>
        <w:tc>
          <w:tcPr>
            <w:tcW w:w="2707" w:type="dxa"/>
            <w:tcBorders>
              <w:top w:val="nil"/>
              <w:left w:val="nil"/>
              <w:bottom w:val="nil"/>
              <w:right w:val="nil"/>
            </w:tcBorders>
          </w:tcPr>
          <w:p w14:paraId="2DE2139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55159BC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3.6%</w:t>
            </w:r>
          </w:p>
        </w:tc>
        <w:tc>
          <w:tcPr>
            <w:tcW w:w="1032" w:type="dxa"/>
            <w:tcBorders>
              <w:top w:val="nil"/>
              <w:left w:val="nil"/>
              <w:bottom w:val="nil"/>
              <w:right w:val="nil"/>
            </w:tcBorders>
          </w:tcPr>
          <w:p w14:paraId="390730E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-6.4%</w:t>
            </w:r>
          </w:p>
        </w:tc>
        <w:tc>
          <w:tcPr>
            <w:tcW w:w="1032" w:type="dxa"/>
            <w:tcBorders>
              <w:top w:val="nil"/>
              <w:left w:val="nil"/>
              <w:bottom w:val="nil"/>
              <w:right w:val="nil"/>
            </w:tcBorders>
          </w:tcPr>
          <w:p w14:paraId="63EB426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NR</w:t>
            </w:r>
          </w:p>
        </w:tc>
      </w:tr>
      <w:tr w:rsidR="00F7725C" w:rsidRPr="00DA605E" w14:paraId="70561F32" w14:textId="77777777" w:rsidTr="00E72162">
        <w:trPr>
          <w:trHeight w:val="290"/>
          <w:jc w:val="center"/>
        </w:trPr>
        <w:tc>
          <w:tcPr>
            <w:tcW w:w="2707" w:type="dxa"/>
            <w:tcBorders>
              <w:top w:val="nil"/>
              <w:left w:val="nil"/>
              <w:bottom w:val="nil"/>
              <w:right w:val="nil"/>
            </w:tcBorders>
          </w:tcPr>
          <w:p w14:paraId="76DAD97F"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Substance Use RTF</w:t>
            </w:r>
          </w:p>
        </w:tc>
        <w:tc>
          <w:tcPr>
            <w:tcW w:w="951" w:type="dxa"/>
            <w:tcBorders>
              <w:top w:val="nil"/>
              <w:left w:val="nil"/>
              <w:bottom w:val="nil"/>
              <w:right w:val="nil"/>
            </w:tcBorders>
          </w:tcPr>
          <w:p w14:paraId="44D6E2E2"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2CADAC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3B380CF6"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4C451096" w14:textId="77777777" w:rsidTr="00E72162">
        <w:trPr>
          <w:trHeight w:val="290"/>
          <w:jc w:val="center"/>
        </w:trPr>
        <w:tc>
          <w:tcPr>
            <w:tcW w:w="2707" w:type="dxa"/>
            <w:tcBorders>
              <w:top w:val="nil"/>
              <w:left w:val="nil"/>
              <w:bottom w:val="nil"/>
              <w:right w:val="nil"/>
            </w:tcBorders>
          </w:tcPr>
          <w:p w14:paraId="32F7AC3D"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6297695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-45.3%</w:t>
            </w:r>
          </w:p>
        </w:tc>
        <w:tc>
          <w:tcPr>
            <w:tcW w:w="1032" w:type="dxa"/>
            <w:tcBorders>
              <w:top w:val="nil"/>
              <w:left w:val="nil"/>
              <w:bottom w:val="nil"/>
              <w:right w:val="nil"/>
            </w:tcBorders>
          </w:tcPr>
          <w:p w14:paraId="65B20061"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-62.3%</w:t>
            </w:r>
          </w:p>
        </w:tc>
        <w:tc>
          <w:tcPr>
            <w:tcW w:w="1032" w:type="dxa"/>
            <w:tcBorders>
              <w:top w:val="nil"/>
              <w:left w:val="nil"/>
              <w:bottom w:val="nil"/>
              <w:right w:val="nil"/>
            </w:tcBorders>
          </w:tcPr>
          <w:p w14:paraId="78C5832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-34.6%</w:t>
            </w:r>
          </w:p>
        </w:tc>
      </w:tr>
      <w:tr w:rsidR="00F7725C" w:rsidRPr="00DA605E" w14:paraId="14F0E60C" w14:textId="77777777" w:rsidTr="00E72162">
        <w:trPr>
          <w:trHeight w:val="290"/>
          <w:jc w:val="center"/>
        </w:trPr>
        <w:tc>
          <w:tcPr>
            <w:tcW w:w="2707" w:type="dxa"/>
            <w:tcBorders>
              <w:top w:val="nil"/>
              <w:left w:val="nil"/>
              <w:bottom w:val="nil"/>
              <w:right w:val="nil"/>
            </w:tcBorders>
          </w:tcPr>
          <w:p w14:paraId="109A24E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0487A185"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-45.1%</w:t>
            </w:r>
          </w:p>
        </w:tc>
        <w:tc>
          <w:tcPr>
            <w:tcW w:w="1032" w:type="dxa"/>
            <w:tcBorders>
              <w:top w:val="nil"/>
              <w:left w:val="nil"/>
              <w:bottom w:val="nil"/>
              <w:right w:val="nil"/>
            </w:tcBorders>
          </w:tcPr>
          <w:p w14:paraId="624C23B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-76.5%</w:t>
            </w:r>
          </w:p>
        </w:tc>
        <w:tc>
          <w:tcPr>
            <w:tcW w:w="1032" w:type="dxa"/>
            <w:tcBorders>
              <w:top w:val="nil"/>
              <w:left w:val="nil"/>
              <w:bottom w:val="nil"/>
              <w:right w:val="nil"/>
            </w:tcBorders>
          </w:tcPr>
          <w:p w14:paraId="1E03DAE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-23.9%</w:t>
            </w:r>
          </w:p>
        </w:tc>
      </w:tr>
      <w:tr w:rsidR="00F7725C" w:rsidRPr="00DA605E" w14:paraId="188337BF" w14:textId="77777777" w:rsidTr="00E72162">
        <w:trPr>
          <w:trHeight w:val="290"/>
          <w:jc w:val="center"/>
        </w:trPr>
        <w:tc>
          <w:tcPr>
            <w:tcW w:w="2707" w:type="dxa"/>
            <w:tcBorders>
              <w:top w:val="nil"/>
              <w:left w:val="nil"/>
              <w:bottom w:val="nil"/>
              <w:right w:val="nil"/>
            </w:tcBorders>
          </w:tcPr>
          <w:p w14:paraId="78B61AF2"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Emergency Department</w:t>
            </w:r>
          </w:p>
        </w:tc>
        <w:tc>
          <w:tcPr>
            <w:tcW w:w="951" w:type="dxa"/>
            <w:tcBorders>
              <w:top w:val="nil"/>
              <w:left w:val="nil"/>
              <w:bottom w:val="nil"/>
              <w:right w:val="nil"/>
            </w:tcBorders>
          </w:tcPr>
          <w:p w14:paraId="7D34A5C7"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7C8CAD6"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D1A6436"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7BDE2E38" w14:textId="77777777" w:rsidTr="00E72162">
        <w:trPr>
          <w:trHeight w:val="290"/>
          <w:jc w:val="center"/>
        </w:trPr>
        <w:tc>
          <w:tcPr>
            <w:tcW w:w="2707" w:type="dxa"/>
            <w:tcBorders>
              <w:top w:val="nil"/>
              <w:left w:val="nil"/>
              <w:bottom w:val="nil"/>
              <w:right w:val="nil"/>
            </w:tcBorders>
          </w:tcPr>
          <w:p w14:paraId="7CFE62D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4622C4B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15.8%</w:t>
            </w:r>
          </w:p>
        </w:tc>
        <w:tc>
          <w:tcPr>
            <w:tcW w:w="1032" w:type="dxa"/>
            <w:tcBorders>
              <w:top w:val="nil"/>
              <w:left w:val="nil"/>
              <w:bottom w:val="nil"/>
              <w:right w:val="nil"/>
            </w:tcBorders>
          </w:tcPr>
          <w:p w14:paraId="3EE2A9EE"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-41.1%</w:t>
            </w:r>
          </w:p>
        </w:tc>
        <w:tc>
          <w:tcPr>
            <w:tcW w:w="1032" w:type="dxa"/>
            <w:tcBorders>
              <w:top w:val="nil"/>
              <w:left w:val="nil"/>
              <w:bottom w:val="nil"/>
              <w:right w:val="nil"/>
            </w:tcBorders>
          </w:tcPr>
          <w:p w14:paraId="189DE16F"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261.2%</w:t>
            </w:r>
          </w:p>
        </w:tc>
      </w:tr>
      <w:tr w:rsidR="00F7725C" w:rsidRPr="00DA605E" w14:paraId="764B908B" w14:textId="77777777" w:rsidTr="00E72162">
        <w:trPr>
          <w:trHeight w:val="290"/>
          <w:jc w:val="center"/>
        </w:trPr>
        <w:tc>
          <w:tcPr>
            <w:tcW w:w="2707" w:type="dxa"/>
            <w:tcBorders>
              <w:top w:val="nil"/>
              <w:left w:val="nil"/>
              <w:bottom w:val="nil"/>
              <w:right w:val="nil"/>
            </w:tcBorders>
          </w:tcPr>
          <w:p w14:paraId="15A024D0"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3BB10CD0"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52.0%</w:t>
            </w:r>
          </w:p>
        </w:tc>
        <w:tc>
          <w:tcPr>
            <w:tcW w:w="1032" w:type="dxa"/>
            <w:tcBorders>
              <w:top w:val="nil"/>
              <w:left w:val="nil"/>
              <w:bottom w:val="nil"/>
              <w:right w:val="nil"/>
            </w:tcBorders>
          </w:tcPr>
          <w:p w14:paraId="12456BD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25.2%</w:t>
            </w:r>
          </w:p>
        </w:tc>
        <w:tc>
          <w:tcPr>
            <w:tcW w:w="1032" w:type="dxa"/>
            <w:tcBorders>
              <w:top w:val="nil"/>
              <w:left w:val="nil"/>
              <w:bottom w:val="nil"/>
              <w:right w:val="nil"/>
            </w:tcBorders>
          </w:tcPr>
          <w:p w14:paraId="0C460C1E"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169.0%</w:t>
            </w:r>
          </w:p>
        </w:tc>
      </w:tr>
      <w:tr w:rsidR="00F7725C" w:rsidRPr="00DA605E" w14:paraId="39FF285F" w14:textId="77777777" w:rsidTr="00E72162">
        <w:trPr>
          <w:trHeight w:val="290"/>
          <w:jc w:val="center"/>
        </w:trPr>
        <w:tc>
          <w:tcPr>
            <w:tcW w:w="2707" w:type="dxa"/>
            <w:tcBorders>
              <w:top w:val="nil"/>
              <w:left w:val="nil"/>
              <w:bottom w:val="nil"/>
              <w:right w:val="nil"/>
            </w:tcBorders>
          </w:tcPr>
          <w:p w14:paraId="4BF526CC"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SUD Outpatient</w:t>
            </w:r>
          </w:p>
        </w:tc>
        <w:tc>
          <w:tcPr>
            <w:tcW w:w="951" w:type="dxa"/>
            <w:tcBorders>
              <w:top w:val="nil"/>
              <w:left w:val="nil"/>
              <w:bottom w:val="nil"/>
              <w:right w:val="nil"/>
            </w:tcBorders>
          </w:tcPr>
          <w:p w14:paraId="16DE3528"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5A9F93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4CAFAAA"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4BF3CB30" w14:textId="77777777" w:rsidTr="00E72162">
        <w:trPr>
          <w:trHeight w:val="290"/>
          <w:jc w:val="center"/>
        </w:trPr>
        <w:tc>
          <w:tcPr>
            <w:tcW w:w="2707" w:type="dxa"/>
            <w:tcBorders>
              <w:top w:val="nil"/>
              <w:left w:val="nil"/>
              <w:bottom w:val="nil"/>
              <w:right w:val="nil"/>
            </w:tcBorders>
          </w:tcPr>
          <w:p w14:paraId="0CBC8B79"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383F54F5"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31.0%</w:t>
            </w:r>
          </w:p>
        </w:tc>
        <w:tc>
          <w:tcPr>
            <w:tcW w:w="1032" w:type="dxa"/>
            <w:tcBorders>
              <w:top w:val="nil"/>
              <w:left w:val="nil"/>
              <w:bottom w:val="nil"/>
              <w:right w:val="nil"/>
            </w:tcBorders>
          </w:tcPr>
          <w:p w14:paraId="70AB171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4.9%</w:t>
            </w:r>
          </w:p>
        </w:tc>
        <w:tc>
          <w:tcPr>
            <w:tcW w:w="1032" w:type="dxa"/>
            <w:tcBorders>
              <w:top w:val="nil"/>
              <w:left w:val="nil"/>
              <w:bottom w:val="nil"/>
              <w:right w:val="nil"/>
            </w:tcBorders>
          </w:tcPr>
          <w:p w14:paraId="6EA1B042"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73.5%</w:t>
            </w:r>
          </w:p>
        </w:tc>
      </w:tr>
      <w:tr w:rsidR="00F7725C" w:rsidRPr="00DA605E" w14:paraId="39E1860F" w14:textId="77777777" w:rsidTr="00E72162">
        <w:trPr>
          <w:trHeight w:val="290"/>
          <w:jc w:val="center"/>
        </w:trPr>
        <w:tc>
          <w:tcPr>
            <w:tcW w:w="2707" w:type="dxa"/>
            <w:tcBorders>
              <w:top w:val="nil"/>
              <w:left w:val="nil"/>
              <w:bottom w:val="nil"/>
              <w:right w:val="nil"/>
            </w:tcBorders>
          </w:tcPr>
          <w:p w14:paraId="62C6C9F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7F3F57FB"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48.9%</w:t>
            </w:r>
          </w:p>
        </w:tc>
        <w:tc>
          <w:tcPr>
            <w:tcW w:w="1032" w:type="dxa"/>
            <w:tcBorders>
              <w:top w:val="nil"/>
              <w:left w:val="nil"/>
              <w:bottom w:val="nil"/>
              <w:right w:val="nil"/>
            </w:tcBorders>
          </w:tcPr>
          <w:p w14:paraId="3C1F220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7.0%</w:t>
            </w:r>
          </w:p>
        </w:tc>
        <w:tc>
          <w:tcPr>
            <w:tcW w:w="1032" w:type="dxa"/>
            <w:tcBorders>
              <w:top w:val="nil"/>
              <w:left w:val="nil"/>
              <w:bottom w:val="nil"/>
              <w:right w:val="nil"/>
            </w:tcBorders>
          </w:tcPr>
          <w:p w14:paraId="116A6641"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121.4%</w:t>
            </w:r>
          </w:p>
        </w:tc>
      </w:tr>
      <w:tr w:rsidR="00F7725C" w:rsidRPr="00DA605E" w14:paraId="123BCF9A" w14:textId="77777777" w:rsidTr="00E72162">
        <w:trPr>
          <w:trHeight w:val="290"/>
          <w:jc w:val="center"/>
        </w:trPr>
        <w:tc>
          <w:tcPr>
            <w:tcW w:w="2707" w:type="dxa"/>
            <w:tcBorders>
              <w:top w:val="nil"/>
              <w:left w:val="nil"/>
              <w:bottom w:val="nil"/>
              <w:right w:val="nil"/>
            </w:tcBorders>
          </w:tcPr>
          <w:p w14:paraId="1BE0BB0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Other Services</w:t>
            </w:r>
          </w:p>
        </w:tc>
        <w:tc>
          <w:tcPr>
            <w:tcW w:w="951" w:type="dxa"/>
            <w:tcBorders>
              <w:top w:val="nil"/>
              <w:left w:val="nil"/>
              <w:bottom w:val="nil"/>
              <w:right w:val="nil"/>
            </w:tcBorders>
          </w:tcPr>
          <w:p w14:paraId="1772C8C4"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98CD1E9"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1A5D8ECB"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4A1295D7" w14:textId="77777777" w:rsidTr="00E72162">
        <w:trPr>
          <w:trHeight w:val="290"/>
          <w:jc w:val="center"/>
        </w:trPr>
        <w:tc>
          <w:tcPr>
            <w:tcW w:w="2707" w:type="dxa"/>
            <w:tcBorders>
              <w:top w:val="nil"/>
              <w:left w:val="nil"/>
              <w:bottom w:val="nil"/>
              <w:right w:val="nil"/>
            </w:tcBorders>
          </w:tcPr>
          <w:p w14:paraId="1B97EFDC"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2ED98524"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14.9%</w:t>
            </w:r>
          </w:p>
        </w:tc>
        <w:tc>
          <w:tcPr>
            <w:tcW w:w="1032" w:type="dxa"/>
            <w:tcBorders>
              <w:top w:val="nil"/>
              <w:left w:val="nil"/>
              <w:bottom w:val="nil"/>
              <w:right w:val="nil"/>
            </w:tcBorders>
          </w:tcPr>
          <w:p w14:paraId="69D59516"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0.5%</w:t>
            </w:r>
          </w:p>
        </w:tc>
        <w:tc>
          <w:tcPr>
            <w:tcW w:w="1032" w:type="dxa"/>
            <w:tcBorders>
              <w:top w:val="nil"/>
              <w:left w:val="nil"/>
              <w:bottom w:val="nil"/>
              <w:right w:val="nil"/>
            </w:tcBorders>
          </w:tcPr>
          <w:p w14:paraId="41C5531F"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62.3%</w:t>
            </w:r>
          </w:p>
        </w:tc>
      </w:tr>
      <w:tr w:rsidR="00F7725C" w:rsidRPr="00DA605E" w14:paraId="43981C61" w14:textId="77777777" w:rsidTr="00E72162">
        <w:trPr>
          <w:trHeight w:val="290"/>
          <w:jc w:val="center"/>
        </w:trPr>
        <w:tc>
          <w:tcPr>
            <w:tcW w:w="2707" w:type="dxa"/>
            <w:tcBorders>
              <w:top w:val="nil"/>
              <w:left w:val="nil"/>
              <w:bottom w:val="single" w:sz="6" w:space="0" w:color="auto"/>
              <w:right w:val="nil"/>
            </w:tcBorders>
          </w:tcPr>
          <w:p w14:paraId="460B412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38D06704"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-6.6%</w:t>
            </w:r>
          </w:p>
        </w:tc>
        <w:tc>
          <w:tcPr>
            <w:tcW w:w="1032" w:type="dxa"/>
            <w:tcBorders>
              <w:top w:val="nil"/>
              <w:left w:val="nil"/>
              <w:bottom w:val="single" w:sz="6" w:space="0" w:color="auto"/>
              <w:right w:val="nil"/>
            </w:tcBorders>
          </w:tcPr>
          <w:p w14:paraId="2E0CCE1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-34.9%</w:t>
            </w:r>
          </w:p>
        </w:tc>
        <w:tc>
          <w:tcPr>
            <w:tcW w:w="1032" w:type="dxa"/>
            <w:tcBorders>
              <w:top w:val="nil"/>
              <w:left w:val="nil"/>
              <w:bottom w:val="single" w:sz="6" w:space="0" w:color="auto"/>
              <w:right w:val="nil"/>
            </w:tcBorders>
          </w:tcPr>
          <w:p w14:paraId="3C4BD0DA"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78.9%</w:t>
            </w:r>
          </w:p>
        </w:tc>
      </w:tr>
    </w:tbl>
    <w:p w14:paraId="4C1B884E" w14:textId="77777777" w:rsidR="00E847F0" w:rsidRPr="005A6983" w:rsidRDefault="00E847F0" w:rsidP="00E847F0">
      <w:pPr>
        <w:jc w:val="center"/>
        <w:rPr>
          <w:rFonts w:eastAsia="Calibri" w:cstheme="minorHAnsi"/>
          <w:sz w:val="22"/>
          <w:szCs w:val="22"/>
        </w:rPr>
      </w:pPr>
    </w:p>
    <w:p w14:paraId="5748E390" w14:textId="77777777" w:rsidR="00E847F0" w:rsidRPr="005A6983" w:rsidRDefault="00E847F0" w:rsidP="00E847F0">
      <w:pPr>
        <w:jc w:val="center"/>
        <w:rPr>
          <w:rFonts w:eastAsia="Calibri" w:cstheme="minorHAnsi"/>
          <w:sz w:val="22"/>
          <w:szCs w:val="22"/>
        </w:rPr>
      </w:pPr>
    </w:p>
    <w:p w14:paraId="224EF33D" w14:textId="77777777" w:rsidR="00E847F0" w:rsidRDefault="00E847F0" w:rsidP="00E847F0">
      <w:pPr>
        <w:rPr>
          <w:rFonts w:eastAsia="Calibri" w:cstheme="minorHAnsi"/>
          <w:sz w:val="22"/>
          <w:szCs w:val="22"/>
        </w:rPr>
      </w:pPr>
      <w:r>
        <w:rPr>
          <w:rFonts w:eastAsia="Calibri" w:cstheme="minorHAnsi"/>
          <w:sz w:val="22"/>
          <w:szCs w:val="22"/>
        </w:rPr>
        <w:br w:type="page"/>
      </w:r>
    </w:p>
    <w:p w14:paraId="49D64287" w14:textId="70ECD078" w:rsidR="00E847F0" w:rsidRPr="00000D4B" w:rsidRDefault="00E847F0" w:rsidP="00E847F0">
      <w:pPr>
        <w:ind w:left="1152" w:hanging="1152"/>
        <w:jc w:val="center"/>
        <w:rPr>
          <w:rFonts w:eastAsia="Calibri" w:cstheme="minorHAnsi"/>
          <w:b/>
          <w:bCs/>
          <w:color w:val="6A7F0F"/>
          <w:sz w:val="22"/>
          <w:szCs w:val="22"/>
        </w:rPr>
      </w:pPr>
      <w:bookmarkStart w:id="151" w:name="Appendix6_Table_A67g"/>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.7g: Change in Physical Health Related Expenditure Levels per Person for </w:t>
      </w:r>
    </w:p>
    <w:p w14:paraId="3BC306F1" w14:textId="77777777" w:rsidR="00E847F0" w:rsidRPr="00000D4B" w:rsidRDefault="00E847F0" w:rsidP="00E847F0">
      <w:pPr>
        <w:ind w:left="1152" w:hanging="1152"/>
        <w:jc w:val="center"/>
        <w:rPr>
          <w:rFonts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Race/Ethnicity Services</w:t>
      </w:r>
    </w:p>
    <w:bookmarkEnd w:id="151"/>
    <w:p w14:paraId="43EE137B" w14:textId="77777777" w:rsidR="00E847F0" w:rsidRDefault="00E847F0" w:rsidP="00E847F0">
      <w:pPr>
        <w:ind w:left="1152" w:hanging="1152"/>
        <w:jc w:val="center"/>
        <w:rPr>
          <w:rFonts w:cstheme="minorHAnsi"/>
          <w:sz w:val="22"/>
          <w:szCs w:val="22"/>
          <w:u w:val="single"/>
        </w:rPr>
      </w:pPr>
    </w:p>
    <w:p w14:paraId="1F6E3DE9" w14:textId="77777777" w:rsidR="00E847F0" w:rsidRPr="00A76A99" w:rsidRDefault="00E847F0" w:rsidP="00E847F0">
      <w:pPr>
        <w:rPr>
          <w:rFonts w:cstheme="minorHAnsi"/>
          <w:sz w:val="22"/>
          <w:szCs w:val="22"/>
          <w:u w:val="single"/>
        </w:rPr>
      </w:pPr>
    </w:p>
    <w:tbl>
      <w:tblPr>
        <w:tblW w:w="8577" w:type="dxa"/>
        <w:jc w:val="center"/>
        <w:tblLayout w:type="fixed"/>
        <w:tblLook w:val="04A0" w:firstRow="1" w:lastRow="0" w:firstColumn="1" w:lastColumn="0" w:noHBand="0" w:noVBand="1"/>
      </w:tblPr>
      <w:tblGrid>
        <w:gridCol w:w="2540"/>
        <w:gridCol w:w="840"/>
        <w:gridCol w:w="1080"/>
        <w:gridCol w:w="920"/>
        <w:gridCol w:w="1184"/>
        <w:gridCol w:w="996"/>
        <w:gridCol w:w="1017"/>
      </w:tblGrid>
      <w:tr w:rsidR="00F7725C" w:rsidRPr="00A04732" w14:paraId="275A8D52"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04168252" w14:textId="77777777" w:rsidR="00F7725C" w:rsidRPr="005A6983" w:rsidRDefault="00F7725C" w:rsidP="00E72162">
            <w:pPr>
              <w:rPr>
                <w:rFonts w:cstheme="minorHAnsi"/>
                <w:sz w:val="22"/>
                <w:szCs w:val="22"/>
              </w:rPr>
            </w:pPr>
          </w:p>
        </w:tc>
        <w:tc>
          <w:tcPr>
            <w:tcW w:w="840" w:type="dxa"/>
            <w:tcBorders>
              <w:top w:val="nil"/>
              <w:left w:val="nil"/>
              <w:bottom w:val="nil"/>
              <w:right w:val="nil"/>
            </w:tcBorders>
            <w:shd w:val="clear" w:color="auto" w:fill="auto"/>
            <w:noWrap/>
            <w:vAlign w:val="bottom"/>
            <w:hideMark/>
          </w:tcPr>
          <w:p w14:paraId="6E9227FA" w14:textId="77777777" w:rsidR="00F7725C" w:rsidRPr="005A6983" w:rsidRDefault="00F7725C" w:rsidP="00E72162">
            <w:pPr>
              <w:rPr>
                <w:rFonts w:cstheme="minorHAnsi"/>
                <w:sz w:val="22"/>
                <w:szCs w:val="22"/>
              </w:rPr>
            </w:pPr>
          </w:p>
        </w:tc>
        <w:tc>
          <w:tcPr>
            <w:tcW w:w="1080" w:type="dxa"/>
            <w:tcBorders>
              <w:top w:val="nil"/>
              <w:left w:val="nil"/>
              <w:bottom w:val="nil"/>
              <w:right w:val="nil"/>
            </w:tcBorders>
            <w:shd w:val="clear" w:color="auto" w:fill="auto"/>
            <w:noWrap/>
            <w:vAlign w:val="bottom"/>
            <w:hideMark/>
          </w:tcPr>
          <w:p w14:paraId="781497C1" w14:textId="77777777" w:rsidR="00F7725C" w:rsidRPr="005A6983" w:rsidRDefault="00F7725C" w:rsidP="00E72162">
            <w:pPr>
              <w:jc w:val="center"/>
              <w:rPr>
                <w:rFonts w:cstheme="minorHAnsi"/>
                <w:sz w:val="22"/>
                <w:szCs w:val="22"/>
              </w:rPr>
            </w:pPr>
          </w:p>
        </w:tc>
        <w:tc>
          <w:tcPr>
            <w:tcW w:w="920" w:type="dxa"/>
            <w:tcBorders>
              <w:top w:val="nil"/>
              <w:left w:val="nil"/>
              <w:bottom w:val="nil"/>
              <w:right w:val="nil"/>
            </w:tcBorders>
            <w:shd w:val="clear" w:color="auto" w:fill="auto"/>
            <w:noWrap/>
            <w:vAlign w:val="bottom"/>
            <w:hideMark/>
          </w:tcPr>
          <w:p w14:paraId="490EC3B8" w14:textId="77777777" w:rsidR="00F7725C" w:rsidRPr="005A6983" w:rsidRDefault="00F7725C" w:rsidP="00E72162">
            <w:pPr>
              <w:jc w:val="center"/>
              <w:rPr>
                <w:rFonts w:cstheme="minorHAnsi"/>
                <w:sz w:val="22"/>
                <w:szCs w:val="22"/>
              </w:rPr>
            </w:pPr>
          </w:p>
        </w:tc>
        <w:tc>
          <w:tcPr>
            <w:tcW w:w="1184" w:type="dxa"/>
            <w:tcBorders>
              <w:top w:val="nil"/>
              <w:left w:val="nil"/>
              <w:bottom w:val="nil"/>
              <w:right w:val="nil"/>
            </w:tcBorders>
            <w:shd w:val="clear" w:color="auto" w:fill="auto"/>
            <w:noWrap/>
            <w:vAlign w:val="bottom"/>
            <w:hideMark/>
          </w:tcPr>
          <w:p w14:paraId="56774661" w14:textId="77777777" w:rsidR="00F7725C" w:rsidRPr="005A6983" w:rsidRDefault="00F7725C" w:rsidP="00E72162">
            <w:pPr>
              <w:jc w:val="center"/>
              <w:rPr>
                <w:rFonts w:cstheme="minorHAnsi"/>
                <w:sz w:val="22"/>
                <w:szCs w:val="22"/>
              </w:rPr>
            </w:pPr>
          </w:p>
        </w:tc>
        <w:tc>
          <w:tcPr>
            <w:tcW w:w="996" w:type="dxa"/>
            <w:tcBorders>
              <w:top w:val="nil"/>
              <w:left w:val="nil"/>
              <w:bottom w:val="nil"/>
              <w:right w:val="nil"/>
            </w:tcBorders>
            <w:shd w:val="clear" w:color="auto" w:fill="auto"/>
            <w:noWrap/>
            <w:vAlign w:val="bottom"/>
            <w:hideMark/>
          </w:tcPr>
          <w:p w14:paraId="38D3DD97" w14:textId="77777777" w:rsidR="00F7725C" w:rsidRPr="005A6983" w:rsidRDefault="00F7725C" w:rsidP="00E72162">
            <w:pPr>
              <w:jc w:val="center"/>
              <w:rPr>
                <w:rFonts w:cstheme="minorHAnsi"/>
                <w:sz w:val="22"/>
                <w:szCs w:val="22"/>
              </w:rPr>
            </w:pPr>
          </w:p>
        </w:tc>
        <w:tc>
          <w:tcPr>
            <w:tcW w:w="1017" w:type="dxa"/>
            <w:tcBorders>
              <w:top w:val="nil"/>
              <w:left w:val="nil"/>
              <w:bottom w:val="nil"/>
              <w:right w:val="nil"/>
            </w:tcBorders>
            <w:shd w:val="clear" w:color="auto" w:fill="auto"/>
            <w:noWrap/>
            <w:vAlign w:val="bottom"/>
            <w:hideMark/>
          </w:tcPr>
          <w:p w14:paraId="32E8C857"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All Other</w:t>
            </w:r>
          </w:p>
        </w:tc>
      </w:tr>
      <w:tr w:rsidR="00F7725C" w:rsidRPr="00A04732" w14:paraId="3D591811"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7EC42DA"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Physical Health</w:t>
            </w:r>
          </w:p>
        </w:tc>
        <w:tc>
          <w:tcPr>
            <w:tcW w:w="840" w:type="dxa"/>
            <w:tcBorders>
              <w:top w:val="nil"/>
              <w:left w:val="nil"/>
              <w:bottom w:val="nil"/>
              <w:right w:val="nil"/>
            </w:tcBorders>
            <w:shd w:val="clear" w:color="auto" w:fill="auto"/>
            <w:noWrap/>
            <w:vAlign w:val="bottom"/>
            <w:hideMark/>
          </w:tcPr>
          <w:p w14:paraId="1DCD8AA7"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All</w:t>
            </w:r>
          </w:p>
        </w:tc>
        <w:tc>
          <w:tcPr>
            <w:tcW w:w="1080" w:type="dxa"/>
            <w:tcBorders>
              <w:top w:val="nil"/>
              <w:left w:val="nil"/>
              <w:bottom w:val="nil"/>
              <w:right w:val="nil"/>
            </w:tcBorders>
            <w:shd w:val="clear" w:color="auto" w:fill="auto"/>
            <w:noWrap/>
            <w:vAlign w:val="bottom"/>
            <w:hideMark/>
          </w:tcPr>
          <w:p w14:paraId="714CD9E5"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Am Ind/</w:t>
            </w:r>
          </w:p>
        </w:tc>
        <w:tc>
          <w:tcPr>
            <w:tcW w:w="920" w:type="dxa"/>
            <w:tcBorders>
              <w:top w:val="nil"/>
              <w:left w:val="nil"/>
              <w:bottom w:val="nil"/>
              <w:right w:val="nil"/>
            </w:tcBorders>
            <w:shd w:val="clear" w:color="auto" w:fill="auto"/>
            <w:noWrap/>
            <w:vAlign w:val="bottom"/>
            <w:hideMark/>
          </w:tcPr>
          <w:p w14:paraId="2C500CFF"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Black/</w:t>
            </w:r>
          </w:p>
        </w:tc>
        <w:tc>
          <w:tcPr>
            <w:tcW w:w="1184" w:type="dxa"/>
            <w:tcBorders>
              <w:top w:val="nil"/>
              <w:left w:val="nil"/>
              <w:bottom w:val="nil"/>
              <w:right w:val="nil"/>
            </w:tcBorders>
            <w:shd w:val="clear" w:color="auto" w:fill="auto"/>
            <w:noWrap/>
            <w:vAlign w:val="bottom"/>
            <w:hideMark/>
          </w:tcPr>
          <w:p w14:paraId="160F4E35"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Hispanic/</w:t>
            </w:r>
          </w:p>
        </w:tc>
        <w:tc>
          <w:tcPr>
            <w:tcW w:w="996" w:type="dxa"/>
            <w:tcBorders>
              <w:top w:val="nil"/>
              <w:left w:val="nil"/>
              <w:bottom w:val="nil"/>
              <w:right w:val="nil"/>
            </w:tcBorders>
            <w:shd w:val="clear" w:color="auto" w:fill="auto"/>
            <w:noWrap/>
            <w:vAlign w:val="bottom"/>
            <w:hideMark/>
          </w:tcPr>
          <w:p w14:paraId="64380A3D" w14:textId="77777777" w:rsidR="00F7725C" w:rsidRPr="005A6983" w:rsidRDefault="00F7725C" w:rsidP="00E72162">
            <w:pPr>
              <w:ind w:right="-234"/>
              <w:jc w:val="center"/>
              <w:rPr>
                <w:rFonts w:cstheme="minorHAnsi"/>
                <w:b/>
                <w:bCs/>
                <w:color w:val="000000"/>
                <w:sz w:val="22"/>
                <w:szCs w:val="22"/>
              </w:rPr>
            </w:pPr>
          </w:p>
        </w:tc>
        <w:tc>
          <w:tcPr>
            <w:tcW w:w="1017" w:type="dxa"/>
            <w:tcBorders>
              <w:top w:val="nil"/>
              <w:left w:val="nil"/>
              <w:bottom w:val="nil"/>
              <w:right w:val="nil"/>
            </w:tcBorders>
            <w:shd w:val="clear" w:color="auto" w:fill="auto"/>
            <w:noWrap/>
            <w:vAlign w:val="bottom"/>
            <w:hideMark/>
          </w:tcPr>
          <w:p w14:paraId="54EDAED6"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Race/</w:t>
            </w:r>
          </w:p>
        </w:tc>
      </w:tr>
      <w:tr w:rsidR="00F7725C" w:rsidRPr="00A04732" w14:paraId="59259ACE"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1DFD133A"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Expenditures per Person</w:t>
            </w:r>
          </w:p>
        </w:tc>
        <w:tc>
          <w:tcPr>
            <w:tcW w:w="840" w:type="dxa"/>
            <w:tcBorders>
              <w:top w:val="nil"/>
              <w:left w:val="nil"/>
              <w:bottom w:val="single" w:sz="4" w:space="0" w:color="auto"/>
              <w:right w:val="nil"/>
            </w:tcBorders>
            <w:shd w:val="clear" w:color="auto" w:fill="auto"/>
            <w:noWrap/>
            <w:vAlign w:val="bottom"/>
            <w:hideMark/>
          </w:tcPr>
          <w:p w14:paraId="10D763C0"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CCBHC</w:t>
            </w:r>
          </w:p>
        </w:tc>
        <w:tc>
          <w:tcPr>
            <w:tcW w:w="1080" w:type="dxa"/>
            <w:tcBorders>
              <w:top w:val="nil"/>
              <w:left w:val="nil"/>
              <w:bottom w:val="single" w:sz="4" w:space="0" w:color="auto"/>
              <w:right w:val="nil"/>
            </w:tcBorders>
            <w:shd w:val="clear" w:color="auto" w:fill="auto"/>
            <w:noWrap/>
            <w:vAlign w:val="bottom"/>
            <w:hideMark/>
          </w:tcPr>
          <w:p w14:paraId="321A81C3"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Al Native</w:t>
            </w:r>
          </w:p>
        </w:tc>
        <w:tc>
          <w:tcPr>
            <w:tcW w:w="920" w:type="dxa"/>
            <w:tcBorders>
              <w:top w:val="nil"/>
              <w:left w:val="nil"/>
              <w:bottom w:val="single" w:sz="4" w:space="0" w:color="auto"/>
              <w:right w:val="nil"/>
            </w:tcBorders>
            <w:shd w:val="clear" w:color="auto" w:fill="auto"/>
            <w:noWrap/>
            <w:vAlign w:val="bottom"/>
            <w:hideMark/>
          </w:tcPr>
          <w:p w14:paraId="3DF0D47B"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Afr Am</w:t>
            </w:r>
          </w:p>
        </w:tc>
        <w:tc>
          <w:tcPr>
            <w:tcW w:w="1184" w:type="dxa"/>
            <w:tcBorders>
              <w:top w:val="nil"/>
              <w:left w:val="nil"/>
              <w:bottom w:val="single" w:sz="4" w:space="0" w:color="auto"/>
              <w:right w:val="nil"/>
            </w:tcBorders>
            <w:shd w:val="clear" w:color="auto" w:fill="auto"/>
            <w:noWrap/>
            <w:vAlign w:val="bottom"/>
            <w:hideMark/>
          </w:tcPr>
          <w:p w14:paraId="5B1446D4"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Latino/a/x</w:t>
            </w:r>
          </w:p>
        </w:tc>
        <w:tc>
          <w:tcPr>
            <w:tcW w:w="996" w:type="dxa"/>
            <w:tcBorders>
              <w:top w:val="nil"/>
              <w:left w:val="nil"/>
              <w:bottom w:val="single" w:sz="4" w:space="0" w:color="auto"/>
              <w:right w:val="nil"/>
            </w:tcBorders>
            <w:shd w:val="clear" w:color="auto" w:fill="auto"/>
            <w:noWrap/>
            <w:vAlign w:val="bottom"/>
            <w:hideMark/>
          </w:tcPr>
          <w:p w14:paraId="33EE0C2E"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White</w:t>
            </w:r>
          </w:p>
        </w:tc>
        <w:tc>
          <w:tcPr>
            <w:tcW w:w="1017" w:type="dxa"/>
            <w:tcBorders>
              <w:top w:val="nil"/>
              <w:left w:val="nil"/>
              <w:bottom w:val="single" w:sz="4" w:space="0" w:color="auto"/>
              <w:right w:val="nil"/>
            </w:tcBorders>
            <w:shd w:val="clear" w:color="auto" w:fill="auto"/>
            <w:noWrap/>
            <w:vAlign w:val="bottom"/>
            <w:hideMark/>
          </w:tcPr>
          <w:p w14:paraId="4E562065" w14:textId="77777777" w:rsidR="00F7725C" w:rsidRPr="005A6983" w:rsidRDefault="00F7725C" w:rsidP="00E72162">
            <w:pPr>
              <w:jc w:val="center"/>
              <w:rPr>
                <w:rFonts w:cstheme="minorHAnsi"/>
                <w:b/>
                <w:bCs/>
                <w:color w:val="000000"/>
                <w:sz w:val="22"/>
                <w:szCs w:val="22"/>
              </w:rPr>
            </w:pPr>
            <w:r w:rsidRPr="005A6983">
              <w:rPr>
                <w:rFonts w:cstheme="minorHAnsi"/>
                <w:b/>
                <w:bCs/>
                <w:color w:val="000000"/>
                <w:sz w:val="22"/>
                <w:szCs w:val="22"/>
              </w:rPr>
              <w:t>Ethnicity</w:t>
            </w:r>
          </w:p>
        </w:tc>
      </w:tr>
      <w:tr w:rsidR="00F7725C" w:rsidRPr="00A04732" w14:paraId="6DBA105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2B0C20E"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Total</w:t>
            </w:r>
          </w:p>
        </w:tc>
        <w:tc>
          <w:tcPr>
            <w:tcW w:w="840" w:type="dxa"/>
            <w:tcBorders>
              <w:top w:val="nil"/>
              <w:left w:val="nil"/>
              <w:bottom w:val="nil"/>
              <w:right w:val="nil"/>
            </w:tcBorders>
            <w:shd w:val="clear" w:color="auto" w:fill="auto"/>
            <w:noWrap/>
            <w:vAlign w:val="bottom"/>
            <w:hideMark/>
          </w:tcPr>
          <w:p w14:paraId="2211582C" w14:textId="77777777" w:rsidR="00F7725C" w:rsidRPr="005A6983"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0E705599" w14:textId="77777777" w:rsidR="00F7725C" w:rsidRPr="005A6983"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690783F" w14:textId="77777777" w:rsidR="00F7725C" w:rsidRPr="005A6983"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6F61BC0F" w14:textId="77777777" w:rsidR="00F7725C" w:rsidRPr="005A6983" w:rsidRDefault="00F7725C" w:rsidP="00E72162">
            <w:pPr>
              <w:rPr>
                <w:rFonts w:cstheme="minorHAnsi"/>
                <w:sz w:val="22"/>
                <w:szCs w:val="22"/>
              </w:rPr>
            </w:pPr>
          </w:p>
        </w:tc>
        <w:tc>
          <w:tcPr>
            <w:tcW w:w="996" w:type="dxa"/>
            <w:tcBorders>
              <w:top w:val="nil"/>
              <w:left w:val="nil"/>
              <w:bottom w:val="nil"/>
              <w:right w:val="nil"/>
            </w:tcBorders>
            <w:shd w:val="clear" w:color="auto" w:fill="auto"/>
            <w:noWrap/>
            <w:vAlign w:val="bottom"/>
            <w:hideMark/>
          </w:tcPr>
          <w:p w14:paraId="13788DFA" w14:textId="77777777" w:rsidR="00F7725C" w:rsidRPr="005A6983"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12EB737C" w14:textId="77777777" w:rsidR="00F7725C" w:rsidRPr="005A6983" w:rsidRDefault="00F7725C" w:rsidP="00E72162">
            <w:pPr>
              <w:rPr>
                <w:rFonts w:cstheme="minorHAnsi"/>
                <w:sz w:val="22"/>
                <w:szCs w:val="22"/>
              </w:rPr>
            </w:pPr>
          </w:p>
        </w:tc>
      </w:tr>
      <w:tr w:rsidR="00F7725C" w:rsidRPr="00A04732" w14:paraId="13D037A2"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611F7EF"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4A6137F5"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3.7%</w:t>
            </w:r>
          </w:p>
        </w:tc>
        <w:tc>
          <w:tcPr>
            <w:tcW w:w="1080" w:type="dxa"/>
            <w:tcBorders>
              <w:top w:val="nil"/>
              <w:left w:val="nil"/>
              <w:bottom w:val="nil"/>
              <w:right w:val="nil"/>
            </w:tcBorders>
            <w:shd w:val="clear" w:color="auto" w:fill="auto"/>
            <w:noWrap/>
            <w:vAlign w:val="bottom"/>
            <w:hideMark/>
          </w:tcPr>
          <w:p w14:paraId="0EAC8B52"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-7.1%</w:t>
            </w:r>
          </w:p>
        </w:tc>
        <w:tc>
          <w:tcPr>
            <w:tcW w:w="920" w:type="dxa"/>
            <w:tcBorders>
              <w:top w:val="nil"/>
              <w:left w:val="nil"/>
              <w:bottom w:val="nil"/>
              <w:right w:val="nil"/>
            </w:tcBorders>
            <w:shd w:val="clear" w:color="auto" w:fill="auto"/>
            <w:noWrap/>
            <w:vAlign w:val="bottom"/>
            <w:hideMark/>
          </w:tcPr>
          <w:p w14:paraId="0C69900D"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8.4%</w:t>
            </w:r>
          </w:p>
        </w:tc>
        <w:tc>
          <w:tcPr>
            <w:tcW w:w="1184" w:type="dxa"/>
            <w:tcBorders>
              <w:top w:val="nil"/>
              <w:left w:val="nil"/>
              <w:bottom w:val="nil"/>
              <w:right w:val="nil"/>
            </w:tcBorders>
            <w:shd w:val="clear" w:color="auto" w:fill="auto"/>
            <w:noWrap/>
            <w:vAlign w:val="bottom"/>
            <w:hideMark/>
          </w:tcPr>
          <w:p w14:paraId="48C7EC3C"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13.4%</w:t>
            </w:r>
          </w:p>
        </w:tc>
        <w:tc>
          <w:tcPr>
            <w:tcW w:w="996" w:type="dxa"/>
            <w:tcBorders>
              <w:top w:val="nil"/>
              <w:left w:val="nil"/>
              <w:bottom w:val="nil"/>
              <w:right w:val="nil"/>
            </w:tcBorders>
            <w:shd w:val="clear" w:color="auto" w:fill="auto"/>
            <w:noWrap/>
            <w:vAlign w:val="bottom"/>
            <w:hideMark/>
          </w:tcPr>
          <w:p w14:paraId="38BE856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2.5%</w:t>
            </w:r>
          </w:p>
        </w:tc>
        <w:tc>
          <w:tcPr>
            <w:tcW w:w="1017" w:type="dxa"/>
            <w:tcBorders>
              <w:top w:val="nil"/>
              <w:left w:val="nil"/>
              <w:bottom w:val="nil"/>
              <w:right w:val="nil"/>
            </w:tcBorders>
            <w:shd w:val="clear" w:color="auto" w:fill="auto"/>
            <w:noWrap/>
            <w:vAlign w:val="bottom"/>
            <w:hideMark/>
          </w:tcPr>
          <w:p w14:paraId="00107E7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16.8%</w:t>
            </w:r>
          </w:p>
        </w:tc>
      </w:tr>
      <w:tr w:rsidR="00F7725C" w:rsidRPr="00A04732" w14:paraId="6C09BDF2"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5F2EF43"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43D1A152"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1.8%</w:t>
            </w:r>
          </w:p>
        </w:tc>
        <w:tc>
          <w:tcPr>
            <w:tcW w:w="1080" w:type="dxa"/>
            <w:tcBorders>
              <w:top w:val="nil"/>
              <w:left w:val="nil"/>
              <w:bottom w:val="nil"/>
              <w:right w:val="nil"/>
            </w:tcBorders>
            <w:shd w:val="clear" w:color="auto" w:fill="auto"/>
            <w:noWrap/>
            <w:vAlign w:val="bottom"/>
            <w:hideMark/>
          </w:tcPr>
          <w:p w14:paraId="5C268F18"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-13.0%</w:t>
            </w:r>
          </w:p>
        </w:tc>
        <w:tc>
          <w:tcPr>
            <w:tcW w:w="920" w:type="dxa"/>
            <w:tcBorders>
              <w:top w:val="nil"/>
              <w:left w:val="nil"/>
              <w:bottom w:val="nil"/>
              <w:right w:val="nil"/>
            </w:tcBorders>
            <w:shd w:val="clear" w:color="auto" w:fill="auto"/>
            <w:noWrap/>
            <w:vAlign w:val="bottom"/>
            <w:hideMark/>
          </w:tcPr>
          <w:p w14:paraId="4E4C706C"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-0.7%</w:t>
            </w:r>
          </w:p>
        </w:tc>
        <w:tc>
          <w:tcPr>
            <w:tcW w:w="1184" w:type="dxa"/>
            <w:tcBorders>
              <w:top w:val="nil"/>
              <w:left w:val="nil"/>
              <w:bottom w:val="nil"/>
              <w:right w:val="nil"/>
            </w:tcBorders>
            <w:shd w:val="clear" w:color="auto" w:fill="auto"/>
            <w:noWrap/>
            <w:vAlign w:val="bottom"/>
            <w:hideMark/>
          </w:tcPr>
          <w:p w14:paraId="6581BDDE"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6.8%</w:t>
            </w:r>
          </w:p>
        </w:tc>
        <w:tc>
          <w:tcPr>
            <w:tcW w:w="996" w:type="dxa"/>
            <w:tcBorders>
              <w:top w:val="nil"/>
              <w:left w:val="nil"/>
              <w:bottom w:val="nil"/>
              <w:right w:val="nil"/>
            </w:tcBorders>
            <w:shd w:val="clear" w:color="auto" w:fill="auto"/>
            <w:noWrap/>
            <w:vAlign w:val="bottom"/>
            <w:hideMark/>
          </w:tcPr>
          <w:p w14:paraId="3D5DD74C"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2.7%</w:t>
            </w:r>
          </w:p>
        </w:tc>
        <w:tc>
          <w:tcPr>
            <w:tcW w:w="1017" w:type="dxa"/>
            <w:tcBorders>
              <w:top w:val="nil"/>
              <w:left w:val="nil"/>
              <w:bottom w:val="nil"/>
              <w:right w:val="nil"/>
            </w:tcBorders>
            <w:shd w:val="clear" w:color="auto" w:fill="auto"/>
            <w:noWrap/>
            <w:vAlign w:val="bottom"/>
            <w:hideMark/>
          </w:tcPr>
          <w:p w14:paraId="54195CCB"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3.4%</w:t>
            </w:r>
          </w:p>
        </w:tc>
      </w:tr>
      <w:tr w:rsidR="00F7725C" w:rsidRPr="00A04732" w14:paraId="2417C06E"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4CC8E3D3"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Inpatient</w:t>
            </w:r>
          </w:p>
        </w:tc>
        <w:tc>
          <w:tcPr>
            <w:tcW w:w="840" w:type="dxa"/>
            <w:tcBorders>
              <w:top w:val="nil"/>
              <w:left w:val="nil"/>
              <w:bottom w:val="nil"/>
              <w:right w:val="nil"/>
            </w:tcBorders>
            <w:shd w:val="clear" w:color="auto" w:fill="auto"/>
            <w:noWrap/>
            <w:vAlign w:val="bottom"/>
            <w:hideMark/>
          </w:tcPr>
          <w:p w14:paraId="51D8F9AE" w14:textId="77777777" w:rsidR="00F7725C" w:rsidRPr="005A6983"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0BEF74DC" w14:textId="77777777" w:rsidR="00F7725C" w:rsidRPr="005A6983"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7C62DDEE" w14:textId="77777777" w:rsidR="00F7725C" w:rsidRPr="005A6983"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77E8F4A2" w14:textId="77777777" w:rsidR="00F7725C" w:rsidRPr="005A6983" w:rsidRDefault="00F7725C" w:rsidP="00E72162">
            <w:pPr>
              <w:rPr>
                <w:rFonts w:cstheme="minorHAnsi"/>
                <w:sz w:val="22"/>
                <w:szCs w:val="22"/>
              </w:rPr>
            </w:pPr>
          </w:p>
        </w:tc>
        <w:tc>
          <w:tcPr>
            <w:tcW w:w="996" w:type="dxa"/>
            <w:tcBorders>
              <w:top w:val="nil"/>
              <w:left w:val="nil"/>
              <w:bottom w:val="nil"/>
              <w:right w:val="nil"/>
            </w:tcBorders>
            <w:shd w:val="clear" w:color="auto" w:fill="auto"/>
            <w:noWrap/>
            <w:vAlign w:val="bottom"/>
            <w:hideMark/>
          </w:tcPr>
          <w:p w14:paraId="3EFDF0C0" w14:textId="77777777" w:rsidR="00F7725C" w:rsidRPr="005A6983"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2F09C001" w14:textId="77777777" w:rsidR="00F7725C" w:rsidRPr="005A6983" w:rsidRDefault="00F7725C" w:rsidP="00E72162">
            <w:pPr>
              <w:rPr>
                <w:rFonts w:cstheme="minorHAnsi"/>
                <w:sz w:val="22"/>
                <w:szCs w:val="22"/>
              </w:rPr>
            </w:pPr>
          </w:p>
        </w:tc>
      </w:tr>
      <w:tr w:rsidR="00F7725C" w:rsidRPr="00A04732" w14:paraId="1C3E5E18"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E3DFC2D"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6B00175F"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-15.3%</w:t>
            </w:r>
          </w:p>
        </w:tc>
        <w:tc>
          <w:tcPr>
            <w:tcW w:w="1080" w:type="dxa"/>
            <w:tcBorders>
              <w:top w:val="nil"/>
              <w:left w:val="nil"/>
              <w:bottom w:val="nil"/>
              <w:right w:val="nil"/>
            </w:tcBorders>
            <w:shd w:val="clear" w:color="auto" w:fill="auto"/>
            <w:noWrap/>
            <w:vAlign w:val="bottom"/>
            <w:hideMark/>
          </w:tcPr>
          <w:p w14:paraId="7D8D8D38"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-48.3%</w:t>
            </w:r>
          </w:p>
        </w:tc>
        <w:tc>
          <w:tcPr>
            <w:tcW w:w="920" w:type="dxa"/>
            <w:tcBorders>
              <w:top w:val="nil"/>
              <w:left w:val="nil"/>
              <w:bottom w:val="nil"/>
              <w:right w:val="nil"/>
            </w:tcBorders>
            <w:shd w:val="clear" w:color="auto" w:fill="auto"/>
            <w:noWrap/>
            <w:vAlign w:val="bottom"/>
            <w:hideMark/>
          </w:tcPr>
          <w:p w14:paraId="3A6FAB55"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-31.6%</w:t>
            </w:r>
          </w:p>
        </w:tc>
        <w:tc>
          <w:tcPr>
            <w:tcW w:w="1184" w:type="dxa"/>
            <w:tcBorders>
              <w:top w:val="nil"/>
              <w:left w:val="nil"/>
              <w:bottom w:val="nil"/>
              <w:right w:val="nil"/>
            </w:tcBorders>
            <w:shd w:val="clear" w:color="auto" w:fill="auto"/>
            <w:noWrap/>
            <w:vAlign w:val="bottom"/>
            <w:hideMark/>
          </w:tcPr>
          <w:p w14:paraId="690CBDCF"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40.1%</w:t>
            </w:r>
          </w:p>
        </w:tc>
        <w:tc>
          <w:tcPr>
            <w:tcW w:w="996" w:type="dxa"/>
            <w:tcBorders>
              <w:top w:val="nil"/>
              <w:left w:val="nil"/>
              <w:bottom w:val="nil"/>
              <w:right w:val="nil"/>
            </w:tcBorders>
            <w:shd w:val="clear" w:color="auto" w:fill="auto"/>
            <w:noWrap/>
            <w:vAlign w:val="bottom"/>
            <w:hideMark/>
          </w:tcPr>
          <w:p w14:paraId="28DA978D"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-16.2%</w:t>
            </w:r>
          </w:p>
        </w:tc>
        <w:tc>
          <w:tcPr>
            <w:tcW w:w="1017" w:type="dxa"/>
            <w:tcBorders>
              <w:top w:val="nil"/>
              <w:left w:val="nil"/>
              <w:bottom w:val="nil"/>
              <w:right w:val="nil"/>
            </w:tcBorders>
            <w:shd w:val="clear" w:color="auto" w:fill="auto"/>
            <w:noWrap/>
            <w:vAlign w:val="bottom"/>
            <w:hideMark/>
          </w:tcPr>
          <w:p w14:paraId="64F4BE88"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101.4%</w:t>
            </w:r>
          </w:p>
        </w:tc>
      </w:tr>
      <w:tr w:rsidR="00F7725C" w:rsidRPr="00A04732" w14:paraId="2BE14CF4"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FAC8DC5"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39C78A3F"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-19.7%</w:t>
            </w:r>
          </w:p>
        </w:tc>
        <w:tc>
          <w:tcPr>
            <w:tcW w:w="1080" w:type="dxa"/>
            <w:tcBorders>
              <w:top w:val="nil"/>
              <w:left w:val="nil"/>
              <w:bottom w:val="nil"/>
              <w:right w:val="nil"/>
            </w:tcBorders>
            <w:shd w:val="clear" w:color="auto" w:fill="auto"/>
            <w:noWrap/>
            <w:vAlign w:val="bottom"/>
            <w:hideMark/>
          </w:tcPr>
          <w:p w14:paraId="370F57E6"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-50.1%</w:t>
            </w:r>
          </w:p>
        </w:tc>
        <w:tc>
          <w:tcPr>
            <w:tcW w:w="920" w:type="dxa"/>
            <w:tcBorders>
              <w:top w:val="nil"/>
              <w:left w:val="nil"/>
              <w:bottom w:val="nil"/>
              <w:right w:val="nil"/>
            </w:tcBorders>
            <w:shd w:val="clear" w:color="auto" w:fill="auto"/>
            <w:noWrap/>
            <w:vAlign w:val="bottom"/>
            <w:hideMark/>
          </w:tcPr>
          <w:p w14:paraId="62ABD131"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2.0%</w:t>
            </w:r>
          </w:p>
        </w:tc>
        <w:tc>
          <w:tcPr>
            <w:tcW w:w="1184" w:type="dxa"/>
            <w:tcBorders>
              <w:top w:val="nil"/>
              <w:left w:val="nil"/>
              <w:bottom w:val="nil"/>
              <w:right w:val="nil"/>
            </w:tcBorders>
            <w:shd w:val="clear" w:color="auto" w:fill="auto"/>
            <w:noWrap/>
            <w:vAlign w:val="bottom"/>
            <w:hideMark/>
          </w:tcPr>
          <w:p w14:paraId="74853F4E"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12.3%</w:t>
            </w:r>
          </w:p>
        </w:tc>
        <w:tc>
          <w:tcPr>
            <w:tcW w:w="996" w:type="dxa"/>
            <w:tcBorders>
              <w:top w:val="nil"/>
              <w:left w:val="nil"/>
              <w:bottom w:val="nil"/>
              <w:right w:val="nil"/>
            </w:tcBorders>
            <w:shd w:val="clear" w:color="auto" w:fill="auto"/>
            <w:noWrap/>
            <w:vAlign w:val="bottom"/>
            <w:hideMark/>
          </w:tcPr>
          <w:p w14:paraId="36DA92DD"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-19.0%</w:t>
            </w:r>
          </w:p>
        </w:tc>
        <w:tc>
          <w:tcPr>
            <w:tcW w:w="1017" w:type="dxa"/>
            <w:tcBorders>
              <w:top w:val="nil"/>
              <w:left w:val="nil"/>
              <w:bottom w:val="nil"/>
              <w:right w:val="nil"/>
            </w:tcBorders>
            <w:shd w:val="clear" w:color="auto" w:fill="auto"/>
            <w:noWrap/>
            <w:vAlign w:val="bottom"/>
            <w:hideMark/>
          </w:tcPr>
          <w:p w14:paraId="7A41081D"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-28.7%</w:t>
            </w:r>
          </w:p>
        </w:tc>
      </w:tr>
      <w:tr w:rsidR="00F7725C" w:rsidRPr="00A04732" w14:paraId="25D2F035"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7D51EF66"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Emergency Department</w:t>
            </w:r>
          </w:p>
        </w:tc>
        <w:tc>
          <w:tcPr>
            <w:tcW w:w="840" w:type="dxa"/>
            <w:tcBorders>
              <w:top w:val="nil"/>
              <w:left w:val="nil"/>
              <w:bottom w:val="nil"/>
              <w:right w:val="nil"/>
            </w:tcBorders>
            <w:shd w:val="clear" w:color="auto" w:fill="auto"/>
            <w:noWrap/>
            <w:vAlign w:val="bottom"/>
            <w:hideMark/>
          </w:tcPr>
          <w:p w14:paraId="4B5A1630" w14:textId="77777777" w:rsidR="00F7725C" w:rsidRPr="005A6983"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5A120C46" w14:textId="77777777" w:rsidR="00F7725C" w:rsidRPr="005A6983"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016DB54C" w14:textId="77777777" w:rsidR="00F7725C" w:rsidRPr="005A6983"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68D0CC3F" w14:textId="77777777" w:rsidR="00F7725C" w:rsidRPr="005A6983" w:rsidRDefault="00F7725C" w:rsidP="00E72162">
            <w:pPr>
              <w:rPr>
                <w:rFonts w:cstheme="minorHAnsi"/>
                <w:sz w:val="22"/>
                <w:szCs w:val="22"/>
              </w:rPr>
            </w:pPr>
          </w:p>
        </w:tc>
        <w:tc>
          <w:tcPr>
            <w:tcW w:w="996" w:type="dxa"/>
            <w:tcBorders>
              <w:top w:val="nil"/>
              <w:left w:val="nil"/>
              <w:bottom w:val="nil"/>
              <w:right w:val="nil"/>
            </w:tcBorders>
            <w:shd w:val="clear" w:color="auto" w:fill="auto"/>
            <w:noWrap/>
            <w:vAlign w:val="bottom"/>
            <w:hideMark/>
          </w:tcPr>
          <w:p w14:paraId="2D386A1A" w14:textId="77777777" w:rsidR="00F7725C" w:rsidRPr="005A6983"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684B24E2" w14:textId="77777777" w:rsidR="00F7725C" w:rsidRPr="005A6983" w:rsidRDefault="00F7725C" w:rsidP="00E72162">
            <w:pPr>
              <w:rPr>
                <w:rFonts w:cstheme="minorHAnsi"/>
                <w:sz w:val="22"/>
                <w:szCs w:val="22"/>
              </w:rPr>
            </w:pPr>
          </w:p>
        </w:tc>
      </w:tr>
      <w:tr w:rsidR="00F7725C" w:rsidRPr="00A04732" w14:paraId="391BD524"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855EFA1"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03D6CD2E"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2.9%</w:t>
            </w:r>
          </w:p>
        </w:tc>
        <w:tc>
          <w:tcPr>
            <w:tcW w:w="1080" w:type="dxa"/>
            <w:tcBorders>
              <w:top w:val="nil"/>
              <w:left w:val="nil"/>
              <w:bottom w:val="nil"/>
              <w:right w:val="nil"/>
            </w:tcBorders>
            <w:shd w:val="clear" w:color="auto" w:fill="auto"/>
            <w:noWrap/>
            <w:vAlign w:val="bottom"/>
            <w:hideMark/>
          </w:tcPr>
          <w:p w14:paraId="628A2172"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-6.9%</w:t>
            </w:r>
          </w:p>
        </w:tc>
        <w:tc>
          <w:tcPr>
            <w:tcW w:w="920" w:type="dxa"/>
            <w:tcBorders>
              <w:top w:val="nil"/>
              <w:left w:val="nil"/>
              <w:bottom w:val="nil"/>
              <w:right w:val="nil"/>
            </w:tcBorders>
            <w:shd w:val="clear" w:color="auto" w:fill="auto"/>
            <w:noWrap/>
            <w:vAlign w:val="bottom"/>
            <w:hideMark/>
          </w:tcPr>
          <w:p w14:paraId="6831F40B"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-19.3%</w:t>
            </w:r>
          </w:p>
        </w:tc>
        <w:tc>
          <w:tcPr>
            <w:tcW w:w="1184" w:type="dxa"/>
            <w:tcBorders>
              <w:top w:val="nil"/>
              <w:left w:val="nil"/>
              <w:bottom w:val="nil"/>
              <w:right w:val="nil"/>
            </w:tcBorders>
            <w:shd w:val="clear" w:color="auto" w:fill="auto"/>
            <w:noWrap/>
            <w:vAlign w:val="bottom"/>
            <w:hideMark/>
          </w:tcPr>
          <w:p w14:paraId="5F6C3DD5"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12.7%</w:t>
            </w:r>
          </w:p>
        </w:tc>
        <w:tc>
          <w:tcPr>
            <w:tcW w:w="996" w:type="dxa"/>
            <w:tcBorders>
              <w:top w:val="nil"/>
              <w:left w:val="nil"/>
              <w:bottom w:val="nil"/>
              <w:right w:val="nil"/>
            </w:tcBorders>
            <w:shd w:val="clear" w:color="auto" w:fill="auto"/>
            <w:noWrap/>
            <w:vAlign w:val="bottom"/>
            <w:hideMark/>
          </w:tcPr>
          <w:p w14:paraId="568D0D89"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0.2%</w:t>
            </w:r>
          </w:p>
        </w:tc>
        <w:tc>
          <w:tcPr>
            <w:tcW w:w="1017" w:type="dxa"/>
            <w:tcBorders>
              <w:top w:val="nil"/>
              <w:left w:val="nil"/>
              <w:bottom w:val="nil"/>
              <w:right w:val="nil"/>
            </w:tcBorders>
            <w:shd w:val="clear" w:color="auto" w:fill="auto"/>
            <w:noWrap/>
            <w:vAlign w:val="bottom"/>
            <w:hideMark/>
          </w:tcPr>
          <w:p w14:paraId="7C4D35F4"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33.4%</w:t>
            </w:r>
          </w:p>
        </w:tc>
      </w:tr>
      <w:tr w:rsidR="00F7725C" w:rsidRPr="00A04732" w14:paraId="5CB43A21"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7BCC978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72DDDA8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-13.4%</w:t>
            </w:r>
          </w:p>
        </w:tc>
        <w:tc>
          <w:tcPr>
            <w:tcW w:w="1080" w:type="dxa"/>
            <w:tcBorders>
              <w:top w:val="nil"/>
              <w:left w:val="nil"/>
              <w:bottom w:val="nil"/>
              <w:right w:val="nil"/>
            </w:tcBorders>
            <w:shd w:val="clear" w:color="auto" w:fill="auto"/>
            <w:noWrap/>
            <w:vAlign w:val="bottom"/>
            <w:hideMark/>
          </w:tcPr>
          <w:p w14:paraId="441547C8"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1.6%</w:t>
            </w:r>
          </w:p>
        </w:tc>
        <w:tc>
          <w:tcPr>
            <w:tcW w:w="920" w:type="dxa"/>
            <w:tcBorders>
              <w:top w:val="nil"/>
              <w:left w:val="nil"/>
              <w:bottom w:val="nil"/>
              <w:right w:val="nil"/>
            </w:tcBorders>
            <w:shd w:val="clear" w:color="auto" w:fill="auto"/>
            <w:noWrap/>
            <w:vAlign w:val="bottom"/>
            <w:hideMark/>
          </w:tcPr>
          <w:p w14:paraId="7F6F9C4B"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-30.0%</w:t>
            </w:r>
          </w:p>
        </w:tc>
        <w:tc>
          <w:tcPr>
            <w:tcW w:w="1184" w:type="dxa"/>
            <w:tcBorders>
              <w:top w:val="nil"/>
              <w:left w:val="nil"/>
              <w:bottom w:val="nil"/>
              <w:right w:val="nil"/>
            </w:tcBorders>
            <w:shd w:val="clear" w:color="auto" w:fill="auto"/>
            <w:noWrap/>
            <w:vAlign w:val="bottom"/>
            <w:hideMark/>
          </w:tcPr>
          <w:p w14:paraId="77CBE4E0"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16.1%</w:t>
            </w:r>
          </w:p>
        </w:tc>
        <w:tc>
          <w:tcPr>
            <w:tcW w:w="996" w:type="dxa"/>
            <w:tcBorders>
              <w:top w:val="nil"/>
              <w:left w:val="nil"/>
              <w:bottom w:val="nil"/>
              <w:right w:val="nil"/>
            </w:tcBorders>
            <w:shd w:val="clear" w:color="auto" w:fill="auto"/>
            <w:noWrap/>
            <w:vAlign w:val="bottom"/>
            <w:hideMark/>
          </w:tcPr>
          <w:p w14:paraId="64185A7C"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4.3%</w:t>
            </w:r>
          </w:p>
        </w:tc>
        <w:tc>
          <w:tcPr>
            <w:tcW w:w="1017" w:type="dxa"/>
            <w:tcBorders>
              <w:top w:val="nil"/>
              <w:left w:val="nil"/>
              <w:bottom w:val="nil"/>
              <w:right w:val="nil"/>
            </w:tcBorders>
            <w:shd w:val="clear" w:color="auto" w:fill="auto"/>
            <w:noWrap/>
            <w:vAlign w:val="bottom"/>
            <w:hideMark/>
          </w:tcPr>
          <w:p w14:paraId="155443A8"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23.6%</w:t>
            </w:r>
          </w:p>
        </w:tc>
      </w:tr>
      <w:tr w:rsidR="00F7725C" w:rsidRPr="00A04732" w14:paraId="291CC81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0926E360"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Primary Care</w:t>
            </w:r>
          </w:p>
        </w:tc>
        <w:tc>
          <w:tcPr>
            <w:tcW w:w="840" w:type="dxa"/>
            <w:tcBorders>
              <w:top w:val="nil"/>
              <w:left w:val="nil"/>
              <w:bottom w:val="nil"/>
              <w:right w:val="nil"/>
            </w:tcBorders>
            <w:shd w:val="clear" w:color="auto" w:fill="auto"/>
            <w:noWrap/>
            <w:vAlign w:val="bottom"/>
            <w:hideMark/>
          </w:tcPr>
          <w:p w14:paraId="33ED961E" w14:textId="77777777" w:rsidR="00F7725C" w:rsidRPr="005A6983"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3CA4D83D" w14:textId="77777777" w:rsidR="00F7725C" w:rsidRPr="005A6983"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1B085FC0" w14:textId="77777777" w:rsidR="00F7725C" w:rsidRPr="005A6983"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2B4DF615" w14:textId="77777777" w:rsidR="00F7725C" w:rsidRPr="005A6983" w:rsidRDefault="00F7725C" w:rsidP="00E72162">
            <w:pPr>
              <w:rPr>
                <w:rFonts w:cstheme="minorHAnsi"/>
                <w:sz w:val="22"/>
                <w:szCs w:val="22"/>
              </w:rPr>
            </w:pPr>
          </w:p>
        </w:tc>
        <w:tc>
          <w:tcPr>
            <w:tcW w:w="996" w:type="dxa"/>
            <w:tcBorders>
              <w:top w:val="nil"/>
              <w:left w:val="nil"/>
              <w:bottom w:val="nil"/>
              <w:right w:val="nil"/>
            </w:tcBorders>
            <w:shd w:val="clear" w:color="auto" w:fill="auto"/>
            <w:noWrap/>
            <w:vAlign w:val="bottom"/>
            <w:hideMark/>
          </w:tcPr>
          <w:p w14:paraId="68E65958" w14:textId="77777777" w:rsidR="00F7725C" w:rsidRPr="005A6983"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67FE7D60" w14:textId="77777777" w:rsidR="00F7725C" w:rsidRPr="005A6983" w:rsidRDefault="00F7725C" w:rsidP="00E72162">
            <w:pPr>
              <w:rPr>
                <w:rFonts w:cstheme="minorHAnsi"/>
                <w:sz w:val="22"/>
                <w:szCs w:val="22"/>
              </w:rPr>
            </w:pPr>
          </w:p>
        </w:tc>
      </w:tr>
      <w:tr w:rsidR="00F7725C" w:rsidRPr="00A04732" w14:paraId="691069B7"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503593CB"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3273A05F"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9.1%</w:t>
            </w:r>
          </w:p>
        </w:tc>
        <w:tc>
          <w:tcPr>
            <w:tcW w:w="1080" w:type="dxa"/>
            <w:tcBorders>
              <w:top w:val="nil"/>
              <w:left w:val="nil"/>
              <w:bottom w:val="nil"/>
              <w:right w:val="nil"/>
            </w:tcBorders>
            <w:shd w:val="clear" w:color="auto" w:fill="auto"/>
            <w:noWrap/>
            <w:vAlign w:val="bottom"/>
            <w:hideMark/>
          </w:tcPr>
          <w:p w14:paraId="18DC3D3F"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6.5%</w:t>
            </w:r>
          </w:p>
        </w:tc>
        <w:tc>
          <w:tcPr>
            <w:tcW w:w="920" w:type="dxa"/>
            <w:tcBorders>
              <w:top w:val="nil"/>
              <w:left w:val="nil"/>
              <w:bottom w:val="nil"/>
              <w:right w:val="nil"/>
            </w:tcBorders>
            <w:shd w:val="clear" w:color="auto" w:fill="auto"/>
            <w:noWrap/>
            <w:vAlign w:val="bottom"/>
            <w:hideMark/>
          </w:tcPr>
          <w:p w14:paraId="54266078"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7.8%</w:t>
            </w:r>
          </w:p>
        </w:tc>
        <w:tc>
          <w:tcPr>
            <w:tcW w:w="1184" w:type="dxa"/>
            <w:tcBorders>
              <w:top w:val="nil"/>
              <w:left w:val="nil"/>
              <w:bottom w:val="nil"/>
              <w:right w:val="nil"/>
            </w:tcBorders>
            <w:shd w:val="clear" w:color="auto" w:fill="auto"/>
            <w:noWrap/>
            <w:vAlign w:val="bottom"/>
            <w:hideMark/>
          </w:tcPr>
          <w:p w14:paraId="5F4FB97A"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9.0%</w:t>
            </w:r>
          </w:p>
        </w:tc>
        <w:tc>
          <w:tcPr>
            <w:tcW w:w="996" w:type="dxa"/>
            <w:tcBorders>
              <w:top w:val="nil"/>
              <w:left w:val="nil"/>
              <w:bottom w:val="nil"/>
              <w:right w:val="nil"/>
            </w:tcBorders>
            <w:shd w:val="clear" w:color="auto" w:fill="auto"/>
            <w:noWrap/>
            <w:vAlign w:val="bottom"/>
            <w:hideMark/>
          </w:tcPr>
          <w:p w14:paraId="108B6E04"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9.6%</w:t>
            </w:r>
          </w:p>
        </w:tc>
        <w:tc>
          <w:tcPr>
            <w:tcW w:w="1017" w:type="dxa"/>
            <w:tcBorders>
              <w:top w:val="nil"/>
              <w:left w:val="nil"/>
              <w:bottom w:val="nil"/>
              <w:right w:val="nil"/>
            </w:tcBorders>
            <w:shd w:val="clear" w:color="auto" w:fill="auto"/>
            <w:noWrap/>
            <w:vAlign w:val="bottom"/>
            <w:hideMark/>
          </w:tcPr>
          <w:p w14:paraId="50084A1F"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-3.3%</w:t>
            </w:r>
          </w:p>
        </w:tc>
      </w:tr>
      <w:tr w:rsidR="00F7725C" w:rsidRPr="00A04732" w14:paraId="33A3A0EF"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35B4853F"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Second CCBHC Period</w:t>
            </w:r>
          </w:p>
        </w:tc>
        <w:tc>
          <w:tcPr>
            <w:tcW w:w="840" w:type="dxa"/>
            <w:tcBorders>
              <w:top w:val="nil"/>
              <w:left w:val="nil"/>
              <w:bottom w:val="nil"/>
              <w:right w:val="nil"/>
            </w:tcBorders>
            <w:shd w:val="clear" w:color="auto" w:fill="auto"/>
            <w:noWrap/>
            <w:vAlign w:val="bottom"/>
            <w:hideMark/>
          </w:tcPr>
          <w:p w14:paraId="69688DB6"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-4.6%</w:t>
            </w:r>
          </w:p>
        </w:tc>
        <w:tc>
          <w:tcPr>
            <w:tcW w:w="1080" w:type="dxa"/>
            <w:tcBorders>
              <w:top w:val="nil"/>
              <w:left w:val="nil"/>
              <w:bottom w:val="nil"/>
              <w:right w:val="nil"/>
            </w:tcBorders>
            <w:shd w:val="clear" w:color="auto" w:fill="auto"/>
            <w:noWrap/>
            <w:vAlign w:val="bottom"/>
            <w:hideMark/>
          </w:tcPr>
          <w:p w14:paraId="6B11786C"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-9.4%</w:t>
            </w:r>
          </w:p>
        </w:tc>
        <w:tc>
          <w:tcPr>
            <w:tcW w:w="920" w:type="dxa"/>
            <w:tcBorders>
              <w:top w:val="nil"/>
              <w:left w:val="nil"/>
              <w:bottom w:val="nil"/>
              <w:right w:val="nil"/>
            </w:tcBorders>
            <w:shd w:val="clear" w:color="auto" w:fill="auto"/>
            <w:noWrap/>
            <w:vAlign w:val="bottom"/>
            <w:hideMark/>
          </w:tcPr>
          <w:p w14:paraId="1845CA5D"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-18.8%</w:t>
            </w:r>
          </w:p>
        </w:tc>
        <w:tc>
          <w:tcPr>
            <w:tcW w:w="1184" w:type="dxa"/>
            <w:tcBorders>
              <w:top w:val="nil"/>
              <w:left w:val="nil"/>
              <w:bottom w:val="nil"/>
              <w:right w:val="nil"/>
            </w:tcBorders>
            <w:shd w:val="clear" w:color="auto" w:fill="auto"/>
            <w:noWrap/>
            <w:vAlign w:val="bottom"/>
            <w:hideMark/>
          </w:tcPr>
          <w:p w14:paraId="48710077"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-2.0%</w:t>
            </w:r>
          </w:p>
        </w:tc>
        <w:tc>
          <w:tcPr>
            <w:tcW w:w="996" w:type="dxa"/>
            <w:tcBorders>
              <w:top w:val="nil"/>
              <w:left w:val="nil"/>
              <w:bottom w:val="nil"/>
              <w:right w:val="nil"/>
            </w:tcBorders>
            <w:shd w:val="clear" w:color="auto" w:fill="auto"/>
            <w:noWrap/>
            <w:vAlign w:val="bottom"/>
            <w:hideMark/>
          </w:tcPr>
          <w:p w14:paraId="322BB54A"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-2.8%</w:t>
            </w:r>
          </w:p>
        </w:tc>
        <w:tc>
          <w:tcPr>
            <w:tcW w:w="1017" w:type="dxa"/>
            <w:tcBorders>
              <w:top w:val="nil"/>
              <w:left w:val="nil"/>
              <w:bottom w:val="nil"/>
              <w:right w:val="nil"/>
            </w:tcBorders>
            <w:shd w:val="clear" w:color="auto" w:fill="auto"/>
            <w:noWrap/>
            <w:vAlign w:val="bottom"/>
            <w:hideMark/>
          </w:tcPr>
          <w:p w14:paraId="51D6AC7A"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-16.6%</w:t>
            </w:r>
          </w:p>
        </w:tc>
      </w:tr>
      <w:tr w:rsidR="00F7725C" w:rsidRPr="00A04732" w14:paraId="77FF324C"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2761B7C8" w14:textId="77777777" w:rsidR="00F7725C" w:rsidRPr="005A6983" w:rsidRDefault="00F7725C" w:rsidP="00E72162">
            <w:pPr>
              <w:rPr>
                <w:rFonts w:cstheme="minorHAnsi"/>
                <w:b/>
                <w:bCs/>
                <w:color w:val="000000"/>
                <w:sz w:val="22"/>
                <w:szCs w:val="22"/>
              </w:rPr>
            </w:pPr>
            <w:r w:rsidRPr="005A6983">
              <w:rPr>
                <w:rFonts w:cstheme="minorHAnsi"/>
                <w:b/>
                <w:bCs/>
                <w:color w:val="000000"/>
                <w:sz w:val="22"/>
                <w:szCs w:val="22"/>
              </w:rPr>
              <w:t>Other Services</w:t>
            </w:r>
          </w:p>
        </w:tc>
        <w:tc>
          <w:tcPr>
            <w:tcW w:w="840" w:type="dxa"/>
            <w:tcBorders>
              <w:top w:val="nil"/>
              <w:left w:val="nil"/>
              <w:bottom w:val="nil"/>
              <w:right w:val="nil"/>
            </w:tcBorders>
            <w:shd w:val="clear" w:color="auto" w:fill="auto"/>
            <w:noWrap/>
            <w:vAlign w:val="bottom"/>
            <w:hideMark/>
          </w:tcPr>
          <w:p w14:paraId="6AD44E04" w14:textId="77777777" w:rsidR="00F7725C" w:rsidRPr="005A6983" w:rsidRDefault="00F7725C" w:rsidP="00E72162">
            <w:pPr>
              <w:rPr>
                <w:rFonts w:cstheme="minorHAnsi"/>
                <w:b/>
                <w:bCs/>
                <w:color w:val="000000"/>
                <w:sz w:val="22"/>
                <w:szCs w:val="22"/>
              </w:rPr>
            </w:pPr>
          </w:p>
        </w:tc>
        <w:tc>
          <w:tcPr>
            <w:tcW w:w="1080" w:type="dxa"/>
            <w:tcBorders>
              <w:top w:val="nil"/>
              <w:left w:val="nil"/>
              <w:bottom w:val="nil"/>
              <w:right w:val="nil"/>
            </w:tcBorders>
            <w:shd w:val="clear" w:color="auto" w:fill="auto"/>
            <w:noWrap/>
            <w:vAlign w:val="bottom"/>
            <w:hideMark/>
          </w:tcPr>
          <w:p w14:paraId="6DC1F1E7" w14:textId="77777777" w:rsidR="00F7725C" w:rsidRPr="005A6983" w:rsidRDefault="00F7725C" w:rsidP="00E72162">
            <w:pPr>
              <w:rPr>
                <w:rFonts w:cstheme="minorHAnsi"/>
                <w:sz w:val="22"/>
                <w:szCs w:val="22"/>
              </w:rPr>
            </w:pPr>
          </w:p>
        </w:tc>
        <w:tc>
          <w:tcPr>
            <w:tcW w:w="920" w:type="dxa"/>
            <w:tcBorders>
              <w:top w:val="nil"/>
              <w:left w:val="nil"/>
              <w:bottom w:val="nil"/>
              <w:right w:val="nil"/>
            </w:tcBorders>
            <w:shd w:val="clear" w:color="auto" w:fill="auto"/>
            <w:noWrap/>
            <w:vAlign w:val="bottom"/>
            <w:hideMark/>
          </w:tcPr>
          <w:p w14:paraId="446A0DE6" w14:textId="77777777" w:rsidR="00F7725C" w:rsidRPr="005A6983" w:rsidRDefault="00F7725C" w:rsidP="00E72162">
            <w:pPr>
              <w:rPr>
                <w:rFonts w:cstheme="minorHAnsi"/>
                <w:sz w:val="22"/>
                <w:szCs w:val="22"/>
              </w:rPr>
            </w:pPr>
          </w:p>
        </w:tc>
        <w:tc>
          <w:tcPr>
            <w:tcW w:w="1184" w:type="dxa"/>
            <w:tcBorders>
              <w:top w:val="nil"/>
              <w:left w:val="nil"/>
              <w:bottom w:val="nil"/>
              <w:right w:val="nil"/>
            </w:tcBorders>
            <w:shd w:val="clear" w:color="auto" w:fill="auto"/>
            <w:noWrap/>
            <w:vAlign w:val="bottom"/>
            <w:hideMark/>
          </w:tcPr>
          <w:p w14:paraId="33A40872" w14:textId="77777777" w:rsidR="00F7725C" w:rsidRPr="005A6983" w:rsidRDefault="00F7725C" w:rsidP="00E72162">
            <w:pPr>
              <w:rPr>
                <w:rFonts w:cstheme="minorHAnsi"/>
                <w:sz w:val="22"/>
                <w:szCs w:val="22"/>
              </w:rPr>
            </w:pPr>
          </w:p>
        </w:tc>
        <w:tc>
          <w:tcPr>
            <w:tcW w:w="996" w:type="dxa"/>
            <w:tcBorders>
              <w:top w:val="nil"/>
              <w:left w:val="nil"/>
              <w:bottom w:val="nil"/>
              <w:right w:val="nil"/>
            </w:tcBorders>
            <w:shd w:val="clear" w:color="auto" w:fill="auto"/>
            <w:noWrap/>
            <w:vAlign w:val="bottom"/>
            <w:hideMark/>
          </w:tcPr>
          <w:p w14:paraId="36E4D9BA" w14:textId="77777777" w:rsidR="00F7725C" w:rsidRPr="005A6983" w:rsidRDefault="00F7725C" w:rsidP="00E72162">
            <w:pPr>
              <w:rPr>
                <w:rFonts w:cstheme="minorHAnsi"/>
                <w:sz w:val="22"/>
                <w:szCs w:val="22"/>
              </w:rPr>
            </w:pPr>
          </w:p>
        </w:tc>
        <w:tc>
          <w:tcPr>
            <w:tcW w:w="1017" w:type="dxa"/>
            <w:tcBorders>
              <w:top w:val="nil"/>
              <w:left w:val="nil"/>
              <w:bottom w:val="nil"/>
              <w:right w:val="nil"/>
            </w:tcBorders>
            <w:shd w:val="clear" w:color="auto" w:fill="auto"/>
            <w:noWrap/>
            <w:vAlign w:val="bottom"/>
            <w:hideMark/>
          </w:tcPr>
          <w:p w14:paraId="04818605" w14:textId="77777777" w:rsidR="00F7725C" w:rsidRPr="005A6983" w:rsidRDefault="00F7725C" w:rsidP="00E72162">
            <w:pPr>
              <w:rPr>
                <w:rFonts w:cstheme="minorHAnsi"/>
                <w:sz w:val="22"/>
                <w:szCs w:val="22"/>
              </w:rPr>
            </w:pPr>
          </w:p>
        </w:tc>
      </w:tr>
      <w:tr w:rsidR="00F7725C" w:rsidRPr="00A04732" w14:paraId="671D80DA" w14:textId="77777777" w:rsidTr="00E72162">
        <w:trPr>
          <w:trHeight w:val="300"/>
          <w:jc w:val="center"/>
        </w:trPr>
        <w:tc>
          <w:tcPr>
            <w:tcW w:w="2540" w:type="dxa"/>
            <w:tcBorders>
              <w:top w:val="nil"/>
              <w:left w:val="nil"/>
              <w:bottom w:val="nil"/>
              <w:right w:val="nil"/>
            </w:tcBorders>
            <w:shd w:val="clear" w:color="auto" w:fill="auto"/>
            <w:noWrap/>
            <w:vAlign w:val="bottom"/>
            <w:hideMark/>
          </w:tcPr>
          <w:p w14:paraId="14398E90"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First CCBHC Period</w:t>
            </w:r>
          </w:p>
        </w:tc>
        <w:tc>
          <w:tcPr>
            <w:tcW w:w="840" w:type="dxa"/>
            <w:tcBorders>
              <w:top w:val="nil"/>
              <w:left w:val="nil"/>
              <w:bottom w:val="nil"/>
              <w:right w:val="nil"/>
            </w:tcBorders>
            <w:shd w:val="clear" w:color="auto" w:fill="auto"/>
            <w:noWrap/>
            <w:vAlign w:val="bottom"/>
            <w:hideMark/>
          </w:tcPr>
          <w:p w14:paraId="7F1EF503"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14.3%</w:t>
            </w:r>
          </w:p>
        </w:tc>
        <w:tc>
          <w:tcPr>
            <w:tcW w:w="1080" w:type="dxa"/>
            <w:tcBorders>
              <w:top w:val="nil"/>
              <w:left w:val="nil"/>
              <w:bottom w:val="nil"/>
              <w:right w:val="nil"/>
            </w:tcBorders>
            <w:shd w:val="clear" w:color="auto" w:fill="auto"/>
            <w:noWrap/>
            <w:vAlign w:val="bottom"/>
            <w:hideMark/>
          </w:tcPr>
          <w:p w14:paraId="61AA77F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9.9%</w:t>
            </w:r>
          </w:p>
        </w:tc>
        <w:tc>
          <w:tcPr>
            <w:tcW w:w="920" w:type="dxa"/>
            <w:tcBorders>
              <w:top w:val="nil"/>
              <w:left w:val="nil"/>
              <w:bottom w:val="nil"/>
              <w:right w:val="nil"/>
            </w:tcBorders>
            <w:shd w:val="clear" w:color="auto" w:fill="auto"/>
            <w:noWrap/>
            <w:vAlign w:val="bottom"/>
            <w:hideMark/>
          </w:tcPr>
          <w:p w14:paraId="63C90C94"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23.7%</w:t>
            </w:r>
          </w:p>
        </w:tc>
        <w:tc>
          <w:tcPr>
            <w:tcW w:w="1184" w:type="dxa"/>
            <w:tcBorders>
              <w:top w:val="nil"/>
              <w:left w:val="nil"/>
              <w:bottom w:val="nil"/>
              <w:right w:val="nil"/>
            </w:tcBorders>
            <w:shd w:val="clear" w:color="auto" w:fill="auto"/>
            <w:noWrap/>
            <w:vAlign w:val="bottom"/>
            <w:hideMark/>
          </w:tcPr>
          <w:p w14:paraId="32F47F67"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24.4%</w:t>
            </w:r>
          </w:p>
        </w:tc>
        <w:tc>
          <w:tcPr>
            <w:tcW w:w="996" w:type="dxa"/>
            <w:tcBorders>
              <w:top w:val="nil"/>
              <w:left w:val="nil"/>
              <w:bottom w:val="nil"/>
              <w:right w:val="nil"/>
            </w:tcBorders>
            <w:shd w:val="clear" w:color="auto" w:fill="auto"/>
            <w:noWrap/>
            <w:vAlign w:val="bottom"/>
            <w:hideMark/>
          </w:tcPr>
          <w:p w14:paraId="68C87300"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9.2%</w:t>
            </w:r>
          </w:p>
        </w:tc>
        <w:tc>
          <w:tcPr>
            <w:tcW w:w="1017" w:type="dxa"/>
            <w:tcBorders>
              <w:top w:val="nil"/>
              <w:left w:val="nil"/>
              <w:bottom w:val="nil"/>
              <w:right w:val="nil"/>
            </w:tcBorders>
            <w:shd w:val="clear" w:color="auto" w:fill="auto"/>
            <w:noWrap/>
            <w:vAlign w:val="bottom"/>
            <w:hideMark/>
          </w:tcPr>
          <w:p w14:paraId="6CF0A602"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19.0%</w:t>
            </w:r>
          </w:p>
        </w:tc>
      </w:tr>
      <w:tr w:rsidR="00F7725C" w:rsidRPr="00A04732" w14:paraId="3554AC91" w14:textId="77777777" w:rsidTr="00E72162">
        <w:trPr>
          <w:trHeight w:val="300"/>
          <w:jc w:val="center"/>
        </w:trPr>
        <w:tc>
          <w:tcPr>
            <w:tcW w:w="2540" w:type="dxa"/>
            <w:tcBorders>
              <w:top w:val="nil"/>
              <w:left w:val="nil"/>
              <w:bottom w:val="single" w:sz="4" w:space="0" w:color="auto"/>
              <w:right w:val="nil"/>
            </w:tcBorders>
            <w:shd w:val="clear" w:color="auto" w:fill="auto"/>
            <w:noWrap/>
            <w:vAlign w:val="bottom"/>
            <w:hideMark/>
          </w:tcPr>
          <w:p w14:paraId="71E51B36"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Second CCBHC Period</w:t>
            </w:r>
          </w:p>
        </w:tc>
        <w:tc>
          <w:tcPr>
            <w:tcW w:w="840" w:type="dxa"/>
            <w:tcBorders>
              <w:top w:val="nil"/>
              <w:left w:val="nil"/>
              <w:bottom w:val="single" w:sz="4" w:space="0" w:color="auto"/>
              <w:right w:val="nil"/>
            </w:tcBorders>
            <w:shd w:val="clear" w:color="auto" w:fill="auto"/>
            <w:noWrap/>
            <w:vAlign w:val="bottom"/>
            <w:hideMark/>
          </w:tcPr>
          <w:p w14:paraId="7D51D5A8"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90.0%</w:t>
            </w:r>
          </w:p>
        </w:tc>
        <w:tc>
          <w:tcPr>
            <w:tcW w:w="1080" w:type="dxa"/>
            <w:tcBorders>
              <w:top w:val="nil"/>
              <w:left w:val="nil"/>
              <w:bottom w:val="single" w:sz="4" w:space="0" w:color="auto"/>
              <w:right w:val="nil"/>
            </w:tcBorders>
            <w:shd w:val="clear" w:color="auto" w:fill="auto"/>
            <w:noWrap/>
            <w:vAlign w:val="bottom"/>
            <w:hideMark/>
          </w:tcPr>
          <w:p w14:paraId="477E95BA"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1.4%</w:t>
            </w:r>
          </w:p>
        </w:tc>
        <w:tc>
          <w:tcPr>
            <w:tcW w:w="920" w:type="dxa"/>
            <w:tcBorders>
              <w:top w:val="nil"/>
              <w:left w:val="nil"/>
              <w:bottom w:val="single" w:sz="4" w:space="0" w:color="auto"/>
              <w:right w:val="nil"/>
            </w:tcBorders>
            <w:shd w:val="clear" w:color="auto" w:fill="auto"/>
            <w:noWrap/>
            <w:vAlign w:val="bottom"/>
            <w:hideMark/>
          </w:tcPr>
          <w:p w14:paraId="5E42D89C"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8.2%</w:t>
            </w:r>
          </w:p>
        </w:tc>
        <w:tc>
          <w:tcPr>
            <w:tcW w:w="1184" w:type="dxa"/>
            <w:tcBorders>
              <w:top w:val="nil"/>
              <w:left w:val="nil"/>
              <w:bottom w:val="single" w:sz="4" w:space="0" w:color="auto"/>
              <w:right w:val="nil"/>
            </w:tcBorders>
            <w:shd w:val="clear" w:color="auto" w:fill="auto"/>
            <w:noWrap/>
            <w:vAlign w:val="bottom"/>
            <w:hideMark/>
          </w:tcPr>
          <w:p w14:paraId="457CC2EC"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16.4%</w:t>
            </w:r>
          </w:p>
        </w:tc>
        <w:tc>
          <w:tcPr>
            <w:tcW w:w="996" w:type="dxa"/>
            <w:tcBorders>
              <w:top w:val="nil"/>
              <w:left w:val="nil"/>
              <w:bottom w:val="single" w:sz="4" w:space="0" w:color="auto"/>
              <w:right w:val="nil"/>
            </w:tcBorders>
            <w:shd w:val="clear" w:color="auto" w:fill="auto"/>
            <w:noWrap/>
            <w:vAlign w:val="bottom"/>
            <w:hideMark/>
          </w:tcPr>
          <w:p w14:paraId="5E4EA0F0" w14:textId="77777777" w:rsidR="00F7725C" w:rsidRPr="00FE71C3" w:rsidRDefault="00F7725C" w:rsidP="00E72162">
            <w:pPr>
              <w:jc w:val="right"/>
              <w:rPr>
                <w:rFonts w:cstheme="minorHAnsi"/>
                <w:b/>
                <w:bCs/>
                <w:i/>
                <w:color w:val="000000"/>
                <w:sz w:val="22"/>
                <w:szCs w:val="22"/>
              </w:rPr>
            </w:pPr>
            <w:r w:rsidRPr="00FE71C3">
              <w:rPr>
                <w:rFonts w:cstheme="minorHAnsi"/>
                <w:b/>
                <w:bCs/>
                <w:i/>
                <w:color w:val="000000"/>
                <w:sz w:val="22"/>
                <w:szCs w:val="22"/>
              </w:rPr>
              <w:t>15.4%</w:t>
            </w:r>
          </w:p>
        </w:tc>
        <w:tc>
          <w:tcPr>
            <w:tcW w:w="1017" w:type="dxa"/>
            <w:tcBorders>
              <w:top w:val="nil"/>
              <w:left w:val="nil"/>
              <w:bottom w:val="single" w:sz="4" w:space="0" w:color="auto"/>
              <w:right w:val="nil"/>
            </w:tcBorders>
            <w:shd w:val="clear" w:color="auto" w:fill="auto"/>
            <w:noWrap/>
            <w:vAlign w:val="bottom"/>
            <w:hideMark/>
          </w:tcPr>
          <w:p w14:paraId="098102CA" w14:textId="77777777" w:rsidR="00F7725C" w:rsidRPr="005A6983" w:rsidRDefault="00F7725C" w:rsidP="00E72162">
            <w:pPr>
              <w:jc w:val="right"/>
              <w:rPr>
                <w:rFonts w:cstheme="minorHAnsi"/>
                <w:color w:val="000000"/>
                <w:sz w:val="22"/>
                <w:szCs w:val="22"/>
              </w:rPr>
            </w:pPr>
            <w:r w:rsidRPr="005A6983">
              <w:rPr>
                <w:rFonts w:cstheme="minorHAnsi"/>
                <w:color w:val="000000"/>
                <w:sz w:val="22"/>
                <w:szCs w:val="22"/>
              </w:rPr>
              <w:t>19.7%</w:t>
            </w:r>
          </w:p>
        </w:tc>
      </w:tr>
    </w:tbl>
    <w:p w14:paraId="7FF969C8" w14:textId="77777777" w:rsidR="00E847F0" w:rsidRPr="005A6983" w:rsidRDefault="00E847F0" w:rsidP="00E847F0">
      <w:pPr>
        <w:rPr>
          <w:rFonts w:eastAsia="Calibri" w:cstheme="minorHAnsi"/>
          <w:sz w:val="22"/>
          <w:szCs w:val="22"/>
        </w:rPr>
      </w:pPr>
    </w:p>
    <w:p w14:paraId="1E5C2A26" w14:textId="77777777" w:rsidR="00E847F0" w:rsidRPr="005A6983" w:rsidRDefault="00E847F0" w:rsidP="00E847F0">
      <w:pPr>
        <w:rPr>
          <w:rFonts w:eastAsia="Calibri" w:cstheme="minorHAnsi"/>
          <w:sz w:val="22"/>
          <w:szCs w:val="22"/>
        </w:rPr>
      </w:pPr>
      <w:r w:rsidRPr="005A6983">
        <w:rPr>
          <w:rFonts w:eastAsia="Calibri" w:cstheme="minorHAnsi"/>
          <w:sz w:val="22"/>
          <w:szCs w:val="22"/>
        </w:rPr>
        <w:br w:type="page"/>
      </w:r>
    </w:p>
    <w:p w14:paraId="50C9BD75" w14:textId="3CF49107" w:rsidR="00E847F0" w:rsidRPr="00000D4B" w:rsidRDefault="00E847F0" w:rsidP="00E847F0">
      <w:pPr>
        <w:ind w:left="1152" w:hanging="1152"/>
        <w:jc w:val="center"/>
        <w:rPr>
          <w:rFonts w:eastAsia="Calibri" w:cstheme="minorHAnsi"/>
          <w:b/>
          <w:bCs/>
          <w:color w:val="6A7F0F"/>
          <w:sz w:val="22"/>
          <w:szCs w:val="22"/>
        </w:rPr>
      </w:pPr>
      <w:bookmarkStart w:id="152" w:name="Appendix6_Table_A67h"/>
      <w:r w:rsidRPr="00000D4B">
        <w:rPr>
          <w:rFonts w:eastAsia="Calibri" w:cstheme="minorHAnsi"/>
          <w:b/>
          <w:bCs/>
          <w:color w:val="6A7F0F"/>
          <w:sz w:val="22"/>
          <w:szCs w:val="22"/>
        </w:rPr>
        <w:t>Table A</w:t>
      </w:r>
      <w:r w:rsidR="0067134D" w:rsidRPr="00000D4B">
        <w:rPr>
          <w:rFonts w:eastAsia="Calibri" w:cstheme="minorHAnsi"/>
          <w:b/>
          <w:bCs/>
          <w:color w:val="6A7F0F"/>
          <w:sz w:val="22"/>
          <w:szCs w:val="22"/>
        </w:rPr>
        <w:t>7</w:t>
      </w:r>
      <w:r w:rsidRPr="00000D4B">
        <w:rPr>
          <w:rFonts w:eastAsia="Calibri" w:cstheme="minorHAnsi"/>
          <w:b/>
          <w:bCs/>
          <w:color w:val="6A7F0F"/>
          <w:sz w:val="22"/>
          <w:szCs w:val="22"/>
        </w:rPr>
        <w:t xml:space="preserve">.7h: Change in Physical Health Related Expenditure Levels per Person for </w:t>
      </w:r>
    </w:p>
    <w:p w14:paraId="6676208C" w14:textId="77777777" w:rsidR="00E847F0" w:rsidRPr="00000D4B" w:rsidRDefault="00E847F0" w:rsidP="00E847F0">
      <w:pPr>
        <w:ind w:left="1152" w:hanging="1152"/>
        <w:jc w:val="center"/>
        <w:rPr>
          <w:rFonts w:cstheme="minorHAnsi"/>
          <w:b/>
          <w:bCs/>
          <w:color w:val="6A7F0F"/>
          <w:sz w:val="22"/>
          <w:szCs w:val="22"/>
        </w:rPr>
      </w:pPr>
      <w:r w:rsidRPr="00000D4B">
        <w:rPr>
          <w:rFonts w:eastAsia="Calibri" w:cstheme="minorHAnsi"/>
          <w:b/>
          <w:bCs/>
          <w:color w:val="6A7F0F"/>
          <w:sz w:val="22"/>
          <w:szCs w:val="22"/>
        </w:rPr>
        <w:t xml:space="preserve">CCBHC OHP Members by Service Type </w:t>
      </w:r>
      <w:r w:rsidRPr="00000D4B">
        <w:rPr>
          <w:rFonts w:cstheme="minorHAnsi"/>
          <w:b/>
          <w:bCs/>
          <w:color w:val="6A7F0F"/>
          <w:sz w:val="22"/>
          <w:szCs w:val="22"/>
        </w:rPr>
        <w:t>Overall and by Place of Residence</w:t>
      </w:r>
    </w:p>
    <w:bookmarkEnd w:id="152"/>
    <w:p w14:paraId="5CCB7C0A" w14:textId="77777777" w:rsidR="00E847F0" w:rsidRDefault="00E847F0" w:rsidP="00E847F0">
      <w:pPr>
        <w:ind w:left="1152" w:hanging="1152"/>
        <w:jc w:val="center"/>
        <w:rPr>
          <w:rFonts w:cstheme="minorHAnsi"/>
          <w:sz w:val="22"/>
          <w:szCs w:val="22"/>
          <w:u w:val="single"/>
        </w:rPr>
      </w:pPr>
    </w:p>
    <w:p w14:paraId="2E3CDDB4" w14:textId="77777777" w:rsidR="00E847F0" w:rsidRPr="005A6983" w:rsidRDefault="00E847F0" w:rsidP="00E847F0">
      <w:pPr>
        <w:ind w:left="1152" w:hanging="1152"/>
        <w:jc w:val="center"/>
        <w:rPr>
          <w:rFonts w:cstheme="minorHAnsi"/>
          <w:b/>
          <w:sz w:val="22"/>
          <w:szCs w:val="22"/>
        </w:rPr>
      </w:pPr>
    </w:p>
    <w:tbl>
      <w:tblPr>
        <w:tblW w:w="0" w:type="auto"/>
        <w:jc w:val="center"/>
        <w:tblLayout w:type="fixed"/>
        <w:tblLook w:val="0000" w:firstRow="0" w:lastRow="0" w:firstColumn="0" w:lastColumn="0" w:noHBand="0" w:noVBand="0"/>
      </w:tblPr>
      <w:tblGrid>
        <w:gridCol w:w="2707"/>
        <w:gridCol w:w="951"/>
        <w:gridCol w:w="1032"/>
        <w:gridCol w:w="1032"/>
      </w:tblGrid>
      <w:tr w:rsidR="00F7725C" w:rsidRPr="00DA605E" w14:paraId="3DBB93CB" w14:textId="77777777" w:rsidTr="00E72162">
        <w:trPr>
          <w:trHeight w:val="290"/>
          <w:jc w:val="center"/>
        </w:trPr>
        <w:tc>
          <w:tcPr>
            <w:tcW w:w="2707" w:type="dxa"/>
            <w:tcBorders>
              <w:top w:val="nil"/>
              <w:left w:val="nil"/>
              <w:bottom w:val="nil"/>
              <w:right w:val="nil"/>
            </w:tcBorders>
          </w:tcPr>
          <w:p w14:paraId="38C1AE9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Physical Health</w:t>
            </w:r>
          </w:p>
        </w:tc>
        <w:tc>
          <w:tcPr>
            <w:tcW w:w="951" w:type="dxa"/>
            <w:tcBorders>
              <w:top w:val="nil"/>
              <w:left w:val="nil"/>
              <w:bottom w:val="nil"/>
              <w:right w:val="nil"/>
            </w:tcBorders>
          </w:tcPr>
          <w:p w14:paraId="7952D1C8"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All</w:t>
            </w:r>
          </w:p>
        </w:tc>
        <w:tc>
          <w:tcPr>
            <w:tcW w:w="1032" w:type="dxa"/>
            <w:tcBorders>
              <w:top w:val="nil"/>
              <w:left w:val="nil"/>
              <w:bottom w:val="nil"/>
              <w:right w:val="nil"/>
            </w:tcBorders>
          </w:tcPr>
          <w:p w14:paraId="7946CF14"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p>
        </w:tc>
        <w:tc>
          <w:tcPr>
            <w:tcW w:w="1032" w:type="dxa"/>
            <w:tcBorders>
              <w:top w:val="nil"/>
              <w:left w:val="nil"/>
              <w:bottom w:val="nil"/>
              <w:right w:val="nil"/>
            </w:tcBorders>
          </w:tcPr>
          <w:p w14:paraId="2C8321FC"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Rural or</w:t>
            </w:r>
          </w:p>
        </w:tc>
      </w:tr>
      <w:tr w:rsidR="00F7725C" w:rsidRPr="00DA605E" w14:paraId="788D96E3" w14:textId="77777777" w:rsidTr="00E72162">
        <w:trPr>
          <w:trHeight w:val="290"/>
          <w:jc w:val="center"/>
        </w:trPr>
        <w:tc>
          <w:tcPr>
            <w:tcW w:w="2707" w:type="dxa"/>
            <w:tcBorders>
              <w:top w:val="nil"/>
              <w:left w:val="nil"/>
              <w:bottom w:val="single" w:sz="6" w:space="0" w:color="auto"/>
              <w:right w:val="nil"/>
            </w:tcBorders>
          </w:tcPr>
          <w:p w14:paraId="6021A504"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Expenditures per Person</w:t>
            </w:r>
          </w:p>
        </w:tc>
        <w:tc>
          <w:tcPr>
            <w:tcW w:w="951" w:type="dxa"/>
            <w:tcBorders>
              <w:top w:val="nil"/>
              <w:left w:val="nil"/>
              <w:bottom w:val="single" w:sz="6" w:space="0" w:color="auto"/>
              <w:right w:val="nil"/>
            </w:tcBorders>
          </w:tcPr>
          <w:p w14:paraId="05C4753B"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CCBHC</w:t>
            </w:r>
          </w:p>
        </w:tc>
        <w:tc>
          <w:tcPr>
            <w:tcW w:w="1032" w:type="dxa"/>
            <w:tcBorders>
              <w:top w:val="nil"/>
              <w:left w:val="nil"/>
              <w:bottom w:val="single" w:sz="6" w:space="0" w:color="auto"/>
              <w:right w:val="nil"/>
            </w:tcBorders>
          </w:tcPr>
          <w:p w14:paraId="5CD205B0"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Urban</w:t>
            </w:r>
          </w:p>
        </w:tc>
        <w:tc>
          <w:tcPr>
            <w:tcW w:w="1032" w:type="dxa"/>
            <w:tcBorders>
              <w:top w:val="nil"/>
              <w:left w:val="nil"/>
              <w:bottom w:val="single" w:sz="6" w:space="0" w:color="auto"/>
              <w:right w:val="nil"/>
            </w:tcBorders>
          </w:tcPr>
          <w:p w14:paraId="0031260E" w14:textId="77777777" w:rsidR="00F7725C" w:rsidRPr="00DA605E" w:rsidRDefault="00F7725C" w:rsidP="00E72162">
            <w:pPr>
              <w:autoSpaceDE w:val="0"/>
              <w:autoSpaceDN w:val="0"/>
              <w:adjustRightInd w:val="0"/>
              <w:jc w:val="center"/>
              <w:rPr>
                <w:rFonts w:ascii="Calibri" w:hAnsi="Calibri" w:cs="Calibri"/>
                <w:b/>
                <w:bCs/>
                <w:color w:val="000000"/>
                <w:sz w:val="22"/>
                <w:szCs w:val="22"/>
              </w:rPr>
            </w:pPr>
            <w:r w:rsidRPr="00DA605E">
              <w:rPr>
                <w:rFonts w:ascii="Calibri" w:hAnsi="Calibri" w:cs="Calibri"/>
                <w:b/>
                <w:bCs/>
                <w:color w:val="000000"/>
                <w:sz w:val="22"/>
                <w:szCs w:val="22"/>
              </w:rPr>
              <w:t>Remote</w:t>
            </w:r>
          </w:p>
        </w:tc>
      </w:tr>
      <w:tr w:rsidR="00F7725C" w:rsidRPr="00DA605E" w14:paraId="2311DEEE" w14:textId="77777777" w:rsidTr="00E72162">
        <w:trPr>
          <w:trHeight w:val="290"/>
          <w:jc w:val="center"/>
        </w:trPr>
        <w:tc>
          <w:tcPr>
            <w:tcW w:w="2707" w:type="dxa"/>
            <w:tcBorders>
              <w:top w:val="nil"/>
              <w:left w:val="nil"/>
              <w:bottom w:val="nil"/>
              <w:right w:val="nil"/>
            </w:tcBorders>
          </w:tcPr>
          <w:p w14:paraId="6AE27E52"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Total</w:t>
            </w:r>
          </w:p>
        </w:tc>
        <w:tc>
          <w:tcPr>
            <w:tcW w:w="951" w:type="dxa"/>
            <w:tcBorders>
              <w:top w:val="nil"/>
              <w:left w:val="nil"/>
              <w:bottom w:val="nil"/>
              <w:right w:val="nil"/>
            </w:tcBorders>
          </w:tcPr>
          <w:p w14:paraId="0E1501C2"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6F12D97"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D6EE9F2"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7960EDA6" w14:textId="77777777" w:rsidTr="00E72162">
        <w:trPr>
          <w:trHeight w:val="290"/>
          <w:jc w:val="center"/>
        </w:trPr>
        <w:tc>
          <w:tcPr>
            <w:tcW w:w="2707" w:type="dxa"/>
            <w:tcBorders>
              <w:top w:val="nil"/>
              <w:left w:val="nil"/>
              <w:bottom w:val="nil"/>
              <w:right w:val="nil"/>
            </w:tcBorders>
          </w:tcPr>
          <w:p w14:paraId="7FA2073B"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05FC5A2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3.7%</w:t>
            </w:r>
          </w:p>
        </w:tc>
        <w:tc>
          <w:tcPr>
            <w:tcW w:w="1032" w:type="dxa"/>
            <w:tcBorders>
              <w:top w:val="nil"/>
              <w:left w:val="nil"/>
              <w:bottom w:val="nil"/>
              <w:right w:val="nil"/>
            </w:tcBorders>
          </w:tcPr>
          <w:p w14:paraId="3D1C07A7"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6.4%</w:t>
            </w:r>
          </w:p>
        </w:tc>
        <w:tc>
          <w:tcPr>
            <w:tcW w:w="1032" w:type="dxa"/>
            <w:tcBorders>
              <w:top w:val="nil"/>
              <w:left w:val="nil"/>
              <w:bottom w:val="nil"/>
              <w:right w:val="nil"/>
            </w:tcBorders>
          </w:tcPr>
          <w:p w14:paraId="775E57F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0.2%</w:t>
            </w:r>
          </w:p>
        </w:tc>
      </w:tr>
      <w:tr w:rsidR="00F7725C" w:rsidRPr="00DA605E" w14:paraId="0BB46734" w14:textId="77777777" w:rsidTr="00E72162">
        <w:trPr>
          <w:trHeight w:val="290"/>
          <w:jc w:val="center"/>
        </w:trPr>
        <w:tc>
          <w:tcPr>
            <w:tcW w:w="2707" w:type="dxa"/>
            <w:tcBorders>
              <w:top w:val="nil"/>
              <w:left w:val="nil"/>
              <w:bottom w:val="nil"/>
              <w:right w:val="nil"/>
            </w:tcBorders>
          </w:tcPr>
          <w:p w14:paraId="1689FA8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465E002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1.8%</w:t>
            </w:r>
          </w:p>
        </w:tc>
        <w:tc>
          <w:tcPr>
            <w:tcW w:w="1032" w:type="dxa"/>
            <w:tcBorders>
              <w:top w:val="nil"/>
              <w:left w:val="nil"/>
              <w:bottom w:val="nil"/>
              <w:right w:val="nil"/>
            </w:tcBorders>
          </w:tcPr>
          <w:p w14:paraId="1F391849"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-0.6%</w:t>
            </w:r>
          </w:p>
        </w:tc>
        <w:tc>
          <w:tcPr>
            <w:tcW w:w="1032" w:type="dxa"/>
            <w:tcBorders>
              <w:top w:val="nil"/>
              <w:left w:val="nil"/>
              <w:bottom w:val="nil"/>
              <w:right w:val="nil"/>
            </w:tcBorders>
          </w:tcPr>
          <w:p w14:paraId="6C6577DE" w14:textId="77777777" w:rsidR="00F7725C" w:rsidRPr="00DA605E" w:rsidRDefault="00F7725C" w:rsidP="00E72162">
            <w:pPr>
              <w:autoSpaceDE w:val="0"/>
              <w:autoSpaceDN w:val="0"/>
              <w:adjustRightInd w:val="0"/>
              <w:jc w:val="right"/>
              <w:rPr>
                <w:rFonts w:ascii="Calibri" w:hAnsi="Calibri" w:cs="Calibri"/>
                <w:b/>
                <w:bCs/>
                <w:color w:val="000000"/>
                <w:sz w:val="22"/>
                <w:szCs w:val="22"/>
              </w:rPr>
            </w:pPr>
            <w:r w:rsidRPr="00DA605E">
              <w:rPr>
                <w:rFonts w:ascii="Calibri" w:hAnsi="Calibri" w:cs="Calibri"/>
                <w:b/>
                <w:bCs/>
                <w:color w:val="000000"/>
                <w:sz w:val="22"/>
                <w:szCs w:val="22"/>
              </w:rPr>
              <w:t>5.0%</w:t>
            </w:r>
          </w:p>
        </w:tc>
      </w:tr>
      <w:tr w:rsidR="00F7725C" w:rsidRPr="00DA605E" w14:paraId="035C1C59" w14:textId="77777777" w:rsidTr="00E72162">
        <w:trPr>
          <w:trHeight w:val="290"/>
          <w:jc w:val="center"/>
        </w:trPr>
        <w:tc>
          <w:tcPr>
            <w:tcW w:w="2707" w:type="dxa"/>
            <w:tcBorders>
              <w:top w:val="nil"/>
              <w:left w:val="nil"/>
              <w:bottom w:val="nil"/>
              <w:right w:val="nil"/>
            </w:tcBorders>
          </w:tcPr>
          <w:p w14:paraId="22E7EA9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Inpatient</w:t>
            </w:r>
          </w:p>
        </w:tc>
        <w:tc>
          <w:tcPr>
            <w:tcW w:w="951" w:type="dxa"/>
            <w:tcBorders>
              <w:top w:val="nil"/>
              <w:left w:val="nil"/>
              <w:bottom w:val="nil"/>
              <w:right w:val="nil"/>
            </w:tcBorders>
          </w:tcPr>
          <w:p w14:paraId="361E8AC1"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CBDCBEE"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8453DAF"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13784913" w14:textId="77777777" w:rsidTr="00E72162">
        <w:trPr>
          <w:trHeight w:val="290"/>
          <w:jc w:val="center"/>
        </w:trPr>
        <w:tc>
          <w:tcPr>
            <w:tcW w:w="2707" w:type="dxa"/>
            <w:tcBorders>
              <w:top w:val="nil"/>
              <w:left w:val="nil"/>
              <w:bottom w:val="nil"/>
              <w:right w:val="nil"/>
            </w:tcBorders>
          </w:tcPr>
          <w:p w14:paraId="7FB8378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593734E5"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-15.3%</w:t>
            </w:r>
          </w:p>
        </w:tc>
        <w:tc>
          <w:tcPr>
            <w:tcW w:w="1032" w:type="dxa"/>
            <w:tcBorders>
              <w:top w:val="nil"/>
              <w:left w:val="nil"/>
              <w:bottom w:val="nil"/>
              <w:right w:val="nil"/>
            </w:tcBorders>
          </w:tcPr>
          <w:p w14:paraId="35F522F6"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-21.2%</w:t>
            </w:r>
          </w:p>
        </w:tc>
        <w:tc>
          <w:tcPr>
            <w:tcW w:w="1032" w:type="dxa"/>
            <w:tcBorders>
              <w:top w:val="nil"/>
              <w:left w:val="nil"/>
              <w:bottom w:val="nil"/>
              <w:right w:val="nil"/>
            </w:tcBorders>
          </w:tcPr>
          <w:p w14:paraId="184B152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-4.8%</w:t>
            </w:r>
          </w:p>
        </w:tc>
      </w:tr>
      <w:tr w:rsidR="00F7725C" w:rsidRPr="00DA605E" w14:paraId="30F78E9C" w14:textId="77777777" w:rsidTr="00E72162">
        <w:trPr>
          <w:trHeight w:val="290"/>
          <w:jc w:val="center"/>
        </w:trPr>
        <w:tc>
          <w:tcPr>
            <w:tcW w:w="2707" w:type="dxa"/>
            <w:tcBorders>
              <w:top w:val="nil"/>
              <w:left w:val="nil"/>
              <w:bottom w:val="nil"/>
              <w:right w:val="nil"/>
            </w:tcBorders>
          </w:tcPr>
          <w:p w14:paraId="08981CB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4E919462"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-19.7%</w:t>
            </w:r>
          </w:p>
        </w:tc>
        <w:tc>
          <w:tcPr>
            <w:tcW w:w="1032" w:type="dxa"/>
            <w:tcBorders>
              <w:top w:val="nil"/>
              <w:left w:val="nil"/>
              <w:bottom w:val="nil"/>
              <w:right w:val="nil"/>
            </w:tcBorders>
          </w:tcPr>
          <w:p w14:paraId="41F64486"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-29.6%</w:t>
            </w:r>
          </w:p>
        </w:tc>
        <w:tc>
          <w:tcPr>
            <w:tcW w:w="1032" w:type="dxa"/>
            <w:tcBorders>
              <w:top w:val="nil"/>
              <w:left w:val="nil"/>
              <w:bottom w:val="nil"/>
              <w:right w:val="nil"/>
            </w:tcBorders>
          </w:tcPr>
          <w:p w14:paraId="1FAFA91D"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-5.7%</w:t>
            </w:r>
          </w:p>
        </w:tc>
      </w:tr>
      <w:tr w:rsidR="00F7725C" w:rsidRPr="00DA605E" w14:paraId="3243E4C6" w14:textId="77777777" w:rsidTr="00E72162">
        <w:trPr>
          <w:trHeight w:val="290"/>
          <w:jc w:val="center"/>
        </w:trPr>
        <w:tc>
          <w:tcPr>
            <w:tcW w:w="2707" w:type="dxa"/>
            <w:tcBorders>
              <w:top w:val="nil"/>
              <w:left w:val="nil"/>
              <w:bottom w:val="nil"/>
              <w:right w:val="nil"/>
            </w:tcBorders>
          </w:tcPr>
          <w:p w14:paraId="2426BEAE"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Emergency Department</w:t>
            </w:r>
          </w:p>
        </w:tc>
        <w:tc>
          <w:tcPr>
            <w:tcW w:w="951" w:type="dxa"/>
            <w:tcBorders>
              <w:top w:val="nil"/>
              <w:left w:val="nil"/>
              <w:bottom w:val="nil"/>
              <w:right w:val="nil"/>
            </w:tcBorders>
          </w:tcPr>
          <w:p w14:paraId="7D6DE20A"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7B8588C0"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4CDC15FA"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3F2D2051" w14:textId="77777777" w:rsidTr="00E72162">
        <w:trPr>
          <w:trHeight w:val="290"/>
          <w:jc w:val="center"/>
        </w:trPr>
        <w:tc>
          <w:tcPr>
            <w:tcW w:w="2707" w:type="dxa"/>
            <w:tcBorders>
              <w:top w:val="nil"/>
              <w:left w:val="nil"/>
              <w:bottom w:val="nil"/>
              <w:right w:val="nil"/>
            </w:tcBorders>
          </w:tcPr>
          <w:p w14:paraId="71AC484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795EEA5E"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2.9%</w:t>
            </w:r>
          </w:p>
        </w:tc>
        <w:tc>
          <w:tcPr>
            <w:tcW w:w="1032" w:type="dxa"/>
            <w:tcBorders>
              <w:top w:val="nil"/>
              <w:left w:val="nil"/>
              <w:bottom w:val="nil"/>
              <w:right w:val="nil"/>
            </w:tcBorders>
          </w:tcPr>
          <w:p w14:paraId="4952191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-0.4%</w:t>
            </w:r>
          </w:p>
        </w:tc>
        <w:tc>
          <w:tcPr>
            <w:tcW w:w="1032" w:type="dxa"/>
            <w:tcBorders>
              <w:top w:val="nil"/>
              <w:left w:val="nil"/>
              <w:bottom w:val="nil"/>
              <w:right w:val="nil"/>
            </w:tcBorders>
          </w:tcPr>
          <w:p w14:paraId="6D99C52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2.7%</w:t>
            </w:r>
          </w:p>
        </w:tc>
      </w:tr>
      <w:tr w:rsidR="00F7725C" w:rsidRPr="00DA605E" w14:paraId="33E4540C" w14:textId="77777777" w:rsidTr="00E72162">
        <w:trPr>
          <w:trHeight w:val="290"/>
          <w:jc w:val="center"/>
        </w:trPr>
        <w:tc>
          <w:tcPr>
            <w:tcW w:w="2707" w:type="dxa"/>
            <w:tcBorders>
              <w:top w:val="nil"/>
              <w:left w:val="nil"/>
              <w:bottom w:val="nil"/>
              <w:right w:val="nil"/>
            </w:tcBorders>
          </w:tcPr>
          <w:p w14:paraId="413D9147"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71FB2010"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-13.4%</w:t>
            </w:r>
          </w:p>
        </w:tc>
        <w:tc>
          <w:tcPr>
            <w:tcW w:w="1032" w:type="dxa"/>
            <w:tcBorders>
              <w:top w:val="nil"/>
              <w:left w:val="nil"/>
              <w:bottom w:val="nil"/>
              <w:right w:val="nil"/>
            </w:tcBorders>
          </w:tcPr>
          <w:p w14:paraId="4A0A0CC2"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-4.9%</w:t>
            </w:r>
          </w:p>
        </w:tc>
        <w:tc>
          <w:tcPr>
            <w:tcW w:w="1032" w:type="dxa"/>
            <w:tcBorders>
              <w:top w:val="nil"/>
              <w:left w:val="nil"/>
              <w:bottom w:val="nil"/>
              <w:right w:val="nil"/>
            </w:tcBorders>
          </w:tcPr>
          <w:p w14:paraId="7E984D8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16.9%</w:t>
            </w:r>
          </w:p>
        </w:tc>
      </w:tr>
      <w:tr w:rsidR="00F7725C" w:rsidRPr="00DA605E" w14:paraId="093572F9" w14:textId="77777777" w:rsidTr="00E72162">
        <w:trPr>
          <w:trHeight w:val="290"/>
          <w:jc w:val="center"/>
        </w:trPr>
        <w:tc>
          <w:tcPr>
            <w:tcW w:w="2707" w:type="dxa"/>
            <w:tcBorders>
              <w:top w:val="nil"/>
              <w:left w:val="nil"/>
              <w:bottom w:val="nil"/>
              <w:right w:val="nil"/>
            </w:tcBorders>
          </w:tcPr>
          <w:p w14:paraId="597915D1"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Primary Care</w:t>
            </w:r>
          </w:p>
        </w:tc>
        <w:tc>
          <w:tcPr>
            <w:tcW w:w="951" w:type="dxa"/>
            <w:tcBorders>
              <w:top w:val="nil"/>
              <w:left w:val="nil"/>
              <w:bottom w:val="nil"/>
              <w:right w:val="nil"/>
            </w:tcBorders>
          </w:tcPr>
          <w:p w14:paraId="1546DB61"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5A5AD3A8"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6976AF71"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073DF645" w14:textId="77777777" w:rsidTr="00E72162">
        <w:trPr>
          <w:trHeight w:val="290"/>
          <w:jc w:val="center"/>
        </w:trPr>
        <w:tc>
          <w:tcPr>
            <w:tcW w:w="2707" w:type="dxa"/>
            <w:tcBorders>
              <w:top w:val="nil"/>
              <w:left w:val="nil"/>
              <w:bottom w:val="nil"/>
              <w:right w:val="nil"/>
            </w:tcBorders>
          </w:tcPr>
          <w:p w14:paraId="628863A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25646D37"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9.1%</w:t>
            </w:r>
          </w:p>
        </w:tc>
        <w:tc>
          <w:tcPr>
            <w:tcW w:w="1032" w:type="dxa"/>
            <w:tcBorders>
              <w:top w:val="nil"/>
              <w:left w:val="nil"/>
              <w:bottom w:val="nil"/>
              <w:right w:val="nil"/>
            </w:tcBorders>
          </w:tcPr>
          <w:p w14:paraId="18BEA582"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7.3%</w:t>
            </w:r>
          </w:p>
        </w:tc>
        <w:tc>
          <w:tcPr>
            <w:tcW w:w="1032" w:type="dxa"/>
            <w:tcBorders>
              <w:top w:val="nil"/>
              <w:left w:val="nil"/>
              <w:bottom w:val="nil"/>
              <w:right w:val="nil"/>
            </w:tcBorders>
          </w:tcPr>
          <w:p w14:paraId="64E02D7D"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12.1%</w:t>
            </w:r>
          </w:p>
        </w:tc>
      </w:tr>
      <w:tr w:rsidR="00F7725C" w:rsidRPr="00DA605E" w14:paraId="7EE67D3E" w14:textId="77777777" w:rsidTr="00E72162">
        <w:trPr>
          <w:trHeight w:val="290"/>
          <w:jc w:val="center"/>
        </w:trPr>
        <w:tc>
          <w:tcPr>
            <w:tcW w:w="2707" w:type="dxa"/>
            <w:tcBorders>
              <w:top w:val="nil"/>
              <w:left w:val="nil"/>
              <w:bottom w:val="nil"/>
              <w:right w:val="nil"/>
            </w:tcBorders>
          </w:tcPr>
          <w:p w14:paraId="6F1D7115"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nil"/>
              <w:right w:val="nil"/>
            </w:tcBorders>
          </w:tcPr>
          <w:p w14:paraId="57881F6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-4.6%</w:t>
            </w:r>
          </w:p>
        </w:tc>
        <w:tc>
          <w:tcPr>
            <w:tcW w:w="1032" w:type="dxa"/>
            <w:tcBorders>
              <w:top w:val="nil"/>
              <w:left w:val="nil"/>
              <w:bottom w:val="nil"/>
              <w:right w:val="nil"/>
            </w:tcBorders>
          </w:tcPr>
          <w:p w14:paraId="1C2A688C"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14.1%</w:t>
            </w:r>
          </w:p>
        </w:tc>
        <w:tc>
          <w:tcPr>
            <w:tcW w:w="1032" w:type="dxa"/>
            <w:tcBorders>
              <w:top w:val="nil"/>
              <w:left w:val="nil"/>
              <w:bottom w:val="nil"/>
              <w:right w:val="nil"/>
            </w:tcBorders>
          </w:tcPr>
          <w:p w14:paraId="21F9956F"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-1.8%</w:t>
            </w:r>
          </w:p>
        </w:tc>
      </w:tr>
      <w:tr w:rsidR="00F7725C" w:rsidRPr="00DA605E" w14:paraId="24ED60A3" w14:textId="77777777" w:rsidTr="00E72162">
        <w:trPr>
          <w:trHeight w:val="290"/>
          <w:jc w:val="center"/>
        </w:trPr>
        <w:tc>
          <w:tcPr>
            <w:tcW w:w="2707" w:type="dxa"/>
            <w:tcBorders>
              <w:top w:val="nil"/>
              <w:left w:val="nil"/>
              <w:bottom w:val="nil"/>
              <w:right w:val="nil"/>
            </w:tcBorders>
          </w:tcPr>
          <w:p w14:paraId="6B5F9D05" w14:textId="77777777" w:rsidR="00F7725C" w:rsidRPr="00DA605E" w:rsidRDefault="00F7725C" w:rsidP="00E72162">
            <w:pPr>
              <w:autoSpaceDE w:val="0"/>
              <w:autoSpaceDN w:val="0"/>
              <w:adjustRightInd w:val="0"/>
              <w:rPr>
                <w:rFonts w:ascii="Calibri" w:hAnsi="Calibri" w:cs="Calibri"/>
                <w:b/>
                <w:bCs/>
                <w:color w:val="000000"/>
                <w:sz w:val="22"/>
                <w:szCs w:val="22"/>
              </w:rPr>
            </w:pPr>
            <w:r w:rsidRPr="00DA605E">
              <w:rPr>
                <w:rFonts w:ascii="Calibri" w:hAnsi="Calibri" w:cs="Calibri"/>
                <w:b/>
                <w:bCs/>
                <w:color w:val="000000"/>
                <w:sz w:val="22"/>
                <w:szCs w:val="22"/>
              </w:rPr>
              <w:t>Other Services</w:t>
            </w:r>
          </w:p>
        </w:tc>
        <w:tc>
          <w:tcPr>
            <w:tcW w:w="951" w:type="dxa"/>
            <w:tcBorders>
              <w:top w:val="nil"/>
              <w:left w:val="nil"/>
              <w:bottom w:val="nil"/>
              <w:right w:val="nil"/>
            </w:tcBorders>
          </w:tcPr>
          <w:p w14:paraId="4E17BF6D"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0017A71F"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c>
          <w:tcPr>
            <w:tcW w:w="1032" w:type="dxa"/>
            <w:tcBorders>
              <w:top w:val="nil"/>
              <w:left w:val="nil"/>
              <w:bottom w:val="nil"/>
              <w:right w:val="nil"/>
            </w:tcBorders>
          </w:tcPr>
          <w:p w14:paraId="267300AB" w14:textId="77777777" w:rsidR="00F7725C" w:rsidRPr="00DA605E" w:rsidRDefault="00F7725C" w:rsidP="00E72162">
            <w:pPr>
              <w:autoSpaceDE w:val="0"/>
              <w:autoSpaceDN w:val="0"/>
              <w:adjustRightInd w:val="0"/>
              <w:jc w:val="right"/>
              <w:rPr>
                <w:rFonts w:ascii="Calibri" w:hAnsi="Calibri" w:cs="Calibri"/>
                <w:color w:val="000000"/>
                <w:sz w:val="22"/>
                <w:szCs w:val="22"/>
              </w:rPr>
            </w:pPr>
          </w:p>
        </w:tc>
      </w:tr>
      <w:tr w:rsidR="00F7725C" w:rsidRPr="00DA605E" w14:paraId="6D4F4C86" w14:textId="77777777" w:rsidTr="00E72162">
        <w:trPr>
          <w:trHeight w:val="290"/>
          <w:jc w:val="center"/>
        </w:trPr>
        <w:tc>
          <w:tcPr>
            <w:tcW w:w="2707" w:type="dxa"/>
            <w:tcBorders>
              <w:top w:val="nil"/>
              <w:left w:val="nil"/>
              <w:bottom w:val="nil"/>
              <w:right w:val="nil"/>
            </w:tcBorders>
          </w:tcPr>
          <w:p w14:paraId="41A11D63"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First CCBHC Period</w:t>
            </w:r>
          </w:p>
        </w:tc>
        <w:tc>
          <w:tcPr>
            <w:tcW w:w="951" w:type="dxa"/>
            <w:tcBorders>
              <w:top w:val="nil"/>
              <w:left w:val="nil"/>
              <w:bottom w:val="nil"/>
              <w:right w:val="nil"/>
            </w:tcBorders>
          </w:tcPr>
          <w:p w14:paraId="5CF14670"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14.3%</w:t>
            </w:r>
          </w:p>
        </w:tc>
        <w:tc>
          <w:tcPr>
            <w:tcW w:w="1032" w:type="dxa"/>
            <w:tcBorders>
              <w:top w:val="nil"/>
              <w:left w:val="nil"/>
              <w:bottom w:val="nil"/>
              <w:right w:val="nil"/>
            </w:tcBorders>
          </w:tcPr>
          <w:p w14:paraId="2F2830F9"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20.3%</w:t>
            </w:r>
          </w:p>
        </w:tc>
        <w:tc>
          <w:tcPr>
            <w:tcW w:w="1032" w:type="dxa"/>
            <w:tcBorders>
              <w:top w:val="nil"/>
              <w:left w:val="nil"/>
              <w:bottom w:val="nil"/>
              <w:right w:val="nil"/>
            </w:tcBorders>
          </w:tcPr>
          <w:p w14:paraId="33EB84B8"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0.8%</w:t>
            </w:r>
          </w:p>
        </w:tc>
      </w:tr>
      <w:tr w:rsidR="00F7725C" w:rsidRPr="00DA605E" w14:paraId="70A2FD62" w14:textId="77777777" w:rsidTr="00E72162">
        <w:trPr>
          <w:trHeight w:val="290"/>
          <w:jc w:val="center"/>
        </w:trPr>
        <w:tc>
          <w:tcPr>
            <w:tcW w:w="2707" w:type="dxa"/>
            <w:tcBorders>
              <w:top w:val="nil"/>
              <w:left w:val="nil"/>
              <w:bottom w:val="single" w:sz="6" w:space="0" w:color="auto"/>
              <w:right w:val="nil"/>
            </w:tcBorders>
          </w:tcPr>
          <w:p w14:paraId="1637AE0A" w14:textId="77777777" w:rsidR="00F7725C" w:rsidRPr="00DA605E" w:rsidRDefault="00F7725C" w:rsidP="00E72162">
            <w:pPr>
              <w:autoSpaceDE w:val="0"/>
              <w:autoSpaceDN w:val="0"/>
              <w:adjustRightInd w:val="0"/>
              <w:jc w:val="right"/>
              <w:rPr>
                <w:rFonts w:ascii="Calibri" w:hAnsi="Calibri" w:cs="Calibri"/>
                <w:color w:val="000000"/>
                <w:sz w:val="22"/>
                <w:szCs w:val="22"/>
              </w:rPr>
            </w:pPr>
            <w:r w:rsidRPr="00DA605E">
              <w:rPr>
                <w:rFonts w:ascii="Calibri" w:hAnsi="Calibri" w:cs="Calibri"/>
                <w:color w:val="000000"/>
                <w:sz w:val="22"/>
                <w:szCs w:val="22"/>
              </w:rPr>
              <w:t>Second CCBHC Period</w:t>
            </w:r>
          </w:p>
        </w:tc>
        <w:tc>
          <w:tcPr>
            <w:tcW w:w="951" w:type="dxa"/>
            <w:tcBorders>
              <w:top w:val="nil"/>
              <w:left w:val="nil"/>
              <w:bottom w:val="single" w:sz="6" w:space="0" w:color="auto"/>
              <w:right w:val="nil"/>
            </w:tcBorders>
          </w:tcPr>
          <w:p w14:paraId="711C64C3"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90.0%</w:t>
            </w:r>
          </w:p>
        </w:tc>
        <w:tc>
          <w:tcPr>
            <w:tcW w:w="1032" w:type="dxa"/>
            <w:tcBorders>
              <w:top w:val="nil"/>
              <w:left w:val="nil"/>
              <w:bottom w:val="single" w:sz="6" w:space="0" w:color="auto"/>
              <w:right w:val="nil"/>
            </w:tcBorders>
          </w:tcPr>
          <w:p w14:paraId="69527058"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15.6%</w:t>
            </w:r>
          </w:p>
        </w:tc>
        <w:tc>
          <w:tcPr>
            <w:tcW w:w="1032" w:type="dxa"/>
            <w:tcBorders>
              <w:top w:val="nil"/>
              <w:left w:val="nil"/>
              <w:bottom w:val="single" w:sz="6" w:space="0" w:color="auto"/>
              <w:right w:val="nil"/>
            </w:tcBorders>
          </w:tcPr>
          <w:p w14:paraId="1AACC234" w14:textId="77777777" w:rsidR="00F7725C" w:rsidRPr="00DA605E" w:rsidRDefault="00F7725C" w:rsidP="00E72162">
            <w:pPr>
              <w:autoSpaceDE w:val="0"/>
              <w:autoSpaceDN w:val="0"/>
              <w:adjustRightInd w:val="0"/>
              <w:jc w:val="right"/>
              <w:rPr>
                <w:rFonts w:ascii="Calibri" w:hAnsi="Calibri" w:cs="Calibri"/>
                <w:b/>
                <w:bCs/>
                <w:i/>
                <w:color w:val="000000"/>
                <w:sz w:val="22"/>
                <w:szCs w:val="22"/>
              </w:rPr>
            </w:pPr>
            <w:r w:rsidRPr="00DA605E">
              <w:rPr>
                <w:rFonts w:ascii="Calibri" w:hAnsi="Calibri" w:cs="Calibri"/>
                <w:b/>
                <w:bCs/>
                <w:i/>
                <w:color w:val="000000"/>
                <w:sz w:val="22"/>
                <w:szCs w:val="22"/>
              </w:rPr>
              <w:t>11.3%</w:t>
            </w:r>
          </w:p>
        </w:tc>
      </w:tr>
    </w:tbl>
    <w:p w14:paraId="6BCFA0B8" w14:textId="77777777" w:rsidR="00E847F0" w:rsidRPr="005A6983" w:rsidRDefault="00E847F0" w:rsidP="00E847F0">
      <w:pPr>
        <w:jc w:val="center"/>
        <w:rPr>
          <w:rFonts w:cstheme="minorHAnsi"/>
          <w:b/>
          <w:sz w:val="22"/>
          <w:szCs w:val="22"/>
        </w:rPr>
      </w:pPr>
    </w:p>
    <w:p w14:paraId="175594B4" w14:textId="77777777" w:rsidR="00E847F0" w:rsidRPr="00772E12" w:rsidRDefault="00E847F0" w:rsidP="00E847F0">
      <w:pPr>
        <w:rPr>
          <w:rFonts w:cstheme="minorHAnsi"/>
        </w:rPr>
      </w:pPr>
    </w:p>
    <w:p w14:paraId="4936798F" w14:textId="77777777" w:rsidR="00E847F0" w:rsidRDefault="00E847F0" w:rsidP="00E847F0">
      <w:pPr>
        <w:rPr>
          <w:sz w:val="22"/>
          <w:szCs w:val="22"/>
        </w:rPr>
      </w:pPr>
    </w:p>
    <w:p w14:paraId="11469E4A" w14:textId="77777777" w:rsidR="00DE38DB" w:rsidRPr="00DE38DB" w:rsidRDefault="00DE38DB" w:rsidP="00DE38DB"/>
    <w:p w14:paraId="493D66BD" w14:textId="77777777" w:rsidR="00183C5B" w:rsidRDefault="00183C5B" w:rsidP="00183C5B"/>
    <w:p w14:paraId="04FD93BA" w14:textId="77777777" w:rsidR="00183C5B" w:rsidRDefault="00183C5B" w:rsidP="00183C5B"/>
    <w:p w14:paraId="4A4E9790" w14:textId="539B3999" w:rsidR="00F4569A" w:rsidRPr="00183C5B" w:rsidRDefault="00765846" w:rsidP="00183C5B">
      <w:pPr>
        <w:rPr>
          <w:b/>
          <w:bCs/>
          <w:color w:val="6A7F0F"/>
          <w:sz w:val="40"/>
          <w:szCs w:val="40"/>
        </w:rPr>
      </w:pPr>
      <w:r w:rsidRPr="00790548">
        <w:fldChar w:fldCharType="begin"/>
      </w:r>
      <w:r w:rsidRPr="00790548">
        <w:instrText xml:space="preserve"> INCLUDEPICTURE "https://www.eventsforce.com/wp-content/uploads/2019/02/5-tips-to-help-you-connect-with-team-members-effectively.jpg" \* MERGEFORMATINET </w:instrText>
      </w:r>
      <w:r w:rsidR="00101CB3">
        <w:fldChar w:fldCharType="separate"/>
      </w:r>
      <w:r w:rsidRPr="00790548">
        <w:fldChar w:fldCharType="end"/>
      </w:r>
    </w:p>
    <w:sectPr w:rsidR="00F4569A" w:rsidRPr="00183C5B" w:rsidSect="00E847F0">
      <w:pgSz w:w="12240" w:h="15840"/>
      <w:pgMar w:top="14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CD611" w14:textId="77777777" w:rsidR="00ED07A8" w:rsidRDefault="00ED07A8" w:rsidP="0027132F">
      <w:r>
        <w:separator/>
      </w:r>
    </w:p>
  </w:endnote>
  <w:endnote w:type="continuationSeparator" w:id="0">
    <w:p w14:paraId="5C28D52A" w14:textId="77777777" w:rsidR="00ED07A8" w:rsidRDefault="00ED07A8" w:rsidP="00271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1305515"/>
      <w:docPartObj>
        <w:docPartGallery w:val="Page Numbers (Bottom of Page)"/>
        <w:docPartUnique/>
      </w:docPartObj>
    </w:sdtPr>
    <w:sdtEndPr>
      <w:rPr>
        <w:rStyle w:val="PageNumber"/>
      </w:rPr>
    </w:sdtEndPr>
    <w:sdtContent>
      <w:p w14:paraId="0FC41503" w14:textId="1EB77A30" w:rsidR="00C5217E" w:rsidRDefault="00C5217E" w:rsidP="009A1B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sdtContent>
  </w:sdt>
  <w:p w14:paraId="62AFDD27" w14:textId="77777777" w:rsidR="00C5217E" w:rsidRDefault="00C5217E" w:rsidP="00C521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4AC2" w14:textId="758FFB3B" w:rsidR="009A1B05" w:rsidRDefault="009A1B05" w:rsidP="00DF7FB0">
    <w:pPr>
      <w:pStyle w:val="Footer"/>
      <w:framePr w:wrap="none" w:vAnchor="text" w:hAnchor="margin" w:xAlign="right" w:y="1"/>
      <w:rPr>
        <w:rStyle w:val="PageNumber"/>
      </w:rPr>
    </w:pPr>
  </w:p>
  <w:p w14:paraId="3ED463E8" w14:textId="011910E0" w:rsidR="009147EF" w:rsidRDefault="009147EF" w:rsidP="00C5217E">
    <w:pPr>
      <w:pStyle w:val="Footer"/>
      <w:ind w:right="360"/>
    </w:pPr>
    <w:r>
      <w:rPr>
        <w:noProof/>
        <w:color w:val="808080" w:themeColor="background1" w:themeShade="80"/>
        <w:lang w:eastAsia="zh-CN"/>
      </w:rPr>
      <mc:AlternateContent>
        <mc:Choice Requires="wpg">
          <w:drawing>
            <wp:anchor distT="0" distB="0" distL="0" distR="0" simplePos="0" relativeHeight="251660288" behindDoc="0" locked="0" layoutInCell="1" allowOverlap="1" wp14:anchorId="2F0A2330" wp14:editId="39A9232A">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3D0F415" w14:textId="446BAA4C" w:rsidR="009147EF" w:rsidRDefault="002A6F8C">
                                <w:pPr>
                                  <w:jc w:val="right"/>
                                  <w:rPr>
                                    <w:color w:val="7F7F7F" w:themeColor="text1" w:themeTint="80"/>
                                  </w:rPr>
                                </w:pPr>
                                <w:r>
                                  <w:rPr>
                                    <w:color w:val="7F7F7F" w:themeColor="text1" w:themeTint="80"/>
                                  </w:rPr>
                                  <w:t>OHSU-PSU School of Public Health</w:t>
                                </w:r>
                              </w:p>
                            </w:sdtContent>
                          </w:sdt>
                          <w:p w14:paraId="6230A99C" w14:textId="77777777" w:rsidR="009147EF" w:rsidRDefault="009147E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F0A2330" id="Group 37" o:spid="_x0000_s104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HVQ&#10;EtLgAAAACQEAAA8AAABkcnMvZG93bnJldi54bWxMj09Lw0AQxe+C32EZwZvdpNVQ02yK+AdBemhS&#10;QbxtkjEbzM6m2W0bv72jF708eDzmzftl68n24oij7xwpiGcRCKTaNR21Cl53T1dLED5oanTvCBV8&#10;oYd1fn6W6bRxJyrwWIZWcAn5VCswIQyplL42aLWfuQGJsw83Wh3Yjq1sRn3ictvLeRQl0uqO+IPR&#10;A94brD/Lg1UwXzxu3uO3fVG+FM9Jtd3GxuxjpS4vpocVy90KRMAp/F3ADwPvh5yHVe5AjRe9AqYJ&#10;v8rZ7SJhWym4ia5B5pn8T5B/AwAA//8DAFBLAQItABQABgAIAAAAIQC2gziS/gAAAOEBAAATAAAA&#10;AAAAAAAAAAAAAAAAAABbQ29udGVudF9UeXBlc10ueG1sUEsBAi0AFAAGAAgAAAAhADj9If/WAAAA&#10;lAEAAAsAAAAAAAAAAAAAAAAALwEAAF9yZWxzLy5yZWxzUEsBAi0AFAAGAAgAAAAhAJyUHTNgAwAA&#10;aQoAAA4AAAAAAAAAAAAAAAAALgIAAGRycy9lMm9Eb2MueG1sUEsBAi0AFAAGAAgAAAAhAHVQEtLg&#10;AAAACQEAAA8AAAAAAAAAAAAAAAAAugUAAGRycy9kb3ducmV2LnhtbFBLBQYAAAAABAAEAPMAAADH&#10;BgAAAAA=&#10;">
              <v:rect id="Rectangle 38" o:spid="_x0000_s104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LAyAAAAOAAAAAPAAAAZHJzL2Rvd25yZXYueG1sRI/BasJA&#10;EIbvgu+wjNCL1I1WRaKraFUoXrTqAwzZMQlmZ0N2q+nbdw4FLwM/w//NfItV6yr1oCaUng0MBwko&#10;4szbknMD18v+fQYqRGSLlWcy8EsBVstuZ4Gp9U/+psc55kogHFI0UMRYp1qHrCCHYeBrYtndfOMw&#10;SmxybRt8CtxVepQkU+2wZLlQYE2fBWX3848zcDmeprt9OeFRfd+ux9lk098dNsa89drtXMZ6DipS&#10;G1+Nf8SXNfAhH4uQyIBe/gEAAP//AwBQSwECLQAUAAYACAAAACEA2+H2y+4AAACFAQAAEwAAAAAA&#10;AAAAAAAAAAAAAAAAW0NvbnRlbnRfVHlwZXNdLnhtbFBLAQItABQABgAIAAAAIQBa9CxbvwAAABUB&#10;AAALAAAAAAAAAAAAAAAAAB8BAABfcmVscy8ucmVsc1BLAQItABQABgAIAAAAIQBOi9LAyAAAAOAA&#10;AAAPAAAAAAAAAAAAAAAAAAcCAABkcnMvZG93bnJldi54bWxQSwUGAAAAAAMAAwC3AAAA/AIAAAAA&#10;" fillcolor="black [3213]" stroked="f" strokeweight="1pt"/>
              <v:shapetype id="_x0000_t202" coordsize="21600,21600" o:spt="202" path="m,l,21600r21600,l21600,xe">
                <v:stroke joinstyle="miter"/>
                <v:path gradientshapeok="t" o:connecttype="rect"/>
              </v:shapetype>
              <v:shape id="Text Box 39" o:spid="_x0000_s104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cUyAAAAOAAAAAPAAAAZHJzL2Rvd25yZXYueG1sRI9PawIx&#10;FMTvhX6H8ArearYrSF2NIpaiJ6H+OXh7bJ6btZuXJcnq2k/fFApeBoZhfsPMFr1txJV8qB0reBtm&#10;IIhLp2uuFBz2n6/vIEJE1tg4JgV3CrCYPz/NsNDuxl903cVKJAiHAhWYGNtCylAashiGriVO2dl5&#10;izFZX0nt8ZbgtpF5lo2lxZrTgsGWVobK711nFfjjNl+uLqdjl6/lT2UO3UiPt0oNXvqPaZLlFESk&#10;Pj4a/4iNVjCawN+hdAbk/BcAAP//AwBQSwECLQAUAAYACAAAACEA2+H2y+4AAACFAQAAEwAAAAAA&#10;AAAAAAAAAAAAAAAAW0NvbnRlbnRfVHlwZXNdLnhtbFBLAQItABQABgAIAAAAIQBa9CxbvwAAABUB&#10;AAALAAAAAAAAAAAAAAAAAB8BAABfcmVscy8ucmVsc1BLAQItABQABgAIAAAAIQDD4wcUyAAAAOAA&#10;AAAPAAAAAAAAAAAAAAAAAAcCAABkcnMvZG93bnJldi54bWxQSwUGAAAAAAMAAwC3AAAA/A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3D0F415" w14:textId="446BAA4C" w:rsidR="009147EF" w:rsidRDefault="002A6F8C">
                          <w:pPr>
                            <w:jc w:val="right"/>
                            <w:rPr>
                              <w:color w:val="7F7F7F" w:themeColor="text1" w:themeTint="80"/>
                            </w:rPr>
                          </w:pPr>
                          <w:r>
                            <w:rPr>
                              <w:color w:val="7F7F7F" w:themeColor="text1" w:themeTint="80"/>
                            </w:rPr>
                            <w:t>OHSU-PSU School of Public Health</w:t>
                          </w:r>
                        </w:p>
                      </w:sdtContent>
                    </w:sdt>
                    <w:p w14:paraId="6230A99C" w14:textId="77777777" w:rsidR="009147EF" w:rsidRDefault="009147EF">
                      <w:pPr>
                        <w:jc w:val="right"/>
                        <w:rPr>
                          <w:color w:val="808080" w:themeColor="background1" w:themeShade="80"/>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59264" behindDoc="0" locked="0" layoutInCell="1" allowOverlap="1" wp14:anchorId="73522983" wp14:editId="49A07F7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6A7F0F"/>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A6920" w14:textId="77777777" w:rsidR="009147EF" w:rsidRPr="00EE623D" w:rsidRDefault="009147EF">
                          <w:pPr>
                            <w:jc w:val="right"/>
                            <w:rPr>
                              <w:color w:val="FFFFFF" w:themeColor="background1"/>
                            </w:rPr>
                          </w:pPr>
                          <w:r w:rsidRPr="00EE623D">
                            <w:rPr>
                              <w:color w:val="FFFFFF" w:themeColor="background1"/>
                            </w:rPr>
                            <w:fldChar w:fldCharType="begin"/>
                          </w:r>
                          <w:r w:rsidRPr="00EE623D">
                            <w:rPr>
                              <w:color w:val="FFFFFF" w:themeColor="background1"/>
                            </w:rPr>
                            <w:instrText xml:space="preserve"> PAGE   \* MERGEFORMAT </w:instrText>
                          </w:r>
                          <w:r w:rsidRPr="00EE623D">
                            <w:rPr>
                              <w:color w:val="FFFFFF" w:themeColor="background1"/>
                            </w:rPr>
                            <w:fldChar w:fldCharType="separate"/>
                          </w:r>
                          <w:r w:rsidRPr="00EE623D">
                            <w:rPr>
                              <w:noProof/>
                              <w:color w:val="FFFFFF" w:themeColor="background1"/>
                            </w:rPr>
                            <w:t>2</w:t>
                          </w:r>
                          <w:r w:rsidRPr="00EE623D">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22983" id="Rectangle 40" o:spid="_x0000_s104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COjwIAAHgFAAAOAAAAZHJzL2Uyb0RvYy54bWysVEtv2zAMvg/YfxB0X51kfS2oUwQpMgwo&#10;2qLt0LMiS7EBWdQoJXb260fJj3RddxmWg0KZ5MeHPvLquq0N2yv0FdicT08mnCkroajsNuffn9ef&#10;LjnzQdhCGLAq5wfl+fXi44erxs3VDEowhUJGINbPG5fzMgQ3zzIvS1ULfwJOWVJqwFoEuuI2K1A0&#10;hF6bbDaZnGcNYOEQpPKevt50Sr5I+ForGe619iowk3PKLaQT07mJZ7a4EvMtCldWsk9D/EMWtags&#10;BR2hbkQQbIfVH1B1JRE86HAioc5A60qqVANVM528qeapFE6lWqg53o1t8v8PVt7tn9wDUhsa5+ee&#10;xFhFq7GO/5Qfa1OzDmOzVBuYpI+nZxf0AJxJUn0m6TQ1Mzs6O/Thq4KaRSHnSG+RWiT2tz5QQDId&#10;TGIsD6Yq1pUx6YLbzcog2wt6t/PlxXqyjk9FLr+ZGcsain45pUSim4UI0BkaS/bHopIUDkZFO2Mf&#10;lWZVQWXMkmPimxojCimVDdNOVYpCdYmcTeg35BEZGj1SVgkwImuKP2L3AINlBzJgd1n29tFVJbqO&#10;zl1Ff0mscx49UmSwYXSuKwv4XmWGquojd/ZDk7rWxC6FdtNSb2iao2X8soHi8IAMoRsf7+S6oje9&#10;FT48CKR5IRrQDgj3dGgD9CTQS5yVgD/f+x7ticak5ayh+cu5/7ETqDgz3ywR/Mv0lBjFQrokrnGG&#10;rzWb1xq7q1dAVJnStnEyieSMwQyiRqhfaFUsY1RSCSspds43g7gK3VagVSPVcpmMaESdCLf2yckI&#10;HbscGfvcvgh0Pa0DzcMdDJMq5m/Y3dlGTwvLXQBdJeofu9r3n8Y7EalfRXF/vL4nq+PCXPwCAAD/&#10;/wMAUEsDBBQABgAIAAAAIQBSAxYZ4AAAAAgBAAAPAAAAZHJzL2Rvd25yZXYueG1sTI9PS8NAEMXv&#10;gt9hGcGb3Vi0ljSTUqxWofivinrcZsckNjsbsts2fntHL3p58HjMm/fLpr1r1I66UHtGOB0koIgL&#10;b2suEV6er0/GoEI0bE3jmRC+KMA0PzzITGr9np9ot4qlkhIOqUGoYmxTrUNRkTNh4FtiyT5850wU&#10;25XadmYv5a7RwyQZaWdqlg+VaemyomKz2jqE27f798XdaOw+r17ny3Kxebx5aGeIx0f9fCIym4CK&#10;1Me/C/hhkP2Qy7C137INqkEQmvirkl0Mxa0RzpMz0Hmm/wPk3wAAAP//AwBQSwECLQAUAAYACAAA&#10;ACEAtoM4kv4AAADhAQAAEwAAAAAAAAAAAAAAAAAAAAAAW0NvbnRlbnRfVHlwZXNdLnhtbFBLAQIt&#10;ABQABgAIAAAAIQA4/SH/1gAAAJQBAAALAAAAAAAAAAAAAAAAAC8BAABfcmVscy8ucmVsc1BLAQIt&#10;ABQABgAIAAAAIQByxRCOjwIAAHgFAAAOAAAAAAAAAAAAAAAAAC4CAABkcnMvZTJvRG9jLnhtbFBL&#10;AQItABQABgAIAAAAIQBSAxYZ4AAAAAgBAAAPAAAAAAAAAAAAAAAAAOkEAABkcnMvZG93bnJldi54&#10;bWxQSwUGAAAAAAQABADzAAAA9gUAAAAA&#10;" fillcolor="#6a7f0f" stroked="f" strokeweight="3pt">
              <v:textbox>
                <w:txbxContent>
                  <w:p w14:paraId="77CA6920" w14:textId="77777777" w:rsidR="009147EF" w:rsidRPr="00EE623D" w:rsidRDefault="009147EF">
                    <w:pPr>
                      <w:jc w:val="right"/>
                      <w:rPr>
                        <w:color w:val="FFFFFF" w:themeColor="background1"/>
                      </w:rPr>
                    </w:pPr>
                    <w:r w:rsidRPr="00EE623D">
                      <w:rPr>
                        <w:color w:val="FFFFFF" w:themeColor="background1"/>
                      </w:rPr>
                      <w:fldChar w:fldCharType="begin"/>
                    </w:r>
                    <w:r w:rsidRPr="00EE623D">
                      <w:rPr>
                        <w:color w:val="FFFFFF" w:themeColor="background1"/>
                      </w:rPr>
                      <w:instrText xml:space="preserve"> PAGE   \* MERGEFORMAT </w:instrText>
                    </w:r>
                    <w:r w:rsidRPr="00EE623D">
                      <w:rPr>
                        <w:color w:val="FFFFFF" w:themeColor="background1"/>
                      </w:rPr>
                      <w:fldChar w:fldCharType="separate"/>
                    </w:r>
                    <w:r w:rsidRPr="00EE623D">
                      <w:rPr>
                        <w:noProof/>
                        <w:color w:val="FFFFFF" w:themeColor="background1"/>
                      </w:rPr>
                      <w:t>2</w:t>
                    </w:r>
                    <w:r w:rsidRPr="00EE623D">
                      <w:rPr>
                        <w:noProof/>
                        <w:color w:val="FFFFFF" w:themeColor="background1"/>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689A" w14:textId="77777777" w:rsidR="00ED07A8" w:rsidRDefault="00ED07A8" w:rsidP="0027132F">
      <w:r>
        <w:separator/>
      </w:r>
    </w:p>
  </w:footnote>
  <w:footnote w:type="continuationSeparator" w:id="0">
    <w:p w14:paraId="31B5F750" w14:textId="77777777" w:rsidR="00ED07A8" w:rsidRDefault="00ED07A8" w:rsidP="00271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A6B8" w14:textId="0159B3BF" w:rsidR="004C0DCB" w:rsidRPr="00990E3D" w:rsidRDefault="004C0DCB">
    <w:pPr>
      <w:pStyle w:val="Header"/>
      <w:rPr>
        <w:color w:val="6A7F0F"/>
      </w:rPr>
    </w:pPr>
    <w:r w:rsidRPr="00990E3D">
      <w:rPr>
        <w:color w:val="6A7F0F"/>
      </w:rPr>
      <w:t xml:space="preserve">Evaluation of the Oregon </w:t>
    </w:r>
    <w:r w:rsidR="00EE623D" w:rsidRPr="00990E3D">
      <w:rPr>
        <w:color w:val="6A7F0F"/>
      </w:rPr>
      <w:t>CCBHC</w:t>
    </w:r>
    <w:r w:rsidRPr="00990E3D">
      <w:rPr>
        <w:color w:val="6A7F0F"/>
      </w:rPr>
      <w:t xml:space="preserve"> Program</w:t>
    </w:r>
    <w:r w:rsidR="00EE623D" w:rsidRPr="00990E3D">
      <w:rPr>
        <w:color w:val="6A7F0F"/>
      </w:rPr>
      <w:t>, January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3D8"/>
    <w:multiLevelType w:val="multilevel"/>
    <w:tmpl w:val="AF946508"/>
    <w:styleLink w:val="CurrentList5"/>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2367BE"/>
    <w:multiLevelType w:val="multilevel"/>
    <w:tmpl w:val="6AC0B01C"/>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974D70"/>
    <w:multiLevelType w:val="hybridMultilevel"/>
    <w:tmpl w:val="2AA41A12"/>
    <w:lvl w:ilvl="0" w:tplc="FFFFFFFF">
      <w:start w:val="1"/>
      <w:numFmt w:val="decimal"/>
      <w:lvlText w:val="%1."/>
      <w:lvlJc w:val="left"/>
      <w:pPr>
        <w:ind w:left="1440" w:hanging="360"/>
      </w:pPr>
    </w:lvl>
    <w:lvl w:ilvl="1" w:tplc="FFFFFFFF" w:tentative="1">
      <w:start w:val="1"/>
      <w:numFmt w:val="lowerLetter"/>
      <w:lvlText w:val="%2."/>
      <w:lvlJc w:val="left"/>
      <w:pPr>
        <w:ind w:left="180" w:hanging="360"/>
      </w:pPr>
    </w:lvl>
    <w:lvl w:ilvl="2" w:tplc="FFFFFFFF" w:tentative="1">
      <w:start w:val="1"/>
      <w:numFmt w:val="lowerRoman"/>
      <w:lvlText w:val="%3."/>
      <w:lvlJc w:val="right"/>
      <w:pPr>
        <w:ind w:left="900" w:hanging="180"/>
      </w:pPr>
    </w:lvl>
    <w:lvl w:ilvl="3" w:tplc="FFFFFFFF" w:tentative="1">
      <w:start w:val="1"/>
      <w:numFmt w:val="decimal"/>
      <w:lvlText w:val="%4."/>
      <w:lvlJc w:val="left"/>
      <w:pPr>
        <w:ind w:left="1620" w:hanging="360"/>
      </w:pPr>
    </w:lvl>
    <w:lvl w:ilvl="4" w:tplc="FFFFFFFF" w:tentative="1">
      <w:start w:val="1"/>
      <w:numFmt w:val="lowerLetter"/>
      <w:lvlText w:val="%5."/>
      <w:lvlJc w:val="left"/>
      <w:pPr>
        <w:ind w:left="2340" w:hanging="360"/>
      </w:pPr>
    </w:lvl>
    <w:lvl w:ilvl="5" w:tplc="FFFFFFFF" w:tentative="1">
      <w:start w:val="1"/>
      <w:numFmt w:val="lowerRoman"/>
      <w:lvlText w:val="%6."/>
      <w:lvlJc w:val="right"/>
      <w:pPr>
        <w:ind w:left="3060" w:hanging="180"/>
      </w:pPr>
    </w:lvl>
    <w:lvl w:ilvl="6" w:tplc="FFFFFFFF" w:tentative="1">
      <w:start w:val="1"/>
      <w:numFmt w:val="decimal"/>
      <w:lvlText w:val="%7."/>
      <w:lvlJc w:val="left"/>
      <w:pPr>
        <w:ind w:left="3780" w:hanging="360"/>
      </w:pPr>
    </w:lvl>
    <w:lvl w:ilvl="7" w:tplc="FFFFFFFF" w:tentative="1">
      <w:start w:val="1"/>
      <w:numFmt w:val="lowerLetter"/>
      <w:lvlText w:val="%8."/>
      <w:lvlJc w:val="left"/>
      <w:pPr>
        <w:ind w:left="4500" w:hanging="360"/>
      </w:pPr>
    </w:lvl>
    <w:lvl w:ilvl="8" w:tplc="FFFFFFFF" w:tentative="1">
      <w:start w:val="1"/>
      <w:numFmt w:val="lowerRoman"/>
      <w:lvlText w:val="%9."/>
      <w:lvlJc w:val="right"/>
      <w:pPr>
        <w:ind w:left="5220" w:hanging="180"/>
      </w:pPr>
    </w:lvl>
  </w:abstractNum>
  <w:abstractNum w:abstractNumId="3" w15:restartNumberingAfterBreak="0">
    <w:nsid w:val="08292B68"/>
    <w:multiLevelType w:val="multilevel"/>
    <w:tmpl w:val="5E94DF2E"/>
    <w:styleLink w:val="CurrentList1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387A56"/>
    <w:multiLevelType w:val="hybridMultilevel"/>
    <w:tmpl w:val="F032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A95984"/>
    <w:multiLevelType w:val="hybridMultilevel"/>
    <w:tmpl w:val="042EC1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C401FA"/>
    <w:multiLevelType w:val="hybridMultilevel"/>
    <w:tmpl w:val="88A82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8A94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435F3"/>
    <w:multiLevelType w:val="multilevel"/>
    <w:tmpl w:val="A67C5DEC"/>
    <w:styleLink w:val="CurrentList16"/>
    <w:lvl w:ilvl="0">
      <w:start w:val="1"/>
      <w:numFmt w:val="decimal"/>
      <w:lvlText w:val="%1."/>
      <w:lvlJc w:val="left"/>
      <w:pPr>
        <w:ind w:left="1080" w:hanging="360"/>
      </w:pPr>
      <w:rPr>
        <w:rFonts w:cs="Calibri (Body)"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AB66763"/>
    <w:multiLevelType w:val="multilevel"/>
    <w:tmpl w:val="1CD8FFDA"/>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837846"/>
    <w:multiLevelType w:val="hybridMultilevel"/>
    <w:tmpl w:val="AAAE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D7126"/>
    <w:multiLevelType w:val="hybridMultilevel"/>
    <w:tmpl w:val="310AD9B2"/>
    <w:lvl w:ilvl="0" w:tplc="56B4A6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E3762"/>
    <w:multiLevelType w:val="hybridMultilevel"/>
    <w:tmpl w:val="5628D0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3C85E5A"/>
    <w:multiLevelType w:val="hybridMultilevel"/>
    <w:tmpl w:val="C6B46E12"/>
    <w:lvl w:ilvl="0" w:tplc="04090001">
      <w:start w:val="1"/>
      <w:numFmt w:val="bullet"/>
      <w:lvlText w:val=""/>
      <w:lvlJc w:val="left"/>
      <w:pPr>
        <w:ind w:left="720" w:hanging="360"/>
      </w:pPr>
      <w:rPr>
        <w:rFonts w:ascii="Symbol" w:hAnsi="Symbol" w:hint="default"/>
      </w:rPr>
    </w:lvl>
    <w:lvl w:ilvl="1" w:tplc="342AB3D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25AA2"/>
    <w:multiLevelType w:val="hybridMultilevel"/>
    <w:tmpl w:val="27D6B9CE"/>
    <w:lvl w:ilvl="0" w:tplc="606A2FA6">
      <w:start w:val="1"/>
      <w:numFmt w:val="decimal"/>
      <w:lvlText w:val="%1."/>
      <w:lvlJc w:val="left"/>
      <w:pPr>
        <w:ind w:left="1080" w:hanging="360"/>
      </w:pPr>
      <w:rPr>
        <w:rFonts w:asciiTheme="minorHAnsi" w:hAnsiTheme="minorHAnsi" w:cs="Calibri (Body)"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74581B"/>
    <w:multiLevelType w:val="multilevel"/>
    <w:tmpl w:val="07FE2012"/>
    <w:styleLink w:val="CurrentList4"/>
    <w:lvl w:ilvl="0">
      <w:start w:val="1"/>
      <w:numFmt w:val="lowerRoman"/>
      <w:lvlText w:val="%1."/>
      <w:lvlJc w:val="right"/>
      <w:pPr>
        <w:ind w:left="180" w:hanging="180"/>
      </w:pPr>
    </w:lvl>
    <w:lvl w:ilvl="1">
      <w:start w:val="1"/>
      <w:numFmt w:val="lowerLetter"/>
      <w:lvlText w:val="%2."/>
      <w:lvlJc w:val="left"/>
      <w:pPr>
        <w:ind w:left="-540" w:hanging="360"/>
      </w:pPr>
    </w:lvl>
    <w:lvl w:ilvl="2">
      <w:start w:val="1"/>
      <w:numFmt w:val="lowerRoman"/>
      <w:lvlText w:val="%3."/>
      <w:lvlJc w:val="right"/>
      <w:pPr>
        <w:ind w:left="180" w:hanging="180"/>
      </w:pPr>
    </w:lvl>
    <w:lvl w:ilvl="3">
      <w:start w:val="1"/>
      <w:numFmt w:val="decimal"/>
      <w:lvlText w:val="%4."/>
      <w:lvlJc w:val="left"/>
      <w:pPr>
        <w:ind w:left="900" w:hanging="360"/>
      </w:pPr>
    </w:lvl>
    <w:lvl w:ilvl="4">
      <w:start w:val="1"/>
      <w:numFmt w:val="lowerLetter"/>
      <w:lvlText w:val="%5."/>
      <w:lvlJc w:val="left"/>
      <w:pPr>
        <w:ind w:left="1620" w:hanging="360"/>
      </w:pPr>
    </w:lvl>
    <w:lvl w:ilvl="5">
      <w:start w:val="1"/>
      <w:numFmt w:val="lowerRoman"/>
      <w:lvlText w:val="%6."/>
      <w:lvlJc w:val="right"/>
      <w:pPr>
        <w:ind w:left="2340" w:hanging="180"/>
      </w:pPr>
    </w:lvl>
    <w:lvl w:ilvl="6">
      <w:start w:val="1"/>
      <w:numFmt w:val="decimal"/>
      <w:lvlText w:val="%7."/>
      <w:lvlJc w:val="left"/>
      <w:pPr>
        <w:ind w:left="3060" w:hanging="360"/>
      </w:pPr>
    </w:lvl>
    <w:lvl w:ilvl="7">
      <w:start w:val="1"/>
      <w:numFmt w:val="lowerLetter"/>
      <w:lvlText w:val="%8."/>
      <w:lvlJc w:val="left"/>
      <w:pPr>
        <w:ind w:left="3780" w:hanging="360"/>
      </w:pPr>
    </w:lvl>
    <w:lvl w:ilvl="8">
      <w:start w:val="1"/>
      <w:numFmt w:val="lowerRoman"/>
      <w:lvlText w:val="%9."/>
      <w:lvlJc w:val="right"/>
      <w:pPr>
        <w:ind w:left="4500" w:hanging="180"/>
      </w:pPr>
    </w:lvl>
  </w:abstractNum>
  <w:abstractNum w:abstractNumId="15" w15:restartNumberingAfterBreak="0">
    <w:nsid w:val="29351BC5"/>
    <w:multiLevelType w:val="hybridMultilevel"/>
    <w:tmpl w:val="2AA41A12"/>
    <w:lvl w:ilvl="0" w:tplc="0409000F">
      <w:start w:val="1"/>
      <w:numFmt w:val="decimal"/>
      <w:lvlText w:val="%1."/>
      <w:lvlJc w:val="left"/>
      <w:pPr>
        <w:ind w:left="144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2CB72468"/>
    <w:multiLevelType w:val="hybridMultilevel"/>
    <w:tmpl w:val="A88A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62A2E"/>
    <w:multiLevelType w:val="hybridMultilevel"/>
    <w:tmpl w:val="CF76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83962"/>
    <w:multiLevelType w:val="multilevel"/>
    <w:tmpl w:val="1FF6A800"/>
    <w:styleLink w:val="CurrentList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D5409F"/>
    <w:multiLevelType w:val="multilevel"/>
    <w:tmpl w:val="8DEAB030"/>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D62AAF"/>
    <w:multiLevelType w:val="hybridMultilevel"/>
    <w:tmpl w:val="5312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B4B41"/>
    <w:multiLevelType w:val="hybridMultilevel"/>
    <w:tmpl w:val="5F940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EC21B7"/>
    <w:multiLevelType w:val="hybridMultilevel"/>
    <w:tmpl w:val="27F8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94534"/>
    <w:multiLevelType w:val="hybridMultilevel"/>
    <w:tmpl w:val="D8CA609E"/>
    <w:lvl w:ilvl="0" w:tplc="244834A6">
      <w:start w:val="1"/>
      <w:numFmt w:val="decimal"/>
      <w:lvlText w:val="%1."/>
      <w:lvlJc w:val="left"/>
      <w:pPr>
        <w:ind w:left="360" w:hanging="360"/>
      </w:pPr>
      <w:rPr>
        <w:rFonts w:asciiTheme="minorHAnsi" w:hAnsiTheme="minorHAnsi" w:hint="default"/>
        <w:b w:val="0"/>
        <w:bCs/>
        <w:i w:val="0"/>
        <w:color w:val="000000" w:themeColor="text1"/>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F567BFF"/>
    <w:multiLevelType w:val="hybridMultilevel"/>
    <w:tmpl w:val="5E94DF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111188"/>
    <w:multiLevelType w:val="hybridMultilevel"/>
    <w:tmpl w:val="00A40DA0"/>
    <w:lvl w:ilvl="0" w:tplc="56B4A6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E5F81"/>
    <w:multiLevelType w:val="hybridMultilevel"/>
    <w:tmpl w:val="6BA4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C01CB"/>
    <w:multiLevelType w:val="hybridMultilevel"/>
    <w:tmpl w:val="E826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84A65"/>
    <w:multiLevelType w:val="hybridMultilevel"/>
    <w:tmpl w:val="784A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CD715F"/>
    <w:multiLevelType w:val="hybridMultilevel"/>
    <w:tmpl w:val="E910B9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450"/>
        </w:tabs>
        <w:ind w:left="-450" w:hanging="360"/>
      </w:pPr>
      <w:rPr>
        <w:rFonts w:ascii="Symbol" w:hAnsi="Symbol" w:hint="default"/>
      </w:rPr>
    </w:lvl>
    <w:lvl w:ilvl="2" w:tplc="F3C2F826">
      <w:start w:val="1"/>
      <w:numFmt w:val="bullet"/>
      <w:lvlText w:val="o"/>
      <w:lvlJc w:val="left"/>
      <w:pPr>
        <w:tabs>
          <w:tab w:val="num" w:pos="270"/>
        </w:tabs>
        <w:ind w:left="270" w:hanging="360"/>
      </w:pPr>
      <w:rPr>
        <w:rFonts w:ascii="Arial" w:hAnsi="Arial" w:cs="Arial" w:hint="default"/>
      </w:rPr>
    </w:lvl>
    <w:lvl w:ilvl="3" w:tplc="00010409">
      <w:start w:val="1"/>
      <w:numFmt w:val="bullet"/>
      <w:lvlText w:val=""/>
      <w:lvlJc w:val="left"/>
      <w:pPr>
        <w:tabs>
          <w:tab w:val="num" w:pos="2070"/>
        </w:tabs>
        <w:ind w:left="2070" w:hanging="360"/>
      </w:pPr>
      <w:rPr>
        <w:rFonts w:ascii="Symbol" w:hAnsi="Symbol" w:hint="default"/>
      </w:rPr>
    </w:lvl>
    <w:lvl w:ilvl="4" w:tplc="00030409">
      <w:start w:val="1"/>
      <w:numFmt w:val="bullet"/>
      <w:lvlText w:val="o"/>
      <w:lvlJc w:val="left"/>
      <w:pPr>
        <w:tabs>
          <w:tab w:val="num" w:pos="2790"/>
        </w:tabs>
        <w:ind w:left="2790" w:hanging="360"/>
      </w:pPr>
      <w:rPr>
        <w:rFonts w:ascii="Courier New" w:hAnsi="Courier New" w:hint="default"/>
      </w:rPr>
    </w:lvl>
    <w:lvl w:ilvl="5" w:tplc="00050409" w:tentative="1">
      <w:start w:val="1"/>
      <w:numFmt w:val="bullet"/>
      <w:lvlText w:val=""/>
      <w:lvlJc w:val="left"/>
      <w:pPr>
        <w:tabs>
          <w:tab w:val="num" w:pos="3510"/>
        </w:tabs>
        <w:ind w:left="3510" w:hanging="360"/>
      </w:pPr>
      <w:rPr>
        <w:rFonts w:ascii="Wingdings" w:hAnsi="Wingdings" w:hint="default"/>
      </w:rPr>
    </w:lvl>
    <w:lvl w:ilvl="6" w:tplc="00010409" w:tentative="1">
      <w:start w:val="1"/>
      <w:numFmt w:val="bullet"/>
      <w:lvlText w:val=""/>
      <w:lvlJc w:val="left"/>
      <w:pPr>
        <w:tabs>
          <w:tab w:val="num" w:pos="4230"/>
        </w:tabs>
        <w:ind w:left="4230" w:hanging="360"/>
      </w:pPr>
      <w:rPr>
        <w:rFonts w:ascii="Symbol" w:hAnsi="Symbol" w:hint="default"/>
      </w:rPr>
    </w:lvl>
    <w:lvl w:ilvl="7" w:tplc="00030409" w:tentative="1">
      <w:start w:val="1"/>
      <w:numFmt w:val="bullet"/>
      <w:lvlText w:val="o"/>
      <w:lvlJc w:val="left"/>
      <w:pPr>
        <w:tabs>
          <w:tab w:val="num" w:pos="4950"/>
        </w:tabs>
        <w:ind w:left="4950" w:hanging="360"/>
      </w:pPr>
      <w:rPr>
        <w:rFonts w:ascii="Courier New" w:hAnsi="Courier New" w:hint="default"/>
      </w:rPr>
    </w:lvl>
    <w:lvl w:ilvl="8" w:tplc="00050409" w:tentative="1">
      <w:start w:val="1"/>
      <w:numFmt w:val="bullet"/>
      <w:lvlText w:val=""/>
      <w:lvlJc w:val="left"/>
      <w:pPr>
        <w:tabs>
          <w:tab w:val="num" w:pos="5670"/>
        </w:tabs>
        <w:ind w:left="5670" w:hanging="360"/>
      </w:pPr>
      <w:rPr>
        <w:rFonts w:ascii="Wingdings" w:hAnsi="Wingdings" w:hint="default"/>
      </w:rPr>
    </w:lvl>
  </w:abstractNum>
  <w:abstractNum w:abstractNumId="30" w15:restartNumberingAfterBreak="0">
    <w:nsid w:val="4E5D0F9F"/>
    <w:multiLevelType w:val="hybridMultilevel"/>
    <w:tmpl w:val="E85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259F7"/>
    <w:multiLevelType w:val="multilevel"/>
    <w:tmpl w:val="A7108244"/>
    <w:styleLink w:val="CurrentList1"/>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4D53C13"/>
    <w:multiLevelType w:val="hybridMultilevel"/>
    <w:tmpl w:val="DBE6A5AC"/>
    <w:lvl w:ilvl="0" w:tplc="9F40FB5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C54C8"/>
    <w:multiLevelType w:val="multilevel"/>
    <w:tmpl w:val="A67C5DEC"/>
    <w:styleLink w:val="CurrentList12"/>
    <w:lvl w:ilvl="0">
      <w:start w:val="1"/>
      <w:numFmt w:val="decimal"/>
      <w:lvlText w:val="%1."/>
      <w:lvlJc w:val="left"/>
      <w:pPr>
        <w:ind w:left="1080" w:hanging="360"/>
      </w:pPr>
      <w:rPr>
        <w:rFonts w:cs="Calibri (Body)"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6F53A33"/>
    <w:multiLevelType w:val="multilevel"/>
    <w:tmpl w:val="367C986E"/>
    <w:styleLink w:val="CurrentList13"/>
    <w:lvl w:ilvl="0">
      <w:start w:val="1"/>
      <w:numFmt w:val="decimal"/>
      <w:lvlText w:val="%1."/>
      <w:lvlJc w:val="left"/>
      <w:pPr>
        <w:ind w:left="720" w:hanging="360"/>
      </w:pPr>
      <w:rPr>
        <w:rFonts w:hint="default"/>
        <w:b/>
        <w:bCs/>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E97AE0"/>
    <w:multiLevelType w:val="multilevel"/>
    <w:tmpl w:val="A2565BD6"/>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B4B2227"/>
    <w:multiLevelType w:val="hybridMultilevel"/>
    <w:tmpl w:val="DDA0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40CAD"/>
    <w:multiLevelType w:val="hybridMultilevel"/>
    <w:tmpl w:val="DD1E85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0F749D"/>
    <w:multiLevelType w:val="hybridMultilevel"/>
    <w:tmpl w:val="1A20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1531E"/>
    <w:multiLevelType w:val="multilevel"/>
    <w:tmpl w:val="A2565BD6"/>
    <w:styleLink w:val="CurrentList7"/>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1F55E9"/>
    <w:multiLevelType w:val="hybridMultilevel"/>
    <w:tmpl w:val="E850D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AE2752"/>
    <w:multiLevelType w:val="hybridMultilevel"/>
    <w:tmpl w:val="6DE4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3A0746"/>
    <w:multiLevelType w:val="multilevel"/>
    <w:tmpl w:val="54FEEDD0"/>
    <w:styleLink w:val="CurrentList1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73ED1BDE"/>
    <w:multiLevelType w:val="multilevel"/>
    <w:tmpl w:val="A7108244"/>
    <w:styleLink w:val="CurrentList2"/>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3EF7BDE"/>
    <w:multiLevelType w:val="multilevel"/>
    <w:tmpl w:val="620CD5CE"/>
    <w:styleLink w:val="CurrentList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E87357"/>
    <w:multiLevelType w:val="hybridMultilevel"/>
    <w:tmpl w:val="22965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0741D9"/>
    <w:multiLevelType w:val="hybridMultilevel"/>
    <w:tmpl w:val="CB422D3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26042379">
    <w:abstractNumId w:val="13"/>
  </w:num>
  <w:num w:numId="2" w16cid:durableId="399911525">
    <w:abstractNumId w:val="6"/>
  </w:num>
  <w:num w:numId="3" w16cid:durableId="189609078">
    <w:abstractNumId w:val="4"/>
  </w:num>
  <w:num w:numId="4" w16cid:durableId="2146658419">
    <w:abstractNumId w:val="11"/>
  </w:num>
  <w:num w:numId="5" w16cid:durableId="1255701644">
    <w:abstractNumId w:val="25"/>
  </w:num>
  <w:num w:numId="6" w16cid:durableId="1609896174">
    <w:abstractNumId w:val="10"/>
  </w:num>
  <w:num w:numId="7" w16cid:durableId="618492760">
    <w:abstractNumId w:val="36"/>
  </w:num>
  <w:num w:numId="8" w16cid:durableId="227308609">
    <w:abstractNumId w:val="15"/>
  </w:num>
  <w:num w:numId="9" w16cid:durableId="1423070912">
    <w:abstractNumId w:val="9"/>
  </w:num>
  <w:num w:numId="10" w16cid:durableId="1657955414">
    <w:abstractNumId w:val="40"/>
  </w:num>
  <w:num w:numId="11" w16cid:durableId="1026758880">
    <w:abstractNumId w:val="23"/>
  </w:num>
  <w:num w:numId="12" w16cid:durableId="1362777332">
    <w:abstractNumId w:val="2"/>
  </w:num>
  <w:num w:numId="13" w16cid:durableId="724648111">
    <w:abstractNumId w:val="29"/>
  </w:num>
  <w:num w:numId="14" w16cid:durableId="884760209">
    <w:abstractNumId w:val="12"/>
  </w:num>
  <w:num w:numId="15" w16cid:durableId="492646298">
    <w:abstractNumId w:val="26"/>
  </w:num>
  <w:num w:numId="16" w16cid:durableId="1633560034">
    <w:abstractNumId w:val="32"/>
  </w:num>
  <w:num w:numId="17" w16cid:durableId="1294481730">
    <w:abstractNumId w:val="37"/>
  </w:num>
  <w:num w:numId="18" w16cid:durableId="1563716252">
    <w:abstractNumId w:val="21"/>
  </w:num>
  <w:num w:numId="19" w16cid:durableId="741560672">
    <w:abstractNumId w:val="46"/>
  </w:num>
  <w:num w:numId="20" w16cid:durableId="783771849">
    <w:abstractNumId w:val="31"/>
  </w:num>
  <w:num w:numId="21" w16cid:durableId="1032922290">
    <w:abstractNumId w:val="43"/>
  </w:num>
  <w:num w:numId="22" w16cid:durableId="2114587793">
    <w:abstractNumId w:val="8"/>
  </w:num>
  <w:num w:numId="23" w16cid:durableId="1279991289">
    <w:abstractNumId w:val="14"/>
  </w:num>
  <w:num w:numId="24" w16cid:durableId="2111462465">
    <w:abstractNumId w:val="0"/>
  </w:num>
  <w:num w:numId="25" w16cid:durableId="1639149239">
    <w:abstractNumId w:val="1"/>
  </w:num>
  <w:num w:numId="26" w16cid:durableId="432288789">
    <w:abstractNumId w:val="39"/>
  </w:num>
  <w:num w:numId="27" w16cid:durableId="914240229">
    <w:abstractNumId w:val="19"/>
  </w:num>
  <w:num w:numId="28" w16cid:durableId="242766486">
    <w:abstractNumId w:val="35"/>
  </w:num>
  <w:num w:numId="29" w16cid:durableId="181363160">
    <w:abstractNumId w:val="44"/>
  </w:num>
  <w:num w:numId="30" w16cid:durableId="1842743766">
    <w:abstractNumId w:val="18"/>
  </w:num>
  <w:num w:numId="31" w16cid:durableId="451939480">
    <w:abstractNumId w:val="33"/>
  </w:num>
  <w:num w:numId="32" w16cid:durableId="1238322340">
    <w:abstractNumId w:val="17"/>
  </w:num>
  <w:num w:numId="33" w16cid:durableId="1715960367">
    <w:abstractNumId w:val="41"/>
  </w:num>
  <w:num w:numId="34" w16cid:durableId="911894486">
    <w:abstractNumId w:val="30"/>
  </w:num>
  <w:num w:numId="35" w16cid:durableId="870873315">
    <w:abstractNumId w:val="45"/>
  </w:num>
  <w:num w:numId="36" w16cid:durableId="1727490633">
    <w:abstractNumId w:val="20"/>
  </w:num>
  <w:num w:numId="37" w16cid:durableId="1496843488">
    <w:abstractNumId w:val="16"/>
  </w:num>
  <w:num w:numId="38" w16cid:durableId="26219436">
    <w:abstractNumId w:val="34"/>
  </w:num>
  <w:num w:numId="39" w16cid:durableId="131022973">
    <w:abstractNumId w:val="28"/>
  </w:num>
  <w:num w:numId="40" w16cid:durableId="1696883100">
    <w:abstractNumId w:val="38"/>
  </w:num>
  <w:num w:numId="41" w16cid:durableId="1144665437">
    <w:abstractNumId w:val="42"/>
  </w:num>
  <w:num w:numId="42" w16cid:durableId="155194350">
    <w:abstractNumId w:val="24"/>
  </w:num>
  <w:num w:numId="43" w16cid:durableId="1959023057">
    <w:abstractNumId w:val="3"/>
  </w:num>
  <w:num w:numId="44" w16cid:durableId="2023244844">
    <w:abstractNumId w:val="5"/>
  </w:num>
  <w:num w:numId="45" w16cid:durableId="903948905">
    <w:abstractNumId w:val="27"/>
  </w:num>
  <w:num w:numId="46" w16cid:durableId="1810052043">
    <w:abstractNumId w:val="7"/>
  </w:num>
  <w:num w:numId="47" w16cid:durableId="198124797">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readOnly" w:enforcement="1" w:cryptProviderType="rsaAES" w:cryptAlgorithmClass="hash" w:cryptAlgorithmType="typeAny" w:cryptAlgorithmSid="14" w:cryptSpinCount="100000" w:hash="VAoVNu9Z3lRvZEYBa03pe3d0xzjRnUzqKqZstUnoJrAg5I8kpiusUKqaBeVMK696vubSPlvunE5SOUyuF3qdkA==" w:salt="B8kuMwaOKPfE04dAPe3WQ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846"/>
    <w:rsid w:val="00000D4B"/>
    <w:rsid w:val="00025E47"/>
    <w:rsid w:val="00040A13"/>
    <w:rsid w:val="00042C3B"/>
    <w:rsid w:val="0004544E"/>
    <w:rsid w:val="0007229F"/>
    <w:rsid w:val="00085772"/>
    <w:rsid w:val="00085A56"/>
    <w:rsid w:val="00090FD3"/>
    <w:rsid w:val="0009319E"/>
    <w:rsid w:val="000A085D"/>
    <w:rsid w:val="000D3C14"/>
    <w:rsid w:val="00101CB3"/>
    <w:rsid w:val="001173FB"/>
    <w:rsid w:val="001271ED"/>
    <w:rsid w:val="00143C9B"/>
    <w:rsid w:val="00163BA7"/>
    <w:rsid w:val="00170B26"/>
    <w:rsid w:val="0017477D"/>
    <w:rsid w:val="00182B09"/>
    <w:rsid w:val="00183C5B"/>
    <w:rsid w:val="001911BF"/>
    <w:rsid w:val="0019591E"/>
    <w:rsid w:val="001A2C03"/>
    <w:rsid w:val="001A6543"/>
    <w:rsid w:val="001C17EA"/>
    <w:rsid w:val="001D23F4"/>
    <w:rsid w:val="001D2A05"/>
    <w:rsid w:val="001F206B"/>
    <w:rsid w:val="0020050F"/>
    <w:rsid w:val="002114F7"/>
    <w:rsid w:val="0021692A"/>
    <w:rsid w:val="00225851"/>
    <w:rsid w:val="00236EE7"/>
    <w:rsid w:val="00241F25"/>
    <w:rsid w:val="00243199"/>
    <w:rsid w:val="00261B2D"/>
    <w:rsid w:val="0027132F"/>
    <w:rsid w:val="0027213D"/>
    <w:rsid w:val="00272BC7"/>
    <w:rsid w:val="00281A72"/>
    <w:rsid w:val="002A6F8C"/>
    <w:rsid w:val="002B7446"/>
    <w:rsid w:val="002D13E0"/>
    <w:rsid w:val="002F4566"/>
    <w:rsid w:val="00310852"/>
    <w:rsid w:val="00320FDA"/>
    <w:rsid w:val="00321D73"/>
    <w:rsid w:val="00323FC9"/>
    <w:rsid w:val="00324B1C"/>
    <w:rsid w:val="00340D3C"/>
    <w:rsid w:val="0037752A"/>
    <w:rsid w:val="003911D4"/>
    <w:rsid w:val="003948DA"/>
    <w:rsid w:val="003B0D7C"/>
    <w:rsid w:val="003B1A3F"/>
    <w:rsid w:val="003C3E65"/>
    <w:rsid w:val="003C684B"/>
    <w:rsid w:val="003E3DE4"/>
    <w:rsid w:val="003F2596"/>
    <w:rsid w:val="00415800"/>
    <w:rsid w:val="00420C35"/>
    <w:rsid w:val="004247FE"/>
    <w:rsid w:val="00450FBA"/>
    <w:rsid w:val="0047449C"/>
    <w:rsid w:val="0049573F"/>
    <w:rsid w:val="00497012"/>
    <w:rsid w:val="004A4C4C"/>
    <w:rsid w:val="004B06CD"/>
    <w:rsid w:val="004B6F9B"/>
    <w:rsid w:val="004C0DCB"/>
    <w:rsid w:val="004D4508"/>
    <w:rsid w:val="004E7CF5"/>
    <w:rsid w:val="00501B06"/>
    <w:rsid w:val="00517657"/>
    <w:rsid w:val="00517AAA"/>
    <w:rsid w:val="00543EE2"/>
    <w:rsid w:val="005766AA"/>
    <w:rsid w:val="00580A99"/>
    <w:rsid w:val="00583092"/>
    <w:rsid w:val="005851A1"/>
    <w:rsid w:val="005857F9"/>
    <w:rsid w:val="0058670B"/>
    <w:rsid w:val="00590AB2"/>
    <w:rsid w:val="005B7416"/>
    <w:rsid w:val="005D0BE1"/>
    <w:rsid w:val="005E44B0"/>
    <w:rsid w:val="005F06B5"/>
    <w:rsid w:val="005F70C6"/>
    <w:rsid w:val="006149F8"/>
    <w:rsid w:val="00621D3C"/>
    <w:rsid w:val="00626FEF"/>
    <w:rsid w:val="006546A9"/>
    <w:rsid w:val="00655CE6"/>
    <w:rsid w:val="0067134D"/>
    <w:rsid w:val="006C3A96"/>
    <w:rsid w:val="006C3F9D"/>
    <w:rsid w:val="006F1F0D"/>
    <w:rsid w:val="00703748"/>
    <w:rsid w:val="0070568A"/>
    <w:rsid w:val="007061A7"/>
    <w:rsid w:val="0070732C"/>
    <w:rsid w:val="00710FE7"/>
    <w:rsid w:val="00711A04"/>
    <w:rsid w:val="0072001D"/>
    <w:rsid w:val="0074151A"/>
    <w:rsid w:val="00746904"/>
    <w:rsid w:val="007523A8"/>
    <w:rsid w:val="007608CE"/>
    <w:rsid w:val="00762EB0"/>
    <w:rsid w:val="00764342"/>
    <w:rsid w:val="00764EB1"/>
    <w:rsid w:val="00765846"/>
    <w:rsid w:val="00766FB9"/>
    <w:rsid w:val="00777AE0"/>
    <w:rsid w:val="00777BE6"/>
    <w:rsid w:val="007803DA"/>
    <w:rsid w:val="007858DD"/>
    <w:rsid w:val="00790548"/>
    <w:rsid w:val="0079422B"/>
    <w:rsid w:val="007C1D24"/>
    <w:rsid w:val="007C4324"/>
    <w:rsid w:val="007D3623"/>
    <w:rsid w:val="007E3335"/>
    <w:rsid w:val="00805EB4"/>
    <w:rsid w:val="00807A68"/>
    <w:rsid w:val="00822C9B"/>
    <w:rsid w:val="00825D1C"/>
    <w:rsid w:val="00834BDE"/>
    <w:rsid w:val="00845716"/>
    <w:rsid w:val="008528F0"/>
    <w:rsid w:val="0087761C"/>
    <w:rsid w:val="0088481A"/>
    <w:rsid w:val="008854FA"/>
    <w:rsid w:val="00894B52"/>
    <w:rsid w:val="008A45A3"/>
    <w:rsid w:val="008D0F16"/>
    <w:rsid w:val="008E1F1C"/>
    <w:rsid w:val="008F573D"/>
    <w:rsid w:val="009022DA"/>
    <w:rsid w:val="009055CF"/>
    <w:rsid w:val="00914523"/>
    <w:rsid w:val="009147EF"/>
    <w:rsid w:val="0092182A"/>
    <w:rsid w:val="00926004"/>
    <w:rsid w:val="00926A91"/>
    <w:rsid w:val="009425F9"/>
    <w:rsid w:val="00957CC0"/>
    <w:rsid w:val="0096520E"/>
    <w:rsid w:val="00965E55"/>
    <w:rsid w:val="00974ABB"/>
    <w:rsid w:val="009810F5"/>
    <w:rsid w:val="009835B9"/>
    <w:rsid w:val="00990E3D"/>
    <w:rsid w:val="009953A6"/>
    <w:rsid w:val="009959F9"/>
    <w:rsid w:val="00997F53"/>
    <w:rsid w:val="009A1B05"/>
    <w:rsid w:val="009A32C0"/>
    <w:rsid w:val="009A7A5B"/>
    <w:rsid w:val="009B5182"/>
    <w:rsid w:val="009B693F"/>
    <w:rsid w:val="009C783F"/>
    <w:rsid w:val="00A02801"/>
    <w:rsid w:val="00A17C4D"/>
    <w:rsid w:val="00A32A0E"/>
    <w:rsid w:val="00A32D37"/>
    <w:rsid w:val="00A35AAA"/>
    <w:rsid w:val="00A35D1F"/>
    <w:rsid w:val="00A440DC"/>
    <w:rsid w:val="00A460F8"/>
    <w:rsid w:val="00A53095"/>
    <w:rsid w:val="00A6702D"/>
    <w:rsid w:val="00A745A3"/>
    <w:rsid w:val="00A75F2B"/>
    <w:rsid w:val="00AA1584"/>
    <w:rsid w:val="00B0333A"/>
    <w:rsid w:val="00B06107"/>
    <w:rsid w:val="00B12DB7"/>
    <w:rsid w:val="00B312C1"/>
    <w:rsid w:val="00B738C1"/>
    <w:rsid w:val="00B83410"/>
    <w:rsid w:val="00B85ABD"/>
    <w:rsid w:val="00BB0DA5"/>
    <w:rsid w:val="00BB1E16"/>
    <w:rsid w:val="00BB61B4"/>
    <w:rsid w:val="00BC73C1"/>
    <w:rsid w:val="00BD7AF8"/>
    <w:rsid w:val="00BE2198"/>
    <w:rsid w:val="00BE7532"/>
    <w:rsid w:val="00BF0202"/>
    <w:rsid w:val="00C0146C"/>
    <w:rsid w:val="00C233F0"/>
    <w:rsid w:val="00C4374A"/>
    <w:rsid w:val="00C43CBB"/>
    <w:rsid w:val="00C5217E"/>
    <w:rsid w:val="00C61D4A"/>
    <w:rsid w:val="00C71459"/>
    <w:rsid w:val="00C71686"/>
    <w:rsid w:val="00C751AB"/>
    <w:rsid w:val="00C81486"/>
    <w:rsid w:val="00C81BFA"/>
    <w:rsid w:val="00C83A78"/>
    <w:rsid w:val="00C84575"/>
    <w:rsid w:val="00C86CA9"/>
    <w:rsid w:val="00CA1C6F"/>
    <w:rsid w:val="00CB5F47"/>
    <w:rsid w:val="00CC4AC8"/>
    <w:rsid w:val="00CF0229"/>
    <w:rsid w:val="00CF6AF5"/>
    <w:rsid w:val="00CF6C30"/>
    <w:rsid w:val="00D301B3"/>
    <w:rsid w:val="00D34823"/>
    <w:rsid w:val="00D353E7"/>
    <w:rsid w:val="00D66799"/>
    <w:rsid w:val="00D8014D"/>
    <w:rsid w:val="00D80227"/>
    <w:rsid w:val="00DA018F"/>
    <w:rsid w:val="00DA770B"/>
    <w:rsid w:val="00DB74F0"/>
    <w:rsid w:val="00DC3892"/>
    <w:rsid w:val="00DE38DB"/>
    <w:rsid w:val="00DE4F99"/>
    <w:rsid w:val="00DF2CAB"/>
    <w:rsid w:val="00DF6375"/>
    <w:rsid w:val="00DF7FB0"/>
    <w:rsid w:val="00E03825"/>
    <w:rsid w:val="00E21E6B"/>
    <w:rsid w:val="00E30421"/>
    <w:rsid w:val="00E32BA5"/>
    <w:rsid w:val="00E370FF"/>
    <w:rsid w:val="00E37DAB"/>
    <w:rsid w:val="00E42149"/>
    <w:rsid w:val="00E62713"/>
    <w:rsid w:val="00E82EAF"/>
    <w:rsid w:val="00E839A9"/>
    <w:rsid w:val="00E83BF6"/>
    <w:rsid w:val="00E843A9"/>
    <w:rsid w:val="00E847F0"/>
    <w:rsid w:val="00E9071F"/>
    <w:rsid w:val="00EA64E7"/>
    <w:rsid w:val="00EC0D2F"/>
    <w:rsid w:val="00EC2C55"/>
    <w:rsid w:val="00ED07A8"/>
    <w:rsid w:val="00ED2F5A"/>
    <w:rsid w:val="00EE623D"/>
    <w:rsid w:val="00EF0E3D"/>
    <w:rsid w:val="00EF758A"/>
    <w:rsid w:val="00F128DF"/>
    <w:rsid w:val="00F1409B"/>
    <w:rsid w:val="00F1430C"/>
    <w:rsid w:val="00F23E94"/>
    <w:rsid w:val="00F3244E"/>
    <w:rsid w:val="00F4569A"/>
    <w:rsid w:val="00F5311C"/>
    <w:rsid w:val="00F60595"/>
    <w:rsid w:val="00F629F8"/>
    <w:rsid w:val="00F66AE0"/>
    <w:rsid w:val="00F71D04"/>
    <w:rsid w:val="00F7725C"/>
    <w:rsid w:val="00F91A92"/>
    <w:rsid w:val="00F934D8"/>
    <w:rsid w:val="00F97966"/>
    <w:rsid w:val="00FA7140"/>
    <w:rsid w:val="00FC2ED2"/>
    <w:rsid w:val="00FC5B2B"/>
    <w:rsid w:val="00FD7D68"/>
    <w:rsid w:val="00FF1C55"/>
    <w:rsid w:val="00FF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CE5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846"/>
  </w:style>
  <w:style w:type="paragraph" w:styleId="Heading1">
    <w:name w:val="heading 1"/>
    <w:basedOn w:val="Normal"/>
    <w:next w:val="Normal"/>
    <w:link w:val="Heading1Char"/>
    <w:uiPriority w:val="9"/>
    <w:qFormat/>
    <w:rsid w:val="00762E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765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309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32F"/>
    <w:pPr>
      <w:tabs>
        <w:tab w:val="center" w:pos="4680"/>
        <w:tab w:val="right" w:pos="9360"/>
      </w:tabs>
    </w:pPr>
  </w:style>
  <w:style w:type="character" w:customStyle="1" w:styleId="HeaderChar">
    <w:name w:val="Header Char"/>
    <w:basedOn w:val="DefaultParagraphFont"/>
    <w:link w:val="Header"/>
    <w:uiPriority w:val="99"/>
    <w:rsid w:val="0027132F"/>
  </w:style>
  <w:style w:type="paragraph" w:styleId="Footer">
    <w:name w:val="footer"/>
    <w:basedOn w:val="Normal"/>
    <w:link w:val="FooterChar"/>
    <w:uiPriority w:val="99"/>
    <w:unhideWhenUsed/>
    <w:rsid w:val="0027132F"/>
    <w:pPr>
      <w:tabs>
        <w:tab w:val="center" w:pos="4680"/>
        <w:tab w:val="right" w:pos="9360"/>
      </w:tabs>
    </w:pPr>
  </w:style>
  <w:style w:type="character" w:customStyle="1" w:styleId="FooterChar">
    <w:name w:val="Footer Char"/>
    <w:basedOn w:val="DefaultParagraphFont"/>
    <w:link w:val="Footer"/>
    <w:uiPriority w:val="99"/>
    <w:rsid w:val="0027132F"/>
  </w:style>
  <w:style w:type="character" w:customStyle="1" w:styleId="Heading1Char">
    <w:name w:val="Heading 1 Char"/>
    <w:basedOn w:val="DefaultParagraphFont"/>
    <w:link w:val="Heading1"/>
    <w:uiPriority w:val="9"/>
    <w:rsid w:val="00762EB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2EB0"/>
    <w:pPr>
      <w:spacing w:before="480" w:line="276" w:lineRule="auto"/>
      <w:outlineLvl w:val="9"/>
    </w:pPr>
    <w:rPr>
      <w:b/>
      <w:bCs/>
      <w:sz w:val="28"/>
      <w:szCs w:val="28"/>
    </w:rPr>
  </w:style>
  <w:style w:type="paragraph" w:styleId="TOC1">
    <w:name w:val="toc 1"/>
    <w:basedOn w:val="Normal"/>
    <w:next w:val="Normal"/>
    <w:autoRedefine/>
    <w:uiPriority w:val="39"/>
    <w:unhideWhenUsed/>
    <w:rsid w:val="00762EB0"/>
    <w:pPr>
      <w:spacing w:before="240" w:after="120"/>
    </w:pPr>
    <w:rPr>
      <w:rFonts w:cstheme="minorHAnsi"/>
      <w:b/>
      <w:bCs/>
      <w:sz w:val="20"/>
      <w:szCs w:val="20"/>
    </w:rPr>
  </w:style>
  <w:style w:type="paragraph" w:styleId="TOC2">
    <w:name w:val="toc 2"/>
    <w:basedOn w:val="Normal"/>
    <w:next w:val="Normal"/>
    <w:autoRedefine/>
    <w:uiPriority w:val="39"/>
    <w:unhideWhenUsed/>
    <w:rsid w:val="009A32C0"/>
    <w:pPr>
      <w:tabs>
        <w:tab w:val="right" w:leader="dot" w:pos="9350"/>
      </w:tabs>
      <w:spacing w:before="120"/>
      <w:ind w:left="240"/>
    </w:pPr>
    <w:rPr>
      <w:rFonts w:cstheme="minorHAnsi"/>
      <w:b/>
      <w:bCs/>
      <w:noProof/>
      <w:sz w:val="20"/>
      <w:szCs w:val="20"/>
    </w:rPr>
  </w:style>
  <w:style w:type="paragraph" w:styleId="TOC3">
    <w:name w:val="toc 3"/>
    <w:basedOn w:val="Normal"/>
    <w:next w:val="Normal"/>
    <w:autoRedefine/>
    <w:uiPriority w:val="39"/>
    <w:unhideWhenUsed/>
    <w:rsid w:val="005E44B0"/>
    <w:pPr>
      <w:tabs>
        <w:tab w:val="right" w:leader="dot" w:pos="9350"/>
      </w:tabs>
      <w:ind w:left="475"/>
    </w:pPr>
    <w:rPr>
      <w:rFonts w:cstheme="minorHAnsi"/>
      <w:sz w:val="20"/>
      <w:szCs w:val="20"/>
    </w:rPr>
  </w:style>
  <w:style w:type="paragraph" w:styleId="TOC4">
    <w:name w:val="toc 4"/>
    <w:basedOn w:val="Normal"/>
    <w:next w:val="Normal"/>
    <w:autoRedefine/>
    <w:uiPriority w:val="39"/>
    <w:semiHidden/>
    <w:unhideWhenUsed/>
    <w:rsid w:val="00762EB0"/>
    <w:pPr>
      <w:ind w:left="720"/>
    </w:pPr>
    <w:rPr>
      <w:rFonts w:cstheme="minorHAnsi"/>
      <w:sz w:val="20"/>
      <w:szCs w:val="20"/>
    </w:rPr>
  </w:style>
  <w:style w:type="paragraph" w:styleId="TOC5">
    <w:name w:val="toc 5"/>
    <w:basedOn w:val="Normal"/>
    <w:next w:val="Normal"/>
    <w:autoRedefine/>
    <w:uiPriority w:val="39"/>
    <w:semiHidden/>
    <w:unhideWhenUsed/>
    <w:rsid w:val="00762EB0"/>
    <w:pPr>
      <w:ind w:left="960"/>
    </w:pPr>
    <w:rPr>
      <w:rFonts w:cstheme="minorHAnsi"/>
      <w:sz w:val="20"/>
      <w:szCs w:val="20"/>
    </w:rPr>
  </w:style>
  <w:style w:type="paragraph" w:styleId="TOC6">
    <w:name w:val="toc 6"/>
    <w:basedOn w:val="Normal"/>
    <w:next w:val="Normal"/>
    <w:autoRedefine/>
    <w:uiPriority w:val="39"/>
    <w:semiHidden/>
    <w:unhideWhenUsed/>
    <w:rsid w:val="00762EB0"/>
    <w:pPr>
      <w:ind w:left="1200"/>
    </w:pPr>
    <w:rPr>
      <w:rFonts w:cstheme="minorHAnsi"/>
      <w:sz w:val="20"/>
      <w:szCs w:val="20"/>
    </w:rPr>
  </w:style>
  <w:style w:type="paragraph" w:styleId="TOC7">
    <w:name w:val="toc 7"/>
    <w:basedOn w:val="Normal"/>
    <w:next w:val="Normal"/>
    <w:autoRedefine/>
    <w:uiPriority w:val="39"/>
    <w:semiHidden/>
    <w:unhideWhenUsed/>
    <w:rsid w:val="00762EB0"/>
    <w:pPr>
      <w:ind w:left="1440"/>
    </w:pPr>
    <w:rPr>
      <w:rFonts w:cstheme="minorHAnsi"/>
      <w:sz w:val="20"/>
      <w:szCs w:val="20"/>
    </w:rPr>
  </w:style>
  <w:style w:type="paragraph" w:styleId="TOC8">
    <w:name w:val="toc 8"/>
    <w:basedOn w:val="Normal"/>
    <w:next w:val="Normal"/>
    <w:autoRedefine/>
    <w:uiPriority w:val="39"/>
    <w:semiHidden/>
    <w:unhideWhenUsed/>
    <w:rsid w:val="00762EB0"/>
    <w:pPr>
      <w:ind w:left="1680"/>
    </w:pPr>
    <w:rPr>
      <w:rFonts w:cstheme="minorHAnsi"/>
      <w:sz w:val="20"/>
      <w:szCs w:val="20"/>
    </w:rPr>
  </w:style>
  <w:style w:type="paragraph" w:styleId="TOC9">
    <w:name w:val="toc 9"/>
    <w:basedOn w:val="Normal"/>
    <w:next w:val="Normal"/>
    <w:autoRedefine/>
    <w:uiPriority w:val="39"/>
    <w:semiHidden/>
    <w:unhideWhenUsed/>
    <w:rsid w:val="00762EB0"/>
    <w:pPr>
      <w:ind w:left="1920"/>
    </w:pPr>
    <w:rPr>
      <w:rFonts w:cstheme="minorHAnsi"/>
      <w:sz w:val="20"/>
      <w:szCs w:val="20"/>
    </w:rPr>
  </w:style>
  <w:style w:type="character" w:styleId="Hyperlink">
    <w:name w:val="Hyperlink"/>
    <w:basedOn w:val="DefaultParagraphFont"/>
    <w:uiPriority w:val="99"/>
    <w:unhideWhenUsed/>
    <w:rsid w:val="00790548"/>
    <w:rPr>
      <w:color w:val="0563C1" w:themeColor="hyperlink"/>
      <w:u w:val="single"/>
    </w:rPr>
  </w:style>
  <w:style w:type="paragraph" w:styleId="ListParagraph">
    <w:name w:val="List Paragraph"/>
    <w:basedOn w:val="Normal"/>
    <w:link w:val="ListParagraphChar"/>
    <w:uiPriority w:val="34"/>
    <w:qFormat/>
    <w:rsid w:val="00790548"/>
    <w:pPr>
      <w:ind w:left="720"/>
      <w:contextualSpacing/>
    </w:pPr>
  </w:style>
  <w:style w:type="character" w:customStyle="1" w:styleId="ListParagraphChar">
    <w:name w:val="List Paragraph Char"/>
    <w:basedOn w:val="DefaultParagraphFont"/>
    <w:link w:val="ListParagraph"/>
    <w:uiPriority w:val="34"/>
    <w:rsid w:val="00790548"/>
  </w:style>
  <w:style w:type="character" w:customStyle="1" w:styleId="color11">
    <w:name w:val="color_11"/>
    <w:basedOn w:val="DefaultParagraphFont"/>
    <w:rsid w:val="00790548"/>
  </w:style>
  <w:style w:type="character" w:customStyle="1" w:styleId="Heading2Char">
    <w:name w:val="Heading 2 Char"/>
    <w:basedOn w:val="DefaultParagraphFont"/>
    <w:link w:val="Heading2"/>
    <w:uiPriority w:val="9"/>
    <w:rsid w:val="00517657"/>
    <w:rPr>
      <w:rFonts w:asciiTheme="majorHAnsi" w:eastAsiaTheme="majorEastAsia" w:hAnsiTheme="majorHAnsi" w:cstheme="majorBidi"/>
      <w:color w:val="2F5496" w:themeColor="accent1" w:themeShade="BF"/>
      <w:sz w:val="26"/>
      <w:szCs w:val="26"/>
    </w:rPr>
  </w:style>
  <w:style w:type="character" w:customStyle="1" w:styleId="markedcontent">
    <w:name w:val="markedcontent"/>
    <w:basedOn w:val="DefaultParagraphFont"/>
    <w:rsid w:val="00621D3C"/>
  </w:style>
  <w:style w:type="paragraph" w:styleId="NormalWeb">
    <w:name w:val="Normal (Web)"/>
    <w:basedOn w:val="Normal"/>
    <w:uiPriority w:val="99"/>
    <w:unhideWhenUsed/>
    <w:rsid w:val="00621D3C"/>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21D3C"/>
    <w:rPr>
      <w:sz w:val="16"/>
      <w:szCs w:val="16"/>
    </w:rPr>
  </w:style>
  <w:style w:type="paragraph" w:styleId="CommentText">
    <w:name w:val="annotation text"/>
    <w:basedOn w:val="Normal"/>
    <w:link w:val="CommentTextChar"/>
    <w:uiPriority w:val="99"/>
    <w:unhideWhenUsed/>
    <w:rsid w:val="00621D3C"/>
    <w:pPr>
      <w:ind w:left="360" w:hanging="360"/>
    </w:pPr>
    <w:rPr>
      <w:sz w:val="20"/>
      <w:szCs w:val="20"/>
    </w:rPr>
  </w:style>
  <w:style w:type="character" w:customStyle="1" w:styleId="CommentTextChar">
    <w:name w:val="Comment Text Char"/>
    <w:basedOn w:val="DefaultParagraphFont"/>
    <w:link w:val="CommentText"/>
    <w:uiPriority w:val="99"/>
    <w:rsid w:val="00621D3C"/>
    <w:rPr>
      <w:sz w:val="20"/>
      <w:szCs w:val="20"/>
    </w:rPr>
  </w:style>
  <w:style w:type="character" w:customStyle="1" w:styleId="fcabze">
    <w:name w:val="fcabze"/>
    <w:basedOn w:val="DefaultParagraphFont"/>
    <w:rsid w:val="00655CE6"/>
  </w:style>
  <w:style w:type="paragraph" w:customStyle="1" w:styleId="Default">
    <w:name w:val="Default"/>
    <w:rsid w:val="00BB1E16"/>
    <w:pPr>
      <w:autoSpaceDE w:val="0"/>
      <w:autoSpaceDN w:val="0"/>
      <w:adjustRightInd w:val="0"/>
    </w:pPr>
    <w:rPr>
      <w:rFonts w:ascii="Arial" w:hAnsi="Arial" w:cs="Arial"/>
      <w:color w:val="000000"/>
    </w:rPr>
  </w:style>
  <w:style w:type="paragraph" w:styleId="CommentSubject">
    <w:name w:val="annotation subject"/>
    <w:basedOn w:val="CommentText"/>
    <w:next w:val="CommentText"/>
    <w:link w:val="CommentSubjectChar"/>
    <w:uiPriority w:val="99"/>
    <w:semiHidden/>
    <w:unhideWhenUsed/>
    <w:rsid w:val="00BB1E16"/>
    <w:pPr>
      <w:ind w:left="0" w:firstLine="0"/>
    </w:pPr>
    <w:rPr>
      <w:b/>
      <w:bCs/>
    </w:rPr>
  </w:style>
  <w:style w:type="character" w:customStyle="1" w:styleId="CommentSubjectChar">
    <w:name w:val="Comment Subject Char"/>
    <w:basedOn w:val="CommentTextChar"/>
    <w:link w:val="CommentSubject"/>
    <w:uiPriority w:val="99"/>
    <w:semiHidden/>
    <w:rsid w:val="00BB1E16"/>
    <w:rPr>
      <w:b/>
      <w:bCs/>
      <w:sz w:val="20"/>
      <w:szCs w:val="20"/>
    </w:rPr>
  </w:style>
  <w:style w:type="character" w:customStyle="1" w:styleId="Heading3Char">
    <w:name w:val="Heading 3 Char"/>
    <w:basedOn w:val="DefaultParagraphFont"/>
    <w:link w:val="Heading3"/>
    <w:uiPriority w:val="9"/>
    <w:rsid w:val="00A5309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A53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3095"/>
    <w:pPr>
      <w:spacing w:after="200"/>
    </w:pPr>
    <w:rPr>
      <w:i/>
      <w:iCs/>
      <w:color w:val="44546A" w:themeColor="text2"/>
      <w:sz w:val="18"/>
      <w:szCs w:val="18"/>
    </w:rPr>
  </w:style>
  <w:style w:type="character" w:customStyle="1" w:styleId="hgkelc">
    <w:name w:val="hgkelc"/>
    <w:basedOn w:val="DefaultParagraphFont"/>
    <w:rsid w:val="00F1409B"/>
  </w:style>
  <w:style w:type="paragraph" w:styleId="TableofFigures">
    <w:name w:val="table of figures"/>
    <w:basedOn w:val="Normal"/>
    <w:next w:val="Normal"/>
    <w:uiPriority w:val="99"/>
    <w:unhideWhenUsed/>
    <w:rsid w:val="00F66AE0"/>
  </w:style>
  <w:style w:type="character" w:customStyle="1" w:styleId="referencesauthors">
    <w:name w:val="references__authors"/>
    <w:basedOn w:val="DefaultParagraphFont"/>
    <w:rsid w:val="006C3F9D"/>
  </w:style>
  <w:style w:type="character" w:customStyle="1" w:styleId="referencesarticle-title">
    <w:name w:val="references__article-title"/>
    <w:basedOn w:val="DefaultParagraphFont"/>
    <w:rsid w:val="006C3F9D"/>
  </w:style>
  <w:style w:type="character" w:styleId="Strong">
    <w:name w:val="Strong"/>
    <w:basedOn w:val="DefaultParagraphFont"/>
    <w:uiPriority w:val="22"/>
    <w:qFormat/>
    <w:rsid w:val="006C3F9D"/>
    <w:rPr>
      <w:b/>
      <w:bCs/>
    </w:rPr>
  </w:style>
  <w:style w:type="character" w:customStyle="1" w:styleId="dewidow">
    <w:name w:val="dewidow"/>
    <w:basedOn w:val="DefaultParagraphFont"/>
    <w:rsid w:val="006C3F9D"/>
  </w:style>
  <w:style w:type="table" w:customStyle="1" w:styleId="TableGrid1">
    <w:name w:val="Table Grid1"/>
    <w:basedOn w:val="TableNormal"/>
    <w:next w:val="TableGrid"/>
    <w:uiPriority w:val="39"/>
    <w:rsid w:val="00A460F8"/>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847F0"/>
    <w:pPr>
      <w:numPr>
        <w:numId w:val="20"/>
      </w:numPr>
    </w:pPr>
  </w:style>
  <w:style w:type="numbering" w:customStyle="1" w:styleId="CurrentList2">
    <w:name w:val="Current List2"/>
    <w:uiPriority w:val="99"/>
    <w:rsid w:val="00E847F0"/>
    <w:pPr>
      <w:numPr>
        <w:numId w:val="21"/>
      </w:numPr>
    </w:pPr>
  </w:style>
  <w:style w:type="paragraph" w:customStyle="1" w:styleId="font0">
    <w:name w:val="font_0"/>
    <w:basedOn w:val="Normal"/>
    <w:rsid w:val="00E847F0"/>
    <w:pPr>
      <w:spacing w:before="100" w:beforeAutospacing="1" w:after="100" w:afterAutospacing="1"/>
    </w:pPr>
    <w:rPr>
      <w:rFonts w:ascii="Times New Roman" w:eastAsia="Times New Roman" w:hAnsi="Times New Roman" w:cs="Times New Roman"/>
    </w:rPr>
  </w:style>
  <w:style w:type="paragraph" w:customStyle="1" w:styleId="font8">
    <w:name w:val="font_8"/>
    <w:basedOn w:val="Normal"/>
    <w:rsid w:val="00E847F0"/>
    <w:pPr>
      <w:spacing w:before="100" w:beforeAutospacing="1" w:after="100" w:afterAutospacing="1"/>
    </w:pPr>
    <w:rPr>
      <w:rFonts w:ascii="Times New Roman" w:eastAsia="Times New Roman" w:hAnsi="Times New Roman" w:cs="Times New Roman"/>
    </w:rPr>
  </w:style>
  <w:style w:type="numbering" w:customStyle="1" w:styleId="CurrentList3">
    <w:name w:val="Current List3"/>
    <w:uiPriority w:val="99"/>
    <w:rsid w:val="00E847F0"/>
    <w:pPr>
      <w:numPr>
        <w:numId w:val="22"/>
      </w:numPr>
    </w:pPr>
  </w:style>
  <w:style w:type="paragraph" w:styleId="BodyText">
    <w:name w:val="Body Text"/>
    <w:basedOn w:val="Normal"/>
    <w:link w:val="BodyTextChar"/>
    <w:uiPriority w:val="1"/>
    <w:qFormat/>
    <w:rsid w:val="00E847F0"/>
    <w:pPr>
      <w:autoSpaceDE w:val="0"/>
      <w:autoSpaceDN w:val="0"/>
      <w:adjustRightInd w:val="0"/>
      <w:ind w:left="510" w:hanging="360"/>
    </w:pPr>
    <w:rPr>
      <w:rFonts w:ascii="Arial Narrow" w:hAnsi="Arial Narrow" w:cs="Arial Narrow"/>
    </w:rPr>
  </w:style>
  <w:style w:type="character" w:customStyle="1" w:styleId="BodyTextChar">
    <w:name w:val="Body Text Char"/>
    <w:basedOn w:val="DefaultParagraphFont"/>
    <w:link w:val="BodyText"/>
    <w:uiPriority w:val="1"/>
    <w:rsid w:val="00E847F0"/>
    <w:rPr>
      <w:rFonts w:ascii="Arial Narrow" w:hAnsi="Arial Narrow" w:cs="Arial Narrow"/>
    </w:rPr>
  </w:style>
  <w:style w:type="numbering" w:customStyle="1" w:styleId="CurrentList4">
    <w:name w:val="Current List4"/>
    <w:uiPriority w:val="99"/>
    <w:rsid w:val="00E847F0"/>
    <w:pPr>
      <w:numPr>
        <w:numId w:val="23"/>
      </w:numPr>
    </w:pPr>
  </w:style>
  <w:style w:type="character" w:styleId="PageNumber">
    <w:name w:val="page number"/>
    <w:basedOn w:val="DefaultParagraphFont"/>
    <w:uiPriority w:val="99"/>
    <w:semiHidden/>
    <w:unhideWhenUsed/>
    <w:rsid w:val="00E847F0"/>
  </w:style>
  <w:style w:type="numbering" w:customStyle="1" w:styleId="CurrentList5">
    <w:name w:val="Current List5"/>
    <w:uiPriority w:val="99"/>
    <w:rsid w:val="00E847F0"/>
    <w:pPr>
      <w:numPr>
        <w:numId w:val="24"/>
      </w:numPr>
    </w:pPr>
  </w:style>
  <w:style w:type="numbering" w:customStyle="1" w:styleId="CurrentList6">
    <w:name w:val="Current List6"/>
    <w:uiPriority w:val="99"/>
    <w:rsid w:val="00E847F0"/>
    <w:pPr>
      <w:numPr>
        <w:numId w:val="25"/>
      </w:numPr>
    </w:pPr>
  </w:style>
  <w:style w:type="numbering" w:customStyle="1" w:styleId="CurrentList7">
    <w:name w:val="Current List7"/>
    <w:uiPriority w:val="99"/>
    <w:rsid w:val="00E847F0"/>
    <w:pPr>
      <w:numPr>
        <w:numId w:val="26"/>
      </w:numPr>
    </w:pPr>
  </w:style>
  <w:style w:type="numbering" w:customStyle="1" w:styleId="CurrentList8">
    <w:name w:val="Current List8"/>
    <w:uiPriority w:val="99"/>
    <w:rsid w:val="00E847F0"/>
    <w:pPr>
      <w:numPr>
        <w:numId w:val="27"/>
      </w:numPr>
    </w:pPr>
  </w:style>
  <w:style w:type="paragraph" w:styleId="Revision">
    <w:name w:val="Revision"/>
    <w:hidden/>
    <w:uiPriority w:val="99"/>
    <w:semiHidden/>
    <w:rsid w:val="00E847F0"/>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E847F0"/>
    <w:rPr>
      <w:color w:val="605E5C"/>
      <w:shd w:val="clear" w:color="auto" w:fill="E1DFDD"/>
    </w:rPr>
  </w:style>
  <w:style w:type="character" w:styleId="FollowedHyperlink">
    <w:name w:val="FollowedHyperlink"/>
    <w:basedOn w:val="DefaultParagraphFont"/>
    <w:uiPriority w:val="99"/>
    <w:semiHidden/>
    <w:unhideWhenUsed/>
    <w:rsid w:val="00E847F0"/>
    <w:rPr>
      <w:color w:val="954F72" w:themeColor="followedHyperlink"/>
      <w:u w:val="single"/>
    </w:rPr>
  </w:style>
  <w:style w:type="paragraph" w:styleId="BalloonText">
    <w:name w:val="Balloon Text"/>
    <w:basedOn w:val="Normal"/>
    <w:link w:val="BalloonTextChar"/>
    <w:uiPriority w:val="99"/>
    <w:semiHidden/>
    <w:unhideWhenUsed/>
    <w:rsid w:val="00E847F0"/>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847F0"/>
    <w:rPr>
      <w:rFonts w:ascii="Segoe UI" w:eastAsia="Times New Roman" w:hAnsi="Segoe UI" w:cs="Segoe UI"/>
      <w:sz w:val="18"/>
      <w:szCs w:val="18"/>
    </w:rPr>
  </w:style>
  <w:style w:type="character" w:customStyle="1" w:styleId="referencesauthorsothers">
    <w:name w:val="references__authors__others"/>
    <w:basedOn w:val="DefaultParagraphFont"/>
    <w:rsid w:val="00E847F0"/>
  </w:style>
  <w:style w:type="character" w:customStyle="1" w:styleId="referencesyear">
    <w:name w:val="references__year"/>
    <w:basedOn w:val="DefaultParagraphFont"/>
    <w:rsid w:val="00E847F0"/>
  </w:style>
  <w:style w:type="character" w:customStyle="1" w:styleId="UnresolvedMention2">
    <w:name w:val="Unresolved Mention2"/>
    <w:basedOn w:val="DefaultParagraphFont"/>
    <w:uiPriority w:val="99"/>
    <w:semiHidden/>
    <w:unhideWhenUsed/>
    <w:rsid w:val="00E847F0"/>
    <w:rPr>
      <w:color w:val="605E5C"/>
      <w:shd w:val="clear" w:color="auto" w:fill="E1DFDD"/>
    </w:rPr>
  </w:style>
  <w:style w:type="character" w:styleId="UnresolvedMention">
    <w:name w:val="Unresolved Mention"/>
    <w:basedOn w:val="DefaultParagraphFont"/>
    <w:uiPriority w:val="99"/>
    <w:semiHidden/>
    <w:unhideWhenUsed/>
    <w:rsid w:val="00E847F0"/>
    <w:rPr>
      <w:color w:val="605E5C"/>
      <w:shd w:val="clear" w:color="auto" w:fill="E1DFDD"/>
    </w:rPr>
  </w:style>
  <w:style w:type="numbering" w:customStyle="1" w:styleId="CurrentList9">
    <w:name w:val="Current List9"/>
    <w:uiPriority w:val="99"/>
    <w:rsid w:val="00E847F0"/>
    <w:pPr>
      <w:numPr>
        <w:numId w:val="28"/>
      </w:numPr>
    </w:pPr>
  </w:style>
  <w:style w:type="numbering" w:customStyle="1" w:styleId="CurrentList10">
    <w:name w:val="Current List10"/>
    <w:uiPriority w:val="99"/>
    <w:rsid w:val="00E847F0"/>
    <w:pPr>
      <w:numPr>
        <w:numId w:val="29"/>
      </w:numPr>
    </w:pPr>
  </w:style>
  <w:style w:type="numbering" w:customStyle="1" w:styleId="CurrentList11">
    <w:name w:val="Current List11"/>
    <w:uiPriority w:val="99"/>
    <w:rsid w:val="00E847F0"/>
    <w:pPr>
      <w:numPr>
        <w:numId w:val="30"/>
      </w:numPr>
    </w:pPr>
  </w:style>
  <w:style w:type="numbering" w:customStyle="1" w:styleId="CurrentList12">
    <w:name w:val="Current List12"/>
    <w:uiPriority w:val="99"/>
    <w:rsid w:val="00E847F0"/>
    <w:pPr>
      <w:numPr>
        <w:numId w:val="31"/>
      </w:numPr>
    </w:pPr>
  </w:style>
  <w:style w:type="paragraph" w:styleId="FootnoteText">
    <w:name w:val="footnote text"/>
    <w:basedOn w:val="Normal"/>
    <w:link w:val="FootnoteTextChar"/>
    <w:uiPriority w:val="99"/>
    <w:semiHidden/>
    <w:unhideWhenUsed/>
    <w:rsid w:val="00E847F0"/>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847F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847F0"/>
    <w:rPr>
      <w:vertAlign w:val="superscript"/>
    </w:rPr>
  </w:style>
  <w:style w:type="character" w:customStyle="1" w:styleId="apple-tab-span">
    <w:name w:val="apple-tab-span"/>
    <w:basedOn w:val="DefaultParagraphFont"/>
    <w:rsid w:val="00E847F0"/>
  </w:style>
  <w:style w:type="numbering" w:customStyle="1" w:styleId="CurrentList13">
    <w:name w:val="Current List13"/>
    <w:uiPriority w:val="99"/>
    <w:rsid w:val="0009319E"/>
    <w:pPr>
      <w:numPr>
        <w:numId w:val="38"/>
      </w:numPr>
    </w:pPr>
  </w:style>
  <w:style w:type="numbering" w:customStyle="1" w:styleId="CurrentList14">
    <w:name w:val="Current List14"/>
    <w:uiPriority w:val="99"/>
    <w:rsid w:val="007061A7"/>
    <w:pPr>
      <w:numPr>
        <w:numId w:val="41"/>
      </w:numPr>
    </w:pPr>
  </w:style>
  <w:style w:type="numbering" w:customStyle="1" w:styleId="CurrentList15">
    <w:name w:val="Current List15"/>
    <w:uiPriority w:val="99"/>
    <w:rsid w:val="00F629F8"/>
    <w:pPr>
      <w:numPr>
        <w:numId w:val="43"/>
      </w:numPr>
    </w:pPr>
  </w:style>
  <w:style w:type="numbering" w:customStyle="1" w:styleId="CurrentList16">
    <w:name w:val="Current List16"/>
    <w:uiPriority w:val="99"/>
    <w:rsid w:val="001271E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occo.com/-/media/EOCCO/PDFs/providers/EOCCO_CBHP_2021.pdf" TargetMode="External"/><Relationship Id="rId21" Type="http://schemas.openxmlformats.org/officeDocument/2006/relationships/image" Target="media/image10.png"/><Relationship Id="rId42" Type="http://schemas.openxmlformats.org/officeDocument/2006/relationships/hyperlink" Target="https://www.ohsu.edu/oregon-office-of-rural-health/about-rural-and-frontier-data" TargetMode="External"/><Relationship Id="rId63" Type="http://schemas.openxmlformats.org/officeDocument/2006/relationships/hyperlink" Target="https://cat-team.org/wp-content/uploads/2020/09/CAT-Needs-Assessment-final-press.pdf" TargetMode="External"/><Relationship Id="rId84" Type="http://schemas.openxmlformats.org/officeDocument/2006/relationships/hyperlink" Target="https://www.lanecounty.org/government/county_departments/health_and_human_services/public_health/administration/public_health_reports_and_data/2019_community_health_status_assessment" TargetMode="External"/><Relationship Id="rId138" Type="http://schemas.openxmlformats.org/officeDocument/2006/relationships/hyperlink" Target="https://yamhillcco.org/wp-content/uploads/YCCO-CHIP-2019-2024.pdf" TargetMode="External"/><Relationship Id="rId107" Type="http://schemas.openxmlformats.org/officeDocument/2006/relationships/hyperlink" Target="https://cat-team.org/wp-content/uploads/2020/09/CAT-Needs-Assessment-final-press.pdf" TargetMode="External"/><Relationship Id="rId11" Type="http://schemas.openxmlformats.org/officeDocument/2006/relationships/image" Target="media/image3.jpeg"/><Relationship Id="rId32" Type="http://schemas.openxmlformats.org/officeDocument/2006/relationships/hyperlink" Target="https://www.oregon.gov/oha/HSD/BHP/CCBHC%20Documents/What-is-a-CCBHC.pdf" TargetMode="External"/><Relationship Id="rId53" Type="http://schemas.openxmlformats.org/officeDocument/2006/relationships/hyperlink" Target="https://jeffersonregionalhealthalliance.org/wp-content/uploads/2019/07/Full-CHIP-FINAL.pdf" TargetMode="External"/><Relationship Id="rId74" Type="http://schemas.openxmlformats.org/officeDocument/2006/relationships/hyperlink" Target="https://grantcountyoregon.net/DocumentCenter/View/718/2019--GCHD-Public-Health-Community-Health-Assessment" TargetMode="External"/><Relationship Id="rId128" Type="http://schemas.openxmlformats.org/officeDocument/2006/relationships/hyperlink" Target="http://www.livehealthylane.org/uploads/6/9/3/5/69353783/2016-2019_lane_county_regional_chip.pdf"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s://yamhillcco.org/wp-content/uploads/YCPH-CHA_reduced-size.pdf" TargetMode="External"/><Relationship Id="rId22" Type="http://schemas.openxmlformats.org/officeDocument/2006/relationships/image" Target="media/image11.png"/><Relationship Id="rId27" Type="http://schemas.openxmlformats.org/officeDocument/2006/relationships/hyperlink" Target="https://www.coalitioncommunitiescolor.org/research-and-publications/2021-behavioral-health-eng" TargetMode="External"/><Relationship Id="rId43" Type="http://schemas.openxmlformats.org/officeDocument/2006/relationships/hyperlink" Target="https://secure.sos.state.or.us/oard/displayDivisionRules.action;JSESSIONID_OARD=JNXjWofGW6aien3DZFm5QOXWk_gkWRcC7V1Bt5ZwGeNb6F4K3peJ!1490435588?selectedDivision=1011" TargetMode="External"/><Relationship Id="rId48" Type="http://schemas.openxmlformats.org/officeDocument/2006/relationships/hyperlink" Target="https://www.thelundreport.org/content/hhs-selects-oregon-new-program-improve-access-high-quality-behavioral-health-services" TargetMode="External"/><Relationship Id="rId64" Type="http://schemas.openxmlformats.org/officeDocument/2006/relationships/hyperlink" Target="https://www.deschutes.org/sites/default/files/fileattachments/health_services/page/11980/health_equity_report_2018_rev.2019_0.pdf" TargetMode="External"/><Relationship Id="rId69" Type="http://schemas.openxmlformats.org/officeDocument/2006/relationships/hyperlink" Target="https://www.eocco.com/eocco/-/media/eocco/pdfs/chip/chip_harney.pdf" TargetMode="External"/><Relationship Id="rId113" Type="http://schemas.openxmlformats.org/officeDocument/2006/relationships/hyperlink" Target="https://www.eocco.com/eocco/-media/eocco/pdfs/chip/chip_wallowa.pdf" TargetMode="External"/><Relationship Id="rId118" Type="http://schemas.openxmlformats.org/officeDocument/2006/relationships/hyperlink" Target="https://www.eocco.com/-/media/EOCCO/PDFs/providers/health_equity_strategic_plan.pdf" TargetMode="External"/><Relationship Id="rId134" Type="http://schemas.openxmlformats.org/officeDocument/2006/relationships/hyperlink" Target="http://multnomah.granicus.com/MetaViewer.php?view_id=3&amp;clip_id=1483&amp;meta_id=100568" TargetMode="External"/><Relationship Id="rId139" Type="http://schemas.openxmlformats.org/officeDocument/2006/relationships/hyperlink" Target="https://yamhillcco.org/wp-content/uploads/YCPH-CHA_reduced-size.pdf" TargetMode="External"/><Relationship Id="rId80" Type="http://schemas.openxmlformats.org/officeDocument/2006/relationships/hyperlink" Target="https://www.healthyklamath.org/content/sites/klamath/2018_Community_Health_Assessment_25FEB19FINAL.pdf" TargetMode="External"/><Relationship Id="rId85" Type="http://schemas.openxmlformats.org/officeDocument/2006/relationships/hyperlink" Target="https://cdn5-hosted.civiclive.com/UserFiles/Servers/Server_3585797/File/Government/County%20Departments/Health%20and%20Human%20Services/Public%20Health/CHP/FULLCHP2021-2025.pdf" TargetMode="External"/><Relationship Id="rId150"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s://www.oregon.gov/oha/HSD/BHP/Pages/CCBHC-Planning-Grant.aspx" TargetMode="External"/><Relationship Id="rId38" Type="http://schemas.openxmlformats.org/officeDocument/2006/relationships/hyperlink" Target="https://www.oregon.gov/oha/HPA/HP-HCW/Documents/HCWF-Committee-Equity-Framework-Report-final-Oct-2021.pdf" TargetMode="External"/><Relationship Id="rId59" Type="http://schemas.openxmlformats.org/officeDocument/2006/relationships/hyperlink" Target="https://static1.squarespace.com/static/5e7109f83cff1b7d10e22da6/t/5e726a0365f6a14df7d2c767/1584556567017/Final-CHA-December-10-2019-Full-Document.pdf" TargetMode="External"/><Relationship Id="rId103" Type="http://schemas.openxmlformats.org/officeDocument/2006/relationships/hyperlink" Target="https://static1.squarespace.com/static/5e7109f83cff1b7d10e22da6/t/5e726a0365f6a14df7d2c767/1584556567017/Final-CHA-December-10-2019-Full-Document.pdf" TargetMode="External"/><Relationship Id="rId108" Type="http://schemas.openxmlformats.org/officeDocument/2006/relationships/hyperlink" Target="https://www.deschutes.org/sites/default/files/fileattachments/health_services/page/11980/health_equity_report_2018_rev.2019_0.pdf" TargetMode="External"/><Relationship Id="rId124" Type="http://schemas.openxmlformats.org/officeDocument/2006/relationships/hyperlink" Target="https://www.healthshareoregon.org/storage/app/media/documents/Health%20Equity/Reports/CHNA/2019-2023%20Community%20Health%20Improvement%20Plan.pdf" TargetMode="External"/><Relationship Id="rId129" Type="http://schemas.openxmlformats.org/officeDocument/2006/relationships/hyperlink" Target="https://www.lanecounty.org/government/county_departments/health_and_human_services/public_health/administration/public_health_reports_and_data/2019_community_health_status_assessment" TargetMode="External"/><Relationship Id="rId54" Type="http://schemas.openxmlformats.org/officeDocument/2006/relationships/hyperlink" Target="https://www.allcarehealth.com/media/2825/accco-jackson-josephine-2019-chip-addendum-pq.pdf" TargetMode="External"/><Relationship Id="rId70" Type="http://schemas.openxmlformats.org/officeDocument/2006/relationships/hyperlink" Target="https://www.eocco.com/-/media/EOCCO/PDFs/CHIP/chip_grant.pdf" TargetMode="External"/><Relationship Id="rId75" Type="http://schemas.openxmlformats.org/officeDocument/2006/relationships/hyperlink" Target="https://www.harneydh.com/wp-content/uploads/2019/06/HC_CHNA_FINALREPORT_2019_withAppendix.pdf" TargetMode="External"/><Relationship Id="rId91" Type="http://schemas.openxmlformats.org/officeDocument/2006/relationships/hyperlink" Target="https://windingwaters.org/wp-content/uploads/2022/06/2022-PRC-CHNA-Report-Wallowa-County-OR-1-1.pdf" TargetMode="External"/><Relationship Id="rId96" Type="http://schemas.openxmlformats.org/officeDocument/2006/relationships/hyperlink" Target="https://www.allcarehealth.com/media/5497/aifh-equity-addendum_62022.pdf" TargetMode="External"/><Relationship Id="rId140" Type="http://schemas.openxmlformats.org/officeDocument/2006/relationships/image" Target="media/image14.png"/><Relationship Id="rId145"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hyperlink" Target="https://www.oregon.gov/oha/HSD/BHP/Documents/GBHAC-Final-Recommendations-Report.pdf" TargetMode="External"/><Relationship Id="rId49" Type="http://schemas.openxmlformats.org/officeDocument/2006/relationships/hyperlink" Target="https://everychildthrives.com/doing-evaluation-in-service-of-racial-equity/" TargetMode="External"/><Relationship Id="rId114" Type="http://schemas.openxmlformats.org/officeDocument/2006/relationships/hyperlink" Target="https://www.eocco.com/eocco/-/media/eocco/pdfs/chip/chip_harney.pdf" TargetMode="External"/><Relationship Id="rId119" Type="http://schemas.openxmlformats.org/officeDocument/2006/relationships/hyperlink" Target="https://grantcountyoregon.net/DocumentCenter/View/718/2019--GCHD-Public-Health-Community-Health-Assessment" TargetMode="External"/><Relationship Id="rId44" Type="http://schemas.openxmlformats.org/officeDocument/2006/relationships/hyperlink" Target="https://www.samhsa.gov/sites/default/files/samhsa-behavioral-health-integration.pdf" TargetMode="External"/><Relationship Id="rId60" Type="http://schemas.openxmlformats.org/officeDocument/2006/relationships/hyperlink" Target="https://static1.squarespace.com/static/5e7109f83cff1b7d10e22da6/t/60ccf8f0efd30f5bde726444/1624045867609/CHP+Narrative+FINAL+2021+including+appendices.pdf" TargetMode="External"/><Relationship Id="rId65" Type="http://schemas.openxmlformats.org/officeDocument/2006/relationships/hyperlink" Target="https://ccswebsite.org/wp-content/uploads/2021/11/2019-Community-Health-Assessment.pdf" TargetMode="External"/><Relationship Id="rId81" Type="http://schemas.openxmlformats.org/officeDocument/2006/relationships/hyperlink" Target="https://www.healthyklamath.org/content/sites/klamath/CHIP/FINAL_Klamath_County_Community_Health_Improvement_Plan_10192019.pdf" TargetMode="External"/><Relationship Id="rId86" Type="http://schemas.openxmlformats.org/officeDocument/2006/relationships/hyperlink" Target="https://www.wvcenterforwellness.org/images/PDFs/about_us/WallowaCHNAAssessment_FinalReport.pdf" TargetMode="External"/><Relationship Id="rId130" Type="http://schemas.openxmlformats.org/officeDocument/2006/relationships/hyperlink" Target="https://cdn5-hosted.civiclive.com/UserFiles/Servers/Server_3585797/File/Government/County%20-Departments/Health%20and%20Human%20Services/Public%20Health/CHP/FULLCHP2021-2025.pdf" TargetMode="External"/><Relationship Id="rId135" Type="http://schemas.openxmlformats.org/officeDocument/2006/relationships/hyperlink" Target="https://static1.squarespace.com/static/59fb987cbff200804ad33714/t/5dc1ba05b706e54739a3dd1a/1572977207565/CHIP+Summary+Report.pdf" TargetMode="External"/><Relationship Id="rId151" Type="http://schemas.openxmlformats.org/officeDocument/2006/relationships/customXml" Target="../customXml/item4.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orhealthleadershipcouncil.org/hit-commons/" TargetMode="External"/><Relationship Id="rId109" Type="http://schemas.openxmlformats.org/officeDocument/2006/relationships/hyperlink" Target="https://www.deschutes.org/sites/default/files/fileattachments/health_services/page/11980-/2020_central_oregon_health_equity_report.pdf" TargetMode="External"/><Relationship Id="rId34" Type="http://schemas.openxmlformats.org/officeDocument/2006/relationships/hyperlink" Target="https://www.oregon.gov/oha/hsd/bhp/Pages/Community-BH-Clinics.aspx" TargetMode="External"/><Relationship Id="rId50" Type="http://schemas.openxmlformats.org/officeDocument/2006/relationships/hyperlink" Target="https://www.whitehouse.gov/briefing-room/statements-releases/2022/03/01/fact-sheet-president-biden-to-announce-strategy-to-address-our-national-mental-health-crisis-as-part-of-unity-agenda-in-his-first-state-of-the-union/" TargetMode="External"/><Relationship Id="rId55" Type="http://schemas.openxmlformats.org/officeDocument/2006/relationships/hyperlink" Target="https://bluemountainhospital.org/wp-content/uploads/2022/06/2022-BMHD-CHNA-FINAL-with-link.pdf" TargetMode="External"/><Relationship Id="rId76" Type="http://schemas.openxmlformats.org/officeDocument/2006/relationships/hyperlink" Target="https://www.harneydh.com/wp-content/uploads/2022/08/FINAL-2022-CHNA-REPORT.pdf" TargetMode="External"/><Relationship Id="rId97" Type="http://schemas.openxmlformats.org/officeDocument/2006/relationships/hyperlink" Target="https://jeffersonregionalhealthalliance.org/wp-content/uploads/2019/07/Full-CHIP-FINAL.pdf" TargetMode="External"/><Relationship Id="rId104" Type="http://schemas.openxmlformats.org/officeDocument/2006/relationships/hyperlink" Target="https://static1.squarespace.com/static/5e7109f83cff1b7d10e22da6/t/60ccf8f0-efd30f5bde726444/1624045867609/CHP+Narrative+FINAL+2021+including+appendices.pdf" TargetMode="External"/><Relationship Id="rId120" Type="http://schemas.openxmlformats.org/officeDocument/2006/relationships/hyperlink" Target="https://www.harneydh.com/wp-content/uploads/2019/06/HC_CHNA_FINALREPORT_2019_with-Appendix.pdf" TargetMode="External"/><Relationship Id="rId125" Type="http://schemas.openxmlformats.org/officeDocument/2006/relationships/hyperlink" Target="https://www.healthyklamath.org/content/sites/klamath/2018_Community_Health_Assessment_25FEB19FINAL.pdf" TargetMode="External"/><Relationship Id="rId141" Type="http://schemas.openxmlformats.org/officeDocument/2006/relationships/hyperlink" Target="https://www.equitableeval.org/framework" TargetMode="External"/><Relationship Id="rId146" Type="http://schemas.openxmlformats.org/officeDocument/2006/relationships/image" Target="media/image16.emf"/><Relationship Id="rId7" Type="http://schemas.openxmlformats.org/officeDocument/2006/relationships/footnotes" Target="footnotes.xml"/><Relationship Id="rId71" Type="http://schemas.openxmlformats.org/officeDocument/2006/relationships/hyperlink" Target="https://www.oregon.gov/oha/HPA/dsi-tc/CCOCHIP/EOCCO%20CHP%20Progress%20Report%202021.pdf" TargetMode="External"/><Relationship Id="rId92" Type="http://schemas.openxmlformats.org/officeDocument/2006/relationships/hyperlink" Target="https://www.deschutes.org/sites/default/files/fileattachments/health_services/page/11980/2020_central_oregon_health_equity_report.pdf" TargetMode="External"/><Relationship Id="rId2" Type="http://schemas.openxmlformats.org/officeDocument/2006/relationships/customXml" Target="../customXml/item2.xml"/><Relationship Id="rId29" Type="http://schemas.openxmlformats.org/officeDocument/2006/relationships/hyperlink" Target="https://www.pcpcc.org/sites/default/files/resources/SAMHSA-HRSA%202013%20Framework%20for%20Levels%20of%20Integrated%20Healthcare.pdf" TargetMode="External"/><Relationship Id="rId24" Type="http://schemas.openxmlformats.org/officeDocument/2006/relationships/image" Target="media/image13.png"/><Relationship Id="rId40" Type="http://schemas.openxmlformats.org/officeDocument/2006/relationships/hyperlink" Target="https://olis.oregonlegislature.gov/liz/2021R1/Measures/Overview/HR6" TargetMode="External"/><Relationship Id="rId45" Type="http://schemas.openxmlformats.org/officeDocument/2006/relationships/hyperlink" Target="https://sos.oregon.gov/audits/Documents/2020-32.pdf" TargetMode="External"/><Relationship Id="rId66" Type="http://schemas.openxmlformats.org/officeDocument/2006/relationships/hyperlink" Target="https://www.eocco.com/-/media/EOCCO/PDFs/CHA/cha_harney.pdf" TargetMode="External"/><Relationship Id="rId87" Type="http://schemas.openxmlformats.org/officeDocument/2006/relationships/hyperlink" Target="https://www.wchcd.org/wp-content/uploads/2019/08/Wallowa-CHNA-Assessment-Final-Report-2019.pdf" TargetMode="External"/><Relationship Id="rId110" Type="http://schemas.openxmlformats.org/officeDocument/2006/relationships/hyperlink" Target="https://ccswebsite.org/wp-content/uploads/2021/11/2019-Community-Health-Assessment.pdf" TargetMode="External"/><Relationship Id="rId115" Type="http://schemas.openxmlformats.org/officeDocument/2006/relationships/hyperlink" Target="https://www.eocco.com/-/media/EOCCO/PDFs/CHIP/-chip_grant.pdf" TargetMode="External"/><Relationship Id="rId131" Type="http://schemas.openxmlformats.org/officeDocument/2006/relationships/hyperlink" Target="https://www.wvcenterforwellness.org/images/PDFs/about_us/WallowaCHNA-Assessment_FinalReport.pdf" TargetMode="External"/><Relationship Id="rId136" Type="http://schemas.openxmlformats.org/officeDocument/2006/relationships/hyperlink" Target="https://windingwaters.org/wp-content/uploads/2022/06/2022-PRC-CHNA-Report-Wallowa-County-OR-1-1.pdf" TargetMode="External"/><Relationship Id="rId61" Type="http://schemas.openxmlformats.org/officeDocument/2006/relationships/hyperlink" Target="https://www.colpachealth.org/docs/colpachealthorglibraries/community-partners/regional-health-improvement-plan/cpcco_rha_rhip_7-19.pdf?sfvrsn=4ab0bbcc_1" TargetMode="External"/><Relationship Id="rId82" Type="http://schemas.openxmlformats.org/officeDocument/2006/relationships/hyperlink" Target="https://www.healthyklamath.org/content/sites/klamath/01272022_CHA_DRAFT.pdf" TargetMode="External"/><Relationship Id="rId152" Type="http://schemas.openxmlformats.org/officeDocument/2006/relationships/customXml" Target="../customXml/item5.xml"/><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hyperlink" Target="https://www.oregon.gov/adpc/SiteAssets/Pages/index/OHSU%20-%20Oregon%20Gap%20Analysis%20and%20Inventory%20Report.pdf" TargetMode="External"/><Relationship Id="rId35" Type="http://schemas.openxmlformats.org/officeDocument/2006/relationships/hyperlink" Target="https://www.oregon.gov/oha/HSD/BHP/CCBHC%20Documents/Oregon-Standards-for-CCBHCs.pdf" TargetMode="External"/><Relationship Id="rId56" Type="http://schemas.openxmlformats.org/officeDocument/2006/relationships/hyperlink" Target="https://cohealthcouncil.org/2016/02/12/2016-2016-central-oregon-regional-health-improvement-plan/" TargetMode="External"/><Relationship Id="rId77" Type="http://schemas.openxmlformats.org/officeDocument/2006/relationships/hyperlink" Target="https://jeffersonregionalhealthalliance.org/allinforhealth/2018-community-health-assessment/" TargetMode="External"/><Relationship Id="rId100" Type="http://schemas.openxmlformats.org/officeDocument/2006/relationships/hyperlink" Target="https://cohealthcouncil.org/2016/02/12/2016-2016-central-oregon-regional-health-improvement-plan/" TargetMode="External"/><Relationship Id="rId105" Type="http://schemas.openxmlformats.org/officeDocument/2006/relationships/hyperlink" Target="https://www.colpachealth.org/docs/colpachealthorglibraries/community-partners/regional-health-improvement-plan/cpcco_rha_rhip_7-19.pdf?sfvrsn=4ab0bbcc_1" TargetMode="External"/><Relationship Id="rId126" Type="http://schemas.openxmlformats.org/officeDocument/2006/relationships/hyperlink" Target="https://www.healthyklamath.org/content/sites/klamath/CHIP/FINAL_Klamath_County_Community_Health_Improvement_Plan_10192019.pdf" TargetMode="External"/><Relationship Id="rId147"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hyperlink" Target="https://www.oregon.gov/oha/ERD/SiteAssets/Pages/Government-Relations/Behavioral%20Health%20Workforce%20Wage%20Study%20Report-Final%20020122.pdf" TargetMode="External"/><Relationship Id="rId72" Type="http://schemas.openxmlformats.org/officeDocument/2006/relationships/hyperlink" Target="https://www.eocco.com/-/media/EOCCO/PDFs/providers/health_equity_strategic_plan.pdf" TargetMode="External"/><Relationship Id="rId93" Type="http://schemas.openxmlformats.org/officeDocument/2006/relationships/hyperlink" Target="https://tuality.org/wp-content/uploads/THC_21486330_Community_Health_Needs_Assessment_Report.pdf" TargetMode="External"/><Relationship Id="rId98" Type="http://schemas.openxmlformats.org/officeDocument/2006/relationships/hyperlink" Target="https://www.allcarehealth.com/media/2825/accco-jackson-josephine-2019-chip-addendum-pq.pdf" TargetMode="External"/><Relationship Id="rId121" Type="http://schemas.openxmlformats.org/officeDocument/2006/relationships/hyperlink" Target="https://www.harneydh.com/wp-content/uploads/2022/08/FINAL-2022-CHNA-REPORT.pdf" TargetMode="External"/><Relationship Id="rId142" Type="http://schemas.openxmlformats.org/officeDocument/2006/relationships/hyperlink" Target="https://www.oregon.gov/oha/HPA/HP-HCW/Documents/HCWF-Committee-Equity-Framework-Report-final-Oct-2021.pdf" TargetMode="External"/><Relationship Id="rId3" Type="http://schemas.openxmlformats.org/officeDocument/2006/relationships/numbering" Target="numbering.xml"/><Relationship Id="rId25" Type="http://schemas.openxmlformats.org/officeDocument/2006/relationships/hyperlink" Target="https://aspe.hhs.gov/reports/hhs-roadmap-behavioral-health-integration" TargetMode="External"/><Relationship Id="rId46" Type="http://schemas.openxmlformats.org/officeDocument/2006/relationships/hyperlink" Target="https://www.census.gov/newsroom/press-kits/2021/acs-5-year.html" TargetMode="External"/><Relationship Id="rId67" Type="http://schemas.openxmlformats.org/officeDocument/2006/relationships/hyperlink" Target="https://www.eocco.com/-/media/EOCCO/PDFs/CHA/cha_wallowa.pdf" TargetMode="External"/><Relationship Id="rId116" Type="http://schemas.openxmlformats.org/officeDocument/2006/relationships/hyperlink" Target="https://www.oregon.gov/oha/HPA/dsi-tc/CCOCHIP/EOCCO%20CHP%20Progress%20-Report%202021.pdf" TargetMode="External"/><Relationship Id="rId137" Type="http://schemas.openxmlformats.org/officeDocument/2006/relationships/hyperlink" Target="https://tuality.org/wp-content/uploads/THC_21486330_Community_Health_Needs_Assessment-Report.pdf" TargetMode="External"/><Relationship Id="rId20" Type="http://schemas.openxmlformats.org/officeDocument/2006/relationships/image" Target="media/image9.png"/><Relationship Id="rId41" Type="http://schemas.openxmlformats.org/officeDocument/2006/relationships/hyperlink" Target="https://olis.oregonlegislature.gov/liz/2022R1/Measures/Overview/HB4052" TargetMode="External"/><Relationship Id="rId62" Type="http://schemas.openxmlformats.org/officeDocument/2006/relationships/hyperlink" Target="https://comagine.org/resource/740" TargetMode="External"/><Relationship Id="rId83" Type="http://schemas.openxmlformats.org/officeDocument/2006/relationships/hyperlink" Target="http://www.livehealthylane.org/uploads/6/9/3/5/69353783/2016-2019_lane_county_regional_chip.pdf" TargetMode="External"/><Relationship Id="rId88" Type="http://schemas.openxmlformats.org/officeDocument/2006/relationships/hyperlink" Target="https://static1.squarespace.com/static/5a2075ac8a02c7cbf8664919/t/5b6dccecb8a0458c70240ba9/1533922545864/Multnomah+County+-+OHEA+Community+Health+Improvement+Plan+%28CHIP%29.pdf" TargetMode="External"/><Relationship Id="rId111" Type="http://schemas.openxmlformats.org/officeDocument/2006/relationships/hyperlink" Target="https://www.eocco.com/-/media/EOCCO/PDFs/CHA/cha_harney.pdf" TargetMode="External"/><Relationship Id="rId132" Type="http://schemas.openxmlformats.org/officeDocument/2006/relationships/hyperlink" Target="https://www.wchcd.org/wp-content/uploads/2019/08/Wallowa-CHNA-Assessment-Final-Report-2019.pdf" TargetMode="External"/><Relationship Id="rId15" Type="http://schemas.openxmlformats.org/officeDocument/2006/relationships/image" Target="media/image4.png"/><Relationship Id="rId36" Type="http://schemas.openxmlformats.org/officeDocument/2006/relationships/hyperlink" Target="https://www.oregon.gov/oha/ph/providerpartnerresources/healthsystemtransformation/pages/index.aspx" TargetMode="External"/><Relationship Id="rId57" Type="http://schemas.openxmlformats.org/officeDocument/2006/relationships/hyperlink" Target="https://www.deschutes.org/sites/default/files/fileattachments/health_services/page/1862/cohc_2019regionalhealthassessment_printfriendly.pdf" TargetMode="External"/><Relationship Id="rId106" Type="http://schemas.openxmlformats.org/officeDocument/2006/relationships/hyperlink" Target="https://comagine.org/resource/740" TargetMode="External"/><Relationship Id="rId127" Type="http://schemas.openxmlformats.org/officeDocument/2006/relationships/hyperlink" Target="https://www.healthyklamath.org/content/sites/klamath/01272022_CHA_DRAFT.pdf" TargetMode="External"/><Relationship Id="rId10" Type="http://schemas.openxmlformats.org/officeDocument/2006/relationships/image" Target="media/image2.png"/><Relationship Id="rId31" Type="http://schemas.openxmlformats.org/officeDocument/2006/relationships/hyperlink" Target="https://www.naatp.org/advocacy/public-policy/hhs-releases-changes-confidentiality-rules-42-cfr-part-2-hipaa/nov-29-2022" TargetMode="External"/><Relationship Id="rId52" Type="http://schemas.openxmlformats.org/officeDocument/2006/relationships/hyperlink" Target="https://www.allcarehealth.com/media/5497/aifh-equity-addendum_62022.pdf" TargetMode="External"/><Relationship Id="rId73" Type="http://schemas.openxmlformats.org/officeDocument/2006/relationships/hyperlink" Target="https://www.eocco.com/-/media/EOCCO/PDFs/providers/EOCCO_CBHP_2021.pdf" TargetMode="External"/><Relationship Id="rId78" Type="http://schemas.openxmlformats.org/officeDocument/2006/relationships/hyperlink" Target="https://www.healthshareoregon.org/storage/app/media/documents/Health%20Equity/Reports/Final_HS_CHNA%20Report_Pages.pdf" TargetMode="External"/><Relationship Id="rId94" Type="http://schemas.openxmlformats.org/officeDocument/2006/relationships/hyperlink" Target="https://yamhillcco.org/wp-content/uploads/YCCO-CHIP-2019-2024.pdf" TargetMode="External"/><Relationship Id="rId99" Type="http://schemas.openxmlformats.org/officeDocument/2006/relationships/hyperlink" Target="https://bluemountainhospital.org/wp-content/uploads/2022/06/2022-BMHD-CHNA-FINAL-with-link.pdf" TargetMode="External"/><Relationship Id="rId101" Type="http://schemas.openxmlformats.org/officeDocument/2006/relationships/hyperlink" Target="https://www.deschutes.org/sites/default/files/fileattachments/health_services/page/1862/cohc_2019regionalhealthassessment_printfriendly.pdf" TargetMode="External"/><Relationship Id="rId122" Type="http://schemas.openxmlformats.org/officeDocument/2006/relationships/hyperlink" Target="https://jeffersonregionalhealthalliance.org/allin-forhealth/2018-community-health-assessment/" TargetMode="External"/><Relationship Id="rId143" Type="http://schemas.openxmlformats.org/officeDocument/2006/relationships/hyperlink" Target="https://www.samhsa.gov/data/" TargetMode="Externa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www.atsdr.cdc.gov/placeandhealth/svi/data_documentation_download.html" TargetMode="External"/><Relationship Id="rId47" Type="http://schemas.openxmlformats.org/officeDocument/2006/relationships/hyperlink" Target="https://www.congress.gov/bill/113th-congress/senate-bill/264" TargetMode="External"/><Relationship Id="rId68" Type="http://schemas.openxmlformats.org/officeDocument/2006/relationships/hyperlink" Target="https://www.eocco.com/eocco/-media/eocco/pdfs/chip/chip_wallowa.pdf" TargetMode="External"/><Relationship Id="rId89" Type="http://schemas.openxmlformats.org/officeDocument/2006/relationships/hyperlink" Target="http://multnomah.granicus.com/MetaViewer.php?view_id=3&amp;clip_id=1483&amp;meta_id=100568" TargetMode="External"/><Relationship Id="rId112" Type="http://schemas.openxmlformats.org/officeDocument/2006/relationships/hyperlink" Target="https://www.eocco.com/-/media/EOCCO/PDFs/CHA/cha_wallowa.pdf" TargetMode="External"/><Relationship Id="rId133" Type="http://schemas.openxmlformats.org/officeDocument/2006/relationships/hyperlink" Target="https://static1.squarespace.com/static/5a2075ac8a02c7cbf8664919/t/-5b6dccecb8a0458c70240ba9/1533922545864/Multnomah+County+-+OHEA+Community+Health+-Improvement+Plan+%28CHIP%29.pdf" TargetMode="External"/><Relationship Id="rId16" Type="http://schemas.openxmlformats.org/officeDocument/2006/relationships/image" Target="media/image5.png"/><Relationship Id="rId37" Type="http://schemas.openxmlformats.org/officeDocument/2006/relationships/hyperlink" Target="https://www.oregon.gov/oha/HPA/ANALYTICS/Documents/Coverage-stats-Jan2021-1-26-21-final.pdf" TargetMode="External"/><Relationship Id="rId58" Type="http://schemas.openxmlformats.org/officeDocument/2006/relationships/hyperlink" Target="https://www.dropbox.com/s/svd1ntivd1y83da/RHIP_2020_2024_Final.pdf?dl=0" TargetMode="External"/><Relationship Id="rId79" Type="http://schemas.openxmlformats.org/officeDocument/2006/relationships/hyperlink" Target="https://www.healthshareoregon.org/storage/app/media/documents/Health%20Equity/Reports/CHNA/2019-2023%20Community%20Health%20Improvement%20Plan.pdf" TargetMode="External"/><Relationship Id="rId102" Type="http://schemas.openxmlformats.org/officeDocument/2006/relationships/hyperlink" Target="https://www.dropbox.com/s/svd1ntivd1y83da/RHIP_2020_2024_Final.pdf?dl=0" TargetMode="External"/><Relationship Id="rId123" Type="http://schemas.openxmlformats.org/officeDocument/2006/relationships/hyperlink" Target="https://www.healthshareoregon.org/storage/app/media/documents/Health%20Equity/Reports/Final_HS_CHNA%20Report_Pages.pdf" TargetMode="External"/><Relationship Id="rId144" Type="http://schemas.openxmlformats.org/officeDocument/2006/relationships/hyperlink" Target="https://everychildthrives.com/doing-evaluation-in-service-of-racial-equity/" TargetMode="External"/><Relationship Id="rId90" Type="http://schemas.openxmlformats.org/officeDocument/2006/relationships/hyperlink" Target="https://static1.squarespace.com/static/59fb987cbff200804ad33714/t/5dc1ba05b706e54739a3dd1a/1572977207565/CHIP+Summary+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OHSU-PSU School of Public Health</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1AE9BC3FB4334BA9BF55666A86CE47" ma:contentTypeVersion="24" ma:contentTypeDescription="Create a new document." ma:contentTypeScope="" ma:versionID="6506fec1ba91d9b71337cd82ea5174d5">
  <xsd:schema xmlns:xsd="http://www.w3.org/2001/XMLSchema" xmlns:xs="http://www.w3.org/2001/XMLSchema" xmlns:p="http://schemas.microsoft.com/office/2006/metadata/properties" xmlns:ns1="http://schemas.microsoft.com/sharepoint/v3" xmlns:ns2="59da1016-2a1b-4f8a-9768-d7a4932f6f16" xmlns:ns3="a218e73a-cddf-4735-a139-fd28ce32e654" targetNamespace="http://schemas.microsoft.com/office/2006/metadata/properties" ma:root="true" ma:fieldsID="684e4de068404beba40906b25a1c50b3" ns1:_="" ns2:_="" ns3:_="">
    <xsd:import namespace="http://schemas.microsoft.com/sharepoint/v3"/>
    <xsd:import namespace="59da1016-2a1b-4f8a-9768-d7a4932f6f16"/>
    <xsd:import namespace="a218e73a-cddf-4735-a139-fd28ce32e654"/>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URL" minOccurs="0"/>
                <xsd:element ref="ns1:PublishingStartDate" minOccurs="0"/>
                <xsd:element ref="ns1:PublishingExpirationDate" minOccurs="0"/>
                <xsd:element ref="ns3:Document_x0020_Type" minOccurs="0"/>
                <xsd:element ref="ns2:SharedWithUser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2"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3"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4"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5" nillable="true" ma:displayName="Document Expiration Date" ma:format="DateOnly" ma:internalName="DocumentExpirationDate" ma:readOnly="false">
      <xsd:simpleType>
        <xsd:restriction base="dms:DateTime"/>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18e73a-cddf-4735-a139-fd28ce32e654" elementFormDefault="qualified">
    <xsd:import namespace="http://schemas.microsoft.com/office/2006/documentManagement/types"/>
    <xsd:import namespace="http://schemas.microsoft.com/office/infopath/2007/PartnerControls"/>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Document_x0020_Type" ma:index="17" nillable="true" ma:displayName="Document Type" ma:description="For BHAC, documents marked &quot;BHAC Resources&quot; will be listed in the &quot;Council resources&quot; section of the page." ma:internalName="Document_x0020_Type">
      <xsd:complexType>
        <xsd:complexContent>
          <xsd:extension base="dms:MultiChoice">
            <xsd:sequence>
              <xsd:element name="Value" maxOccurs="unbounded" minOccurs="0" nillable="true">
                <xsd:simpleType>
                  <xsd:restriction base="dms:Choice">
                    <xsd:enumeration value="BHAC Resources"/>
                    <xsd:enumeration value="BHC Resources"/>
                    <xsd:enumeration value="OCA Client Resources"/>
                    <xsd:enumeration value="OCA Peer Resources"/>
                    <xsd:enumeration value="USDOJ Report"/>
                    <xsd:enumeration value="USDOJ Resource"/>
                  </xsd:restriction>
                </xsd:simpleType>
              </xsd:element>
            </xsd:sequence>
          </xsd:extension>
        </xsd:complexContent>
      </xsd:complexType>
    </xsd:element>
    <xsd:element name="Date" ma:index="20"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ate xmlns="a218e73a-cddf-4735-a139-fd28ce32e654">2023-01-26T08:00:00+00:00</Date>
    <DocumentExpirationDate xmlns="59da1016-2a1b-4f8a-9768-d7a4932f6f16" xsi:nil="true"/>
    <IATopic xmlns="59da1016-2a1b-4f8a-9768-d7a4932f6f16" xsi:nil="true"/>
    <Meta_x0020_Description xmlns="a218e73a-cddf-4735-a139-fd28ce32e654" xsi:nil="true"/>
    <IASubtopic xmlns="59da1016-2a1b-4f8a-9768-d7a4932f6f16" xsi:nil="true"/>
    <URL xmlns="http://schemas.microsoft.com/sharepoint/v3">
      <Url>https://www.oregon.gov/oha/HSD/BHP/Documents/CCBHC-Evaluation-Final-Report.docx</Url>
      <Description>Evaluation of the CCBHC Program</Description>
    </URL>
    <PublishingExpirationDate xmlns="http://schemas.microsoft.com/sharepoint/v3" xsi:nil="true"/>
    <Meta_x0020_Keywords xmlns="a218e73a-cddf-4735-a139-fd28ce32e654" xsi:nil="true"/>
    <PublishingStartDate xmlns="http://schemas.microsoft.com/sharepoint/v3" xsi:nil="true"/>
    <Document_x0020_Type xmlns="a218e73a-cddf-4735-a139-fd28ce32e654"/>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17A869-9973-0A4D-9C32-5D4D17905DDB}">
  <ds:schemaRefs>
    <ds:schemaRef ds:uri="http://schemas.openxmlformats.org/officeDocument/2006/bibliography"/>
  </ds:schemaRefs>
</ds:datastoreItem>
</file>

<file path=customXml/itemProps3.xml><?xml version="1.0" encoding="utf-8"?>
<ds:datastoreItem xmlns:ds="http://schemas.openxmlformats.org/officeDocument/2006/customXml" ds:itemID="{1A0297F0-ABA1-4BAF-A05C-ACA557FD795B}"/>
</file>

<file path=customXml/itemProps4.xml><?xml version="1.0" encoding="utf-8"?>
<ds:datastoreItem xmlns:ds="http://schemas.openxmlformats.org/officeDocument/2006/customXml" ds:itemID="{FF64A653-8A4E-46CD-A634-34D2E71C4913}"/>
</file>

<file path=customXml/itemProps5.xml><?xml version="1.0" encoding="utf-8"?>
<ds:datastoreItem xmlns:ds="http://schemas.openxmlformats.org/officeDocument/2006/customXml" ds:itemID="{AE4A30FB-0B89-42F6-BCBA-5B960A0794E8}"/>
</file>

<file path=docProps/app.xml><?xml version="1.0" encoding="utf-8"?>
<Properties xmlns="http://schemas.openxmlformats.org/officeDocument/2006/extended-properties" xmlns:vt="http://schemas.openxmlformats.org/officeDocument/2006/docPropsVTypes">
  <Template>Normal</Template>
  <TotalTime>0</TotalTime>
  <Pages>3</Pages>
  <Words>63428</Words>
  <Characters>361543</Characters>
  <Application>Microsoft Office Word</Application>
  <DocSecurity>12</DocSecurity>
  <Lines>3012</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CCBHC Program</dc:title>
  <dc:subject/>
  <dc:creator/>
  <cp:keywords/>
  <dc:description/>
  <cp:lastModifiedBy/>
  <cp:revision>1</cp:revision>
  <cp:lastPrinted>2023-01-26T20:28:00Z</cp:lastPrinted>
  <dcterms:created xsi:type="dcterms:W3CDTF">2023-02-01T19:43:00Z</dcterms:created>
  <dcterms:modified xsi:type="dcterms:W3CDTF">2023-02-01T19:43:00Z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0x0101003E1AE9BC3FB4334BA9BF55666A86CE47</vt:lpwstr>
  </property>
  <property fmtid="{D5CDD505-2E9C-101B-9397-08002B2CF9AE}" pid="3" name="WorkflowChangePath">
    <vt:lpwstr>89b9124d-1750-4c1b-a3e7-a3ac7b5fd734,4;</vt:lpwstr>
  </property>
</Properties>
</file>